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proofErr w:type="gramStart"/>
      <w:r w:rsidRPr="0061644B">
        <w:rPr>
          <w:b/>
          <w:sz w:val="36"/>
          <w:szCs w:val="36"/>
        </w:rPr>
        <w:t>交银施罗</w:t>
      </w:r>
      <w:proofErr w:type="gramEnd"/>
      <w:r w:rsidRPr="0061644B">
        <w:rPr>
          <w:b/>
          <w:sz w:val="36"/>
          <w:szCs w:val="36"/>
        </w:rPr>
        <w:t>德现金宝货币市场基金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1644B">
        <w:rPr>
          <w:color w:val="000000"/>
          <w:sz w:val="24"/>
        </w:rPr>
        <w:t>本半年度</w:t>
      </w:r>
      <w:proofErr w:type="gramEnd"/>
      <w:r w:rsidRPr="0061644B">
        <w:rPr>
          <w:color w:val="000000"/>
          <w:sz w:val="24"/>
        </w:rPr>
        <w:t>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基金托管人中信银行股份有限公司根据本基金合同规定，于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w:t>
      </w:r>
      <w:proofErr w:type="gramStart"/>
      <w:r w:rsidRPr="0061644B">
        <w:rPr>
          <w:color w:val="000000"/>
          <w:sz w:val="24"/>
        </w:rPr>
        <w:t>作出</w:t>
      </w:r>
      <w:proofErr w:type="gramEnd"/>
      <w:r w:rsidRPr="0061644B">
        <w:rPr>
          <w:color w:val="000000"/>
          <w:sz w:val="24"/>
        </w:rPr>
        <w:t>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proofErr w:type="gramStart"/>
      <w:r w:rsidRPr="0061644B">
        <w:rPr>
          <w:color w:val="000000"/>
          <w:sz w:val="24"/>
        </w:rPr>
        <w:t>本半年度</w:t>
      </w:r>
      <w:proofErr w:type="gramEnd"/>
      <w:r w:rsidRPr="0061644B">
        <w:rPr>
          <w:color w:val="000000"/>
          <w:sz w:val="24"/>
        </w:rPr>
        <w:t>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交银现金</w:t>
            </w:r>
            <w:proofErr w:type="gramStart"/>
            <w:r w:rsidRPr="0061644B">
              <w:rPr>
                <w:sz w:val="24"/>
              </w:rPr>
              <w:t>宝货币</w:t>
            </w:r>
            <w:proofErr w:type="gramEnd"/>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000710</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2014</w:t>
            </w:r>
            <w:r w:rsidRPr="0061644B">
              <w:rPr>
                <w:sz w:val="24"/>
              </w:rPr>
              <w:t>年</w:t>
            </w:r>
            <w:r w:rsidRPr="0061644B">
              <w:rPr>
                <w:sz w:val="24"/>
              </w:rPr>
              <w:t>9</w:t>
            </w:r>
            <w:r w:rsidRPr="0061644B">
              <w:rPr>
                <w:sz w:val="24"/>
              </w:rPr>
              <w:t>月</w:t>
            </w:r>
            <w:r w:rsidRPr="0061644B">
              <w:rPr>
                <w:sz w:val="24"/>
              </w:rPr>
              <w:t>12</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3,403,589,001.55</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交银现金</w:t>
            </w:r>
            <w:proofErr w:type="gramStart"/>
            <w:r w:rsidRPr="0061644B">
              <w:rPr>
                <w:sz w:val="24"/>
              </w:rPr>
              <w:t>宝货币</w:t>
            </w:r>
            <w:proofErr w:type="gramEnd"/>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交银现金</w:t>
            </w:r>
            <w:proofErr w:type="gramStart"/>
            <w:r w:rsidRPr="0061644B">
              <w:rPr>
                <w:sz w:val="24"/>
              </w:rPr>
              <w:t>宝货币</w:t>
            </w:r>
            <w:proofErr w:type="gramEnd"/>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000710</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002918</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2,995,788,827.31</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407,800,174.24</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proofErr w:type="gramStart"/>
            <w:r w:rsidRPr="0061644B">
              <w:rPr>
                <w:kern w:val="0"/>
                <w:sz w:val="24"/>
              </w:rPr>
              <w:t>李修滨</w:t>
            </w:r>
            <w:proofErr w:type="gramEnd"/>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4006800000</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lixiubin@citicbank.com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95558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010-85230024</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1411DD">
            <w:pPr>
              <w:spacing w:before="29" w:line="288" w:lineRule="auto"/>
              <w:ind w:leftChars="-51" w:left="-107" w:rightChars="-51" w:right="-107"/>
              <w:jc w:val="center"/>
              <w:rPr>
                <w:b/>
                <w:sz w:val="24"/>
              </w:rPr>
            </w:pPr>
            <w:r w:rsidRPr="0061644B">
              <w:rPr>
                <w:b/>
                <w:sz w:val="24"/>
              </w:rPr>
              <w:t>3.1.1</w:t>
            </w:r>
            <w:r w:rsidRPr="0061644B">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交银现金</w:t>
            </w:r>
            <w:proofErr w:type="gramStart"/>
            <w:r w:rsidRPr="0061644B">
              <w:rPr>
                <w:sz w:val="24"/>
              </w:rPr>
              <w:t>宝货币</w:t>
            </w:r>
            <w:proofErr w:type="gramEnd"/>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交银现金</w:t>
            </w:r>
            <w:proofErr w:type="gramStart"/>
            <w:r w:rsidRPr="0061644B">
              <w:rPr>
                <w:sz w:val="24"/>
              </w:rPr>
              <w:t>宝货币</w:t>
            </w:r>
            <w:proofErr w:type="gramEnd"/>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74,719,457.87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13,012,905.62</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74,719,457.87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13,012,905.62</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1.88%</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1411DD">
            <w:pPr>
              <w:spacing w:before="29" w:line="288" w:lineRule="auto"/>
              <w:ind w:leftChars="-51" w:left="-107" w:rightChars="-51" w:right="-107"/>
              <w:jc w:val="center"/>
              <w:rPr>
                <w:b/>
                <w:sz w:val="24"/>
              </w:rPr>
            </w:pPr>
            <w:r w:rsidRPr="0061644B">
              <w:rPr>
                <w:b/>
                <w:sz w:val="24"/>
              </w:rPr>
              <w:t>3.1.2</w:t>
            </w:r>
            <w:r w:rsidRPr="0061644B">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交银现金</w:t>
            </w:r>
            <w:proofErr w:type="gramStart"/>
            <w:r w:rsidRPr="0061644B">
              <w:rPr>
                <w:sz w:val="24"/>
              </w:rPr>
              <w:t>宝货币</w:t>
            </w:r>
            <w:proofErr w:type="gramEnd"/>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交银现金</w:t>
            </w:r>
            <w:proofErr w:type="gramStart"/>
            <w:r w:rsidRPr="0061644B">
              <w:rPr>
                <w:sz w:val="24"/>
              </w:rPr>
              <w:t>宝货币</w:t>
            </w:r>
            <w:proofErr w:type="gramEnd"/>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2,995,788,827.31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407,800,174.24</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A242DE" w:rsidRDefault="00292641">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242DE" w:rsidRDefault="00292641">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A242DE" w:rsidRDefault="00292641">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w:t>
      </w:r>
      <w:proofErr w:type="gramStart"/>
      <w:r>
        <w:rPr>
          <w:kern w:val="0"/>
          <w:sz w:val="24"/>
        </w:rPr>
        <w:t>前基金</w:t>
      </w:r>
      <w:proofErr w:type="gramEnd"/>
      <w:r>
        <w:rPr>
          <w:kern w:val="0"/>
          <w:sz w:val="24"/>
        </w:rPr>
        <w:t>连续计算，</w:t>
      </w:r>
      <w:r>
        <w:rPr>
          <w:kern w:val="0"/>
          <w:sz w:val="24"/>
        </w:rPr>
        <w:t>E</w:t>
      </w:r>
      <w:r>
        <w:rPr>
          <w:kern w:val="0"/>
          <w:sz w:val="24"/>
        </w:rPr>
        <w:t>类基金份额按新设基金计算。</w:t>
      </w:r>
    </w:p>
    <w:p w:rsidR="00A242DE" w:rsidRDefault="00292641">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Pr>
          <w:kern w:val="0"/>
          <w:sz w:val="24"/>
        </w:rPr>
        <w:t>余成本</w:t>
      </w:r>
      <w:proofErr w:type="gramEnd"/>
      <w:r>
        <w:rPr>
          <w:kern w:val="0"/>
          <w:sz w:val="24"/>
        </w:rPr>
        <w:t>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．交银现金</w:t>
      </w:r>
      <w:proofErr w:type="gramStart"/>
      <w:r w:rsidRPr="0061644B">
        <w:rPr>
          <w:rFonts w:ascii="Times New Roman" w:hAnsi="Times New Roman"/>
          <w:b/>
          <w:color w:val="auto"/>
        </w:rPr>
        <w:t>宝货币</w:t>
      </w:r>
      <w:proofErr w:type="gramEnd"/>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242DE">
        <w:tc>
          <w:tcPr>
            <w:tcW w:w="1600" w:type="dxa"/>
            <w:vAlign w:val="center"/>
          </w:tcPr>
          <w:p w:rsidR="00A242DE" w:rsidRDefault="00292641">
            <w:pPr>
              <w:jc w:val="left"/>
            </w:pPr>
            <w:r>
              <w:rPr>
                <w:sz w:val="24"/>
              </w:rPr>
              <w:t>过去一个月</w:t>
            </w:r>
          </w:p>
        </w:tc>
        <w:tc>
          <w:tcPr>
            <w:tcW w:w="1233" w:type="dxa"/>
            <w:vAlign w:val="center"/>
          </w:tcPr>
          <w:p w:rsidR="00A242DE" w:rsidRDefault="00292641">
            <w:pPr>
              <w:jc w:val="center"/>
            </w:pPr>
            <w:r>
              <w:rPr>
                <w:sz w:val="24"/>
              </w:rPr>
              <w:t>0.2863%</w:t>
            </w:r>
          </w:p>
        </w:tc>
        <w:tc>
          <w:tcPr>
            <w:tcW w:w="1233" w:type="dxa"/>
            <w:vAlign w:val="center"/>
          </w:tcPr>
          <w:p w:rsidR="00A242DE" w:rsidRDefault="00292641">
            <w:pPr>
              <w:jc w:val="center"/>
            </w:pPr>
            <w:r>
              <w:rPr>
                <w:sz w:val="24"/>
              </w:rPr>
              <w:t>0.0009%</w:t>
            </w:r>
          </w:p>
        </w:tc>
        <w:tc>
          <w:tcPr>
            <w:tcW w:w="1233" w:type="dxa"/>
            <w:vAlign w:val="center"/>
          </w:tcPr>
          <w:p w:rsidR="00A242DE" w:rsidRDefault="00292641">
            <w:pPr>
              <w:jc w:val="center"/>
            </w:pPr>
            <w:r>
              <w:rPr>
                <w:sz w:val="24"/>
              </w:rPr>
              <w:t>0.0288%</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0.2575%</w:t>
            </w:r>
          </w:p>
        </w:tc>
        <w:tc>
          <w:tcPr>
            <w:tcW w:w="1233" w:type="dxa"/>
            <w:vAlign w:val="center"/>
          </w:tcPr>
          <w:p w:rsidR="00A242DE" w:rsidRDefault="00292641">
            <w:pPr>
              <w:jc w:val="center"/>
            </w:pPr>
            <w:r>
              <w:rPr>
                <w:sz w:val="24"/>
              </w:rPr>
              <w:t>0.0009%</w:t>
            </w:r>
          </w:p>
        </w:tc>
      </w:tr>
      <w:tr w:rsidR="00A242DE">
        <w:tc>
          <w:tcPr>
            <w:tcW w:w="1600" w:type="dxa"/>
            <w:vAlign w:val="center"/>
          </w:tcPr>
          <w:p w:rsidR="00A242DE" w:rsidRDefault="00292641">
            <w:pPr>
              <w:jc w:val="left"/>
            </w:pPr>
            <w:r>
              <w:rPr>
                <w:sz w:val="24"/>
              </w:rPr>
              <w:t>过去三个月</w:t>
            </w:r>
          </w:p>
        </w:tc>
        <w:tc>
          <w:tcPr>
            <w:tcW w:w="1233" w:type="dxa"/>
            <w:vAlign w:val="center"/>
          </w:tcPr>
          <w:p w:rsidR="00A242DE" w:rsidRDefault="00292641">
            <w:pPr>
              <w:jc w:val="center"/>
            </w:pPr>
            <w:r>
              <w:rPr>
                <w:sz w:val="24"/>
              </w:rPr>
              <w:t>0.8942%</w:t>
            </w:r>
          </w:p>
        </w:tc>
        <w:tc>
          <w:tcPr>
            <w:tcW w:w="1233" w:type="dxa"/>
            <w:vAlign w:val="center"/>
          </w:tcPr>
          <w:p w:rsidR="00A242DE" w:rsidRDefault="00292641">
            <w:pPr>
              <w:jc w:val="center"/>
            </w:pPr>
            <w:r>
              <w:rPr>
                <w:sz w:val="24"/>
              </w:rPr>
              <w:t>0.0015%</w:t>
            </w:r>
          </w:p>
        </w:tc>
        <w:tc>
          <w:tcPr>
            <w:tcW w:w="1233" w:type="dxa"/>
            <w:vAlign w:val="center"/>
          </w:tcPr>
          <w:p w:rsidR="00A242DE" w:rsidRDefault="00292641">
            <w:pPr>
              <w:jc w:val="center"/>
            </w:pPr>
            <w:r>
              <w:rPr>
                <w:sz w:val="24"/>
              </w:rPr>
              <w:t>0.0873%</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0.8069%</w:t>
            </w:r>
          </w:p>
        </w:tc>
        <w:tc>
          <w:tcPr>
            <w:tcW w:w="1233" w:type="dxa"/>
            <w:vAlign w:val="center"/>
          </w:tcPr>
          <w:p w:rsidR="00A242DE" w:rsidRDefault="00292641">
            <w:pPr>
              <w:jc w:val="center"/>
            </w:pPr>
            <w:r>
              <w:rPr>
                <w:sz w:val="24"/>
              </w:rPr>
              <w:t>0.0015%</w:t>
            </w:r>
          </w:p>
        </w:tc>
      </w:tr>
      <w:tr w:rsidR="00A242DE">
        <w:tc>
          <w:tcPr>
            <w:tcW w:w="1600" w:type="dxa"/>
            <w:vAlign w:val="center"/>
          </w:tcPr>
          <w:p w:rsidR="00A242DE" w:rsidRDefault="00292641">
            <w:pPr>
              <w:jc w:val="left"/>
            </w:pPr>
            <w:r>
              <w:rPr>
                <w:sz w:val="24"/>
              </w:rPr>
              <w:t>过去六个月</w:t>
            </w:r>
          </w:p>
        </w:tc>
        <w:tc>
          <w:tcPr>
            <w:tcW w:w="1233" w:type="dxa"/>
            <w:vAlign w:val="center"/>
          </w:tcPr>
          <w:p w:rsidR="00A242DE" w:rsidRDefault="00292641">
            <w:pPr>
              <w:jc w:val="center"/>
            </w:pPr>
            <w:r>
              <w:rPr>
                <w:sz w:val="24"/>
              </w:rPr>
              <w:t>1.7614%</w:t>
            </w:r>
          </w:p>
        </w:tc>
        <w:tc>
          <w:tcPr>
            <w:tcW w:w="1233" w:type="dxa"/>
            <w:vAlign w:val="center"/>
          </w:tcPr>
          <w:p w:rsidR="00A242DE" w:rsidRDefault="00292641">
            <w:pPr>
              <w:jc w:val="center"/>
            </w:pPr>
            <w:r>
              <w:rPr>
                <w:sz w:val="24"/>
              </w:rPr>
              <w:t>0.0011%</w:t>
            </w:r>
          </w:p>
        </w:tc>
        <w:tc>
          <w:tcPr>
            <w:tcW w:w="1233" w:type="dxa"/>
            <w:vAlign w:val="center"/>
          </w:tcPr>
          <w:p w:rsidR="00A242DE" w:rsidRDefault="00292641">
            <w:pPr>
              <w:jc w:val="center"/>
            </w:pPr>
            <w:r>
              <w:rPr>
                <w:sz w:val="24"/>
              </w:rPr>
              <w:t>0.1736%</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1.5878%</w:t>
            </w:r>
          </w:p>
        </w:tc>
        <w:tc>
          <w:tcPr>
            <w:tcW w:w="1233" w:type="dxa"/>
            <w:vAlign w:val="center"/>
          </w:tcPr>
          <w:p w:rsidR="00A242DE" w:rsidRDefault="00292641">
            <w:pPr>
              <w:jc w:val="center"/>
            </w:pPr>
            <w:r>
              <w:rPr>
                <w:sz w:val="24"/>
              </w:rPr>
              <w:t>0.0011%</w:t>
            </w:r>
          </w:p>
        </w:tc>
      </w:tr>
      <w:tr w:rsidR="00A242DE">
        <w:tc>
          <w:tcPr>
            <w:tcW w:w="1600" w:type="dxa"/>
            <w:vAlign w:val="center"/>
          </w:tcPr>
          <w:p w:rsidR="00A242DE" w:rsidRDefault="00292641">
            <w:pPr>
              <w:jc w:val="left"/>
            </w:pPr>
            <w:r>
              <w:rPr>
                <w:sz w:val="24"/>
              </w:rPr>
              <w:t>过去一年</w:t>
            </w:r>
          </w:p>
        </w:tc>
        <w:tc>
          <w:tcPr>
            <w:tcW w:w="1233" w:type="dxa"/>
            <w:vAlign w:val="center"/>
          </w:tcPr>
          <w:p w:rsidR="00A242DE" w:rsidRDefault="00292641">
            <w:pPr>
              <w:jc w:val="center"/>
            </w:pPr>
            <w:r>
              <w:rPr>
                <w:sz w:val="24"/>
              </w:rPr>
              <w:t>3.5316%</w:t>
            </w:r>
          </w:p>
        </w:tc>
        <w:tc>
          <w:tcPr>
            <w:tcW w:w="1233" w:type="dxa"/>
            <w:vAlign w:val="center"/>
          </w:tcPr>
          <w:p w:rsidR="00A242DE" w:rsidRDefault="00292641">
            <w:pPr>
              <w:jc w:val="center"/>
            </w:pPr>
            <w:r>
              <w:rPr>
                <w:sz w:val="24"/>
              </w:rPr>
              <w:t>0.0012%</w:t>
            </w:r>
          </w:p>
        </w:tc>
        <w:tc>
          <w:tcPr>
            <w:tcW w:w="1233" w:type="dxa"/>
            <w:vAlign w:val="center"/>
          </w:tcPr>
          <w:p w:rsidR="00A242DE" w:rsidRDefault="00292641">
            <w:pPr>
              <w:jc w:val="center"/>
            </w:pPr>
            <w:r>
              <w:rPr>
                <w:sz w:val="24"/>
              </w:rPr>
              <w:t>0.3500%</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3.1816%</w:t>
            </w:r>
          </w:p>
        </w:tc>
        <w:tc>
          <w:tcPr>
            <w:tcW w:w="1233" w:type="dxa"/>
            <w:vAlign w:val="center"/>
          </w:tcPr>
          <w:p w:rsidR="00A242DE" w:rsidRDefault="00292641">
            <w:pPr>
              <w:jc w:val="center"/>
            </w:pPr>
            <w:r>
              <w:rPr>
                <w:sz w:val="24"/>
              </w:rPr>
              <w:t>0.0012%</w:t>
            </w:r>
          </w:p>
        </w:tc>
      </w:tr>
      <w:tr w:rsidR="00A242DE">
        <w:tc>
          <w:tcPr>
            <w:tcW w:w="1600" w:type="dxa"/>
            <w:vAlign w:val="center"/>
          </w:tcPr>
          <w:p w:rsidR="00A242DE" w:rsidRDefault="00292641">
            <w:pPr>
              <w:jc w:val="left"/>
            </w:pPr>
            <w:r>
              <w:rPr>
                <w:sz w:val="24"/>
              </w:rPr>
              <w:t>过去三年</w:t>
            </w:r>
          </w:p>
        </w:tc>
        <w:tc>
          <w:tcPr>
            <w:tcW w:w="1233" w:type="dxa"/>
            <w:vAlign w:val="center"/>
          </w:tcPr>
          <w:p w:rsidR="00A242DE" w:rsidRDefault="00292641">
            <w:pPr>
              <w:jc w:val="center"/>
            </w:pPr>
            <w:r>
              <w:rPr>
                <w:sz w:val="24"/>
              </w:rPr>
              <w:t>9.0318%</w:t>
            </w:r>
          </w:p>
        </w:tc>
        <w:tc>
          <w:tcPr>
            <w:tcW w:w="1233" w:type="dxa"/>
            <w:vAlign w:val="center"/>
          </w:tcPr>
          <w:p w:rsidR="00A242DE" w:rsidRDefault="00292641">
            <w:pPr>
              <w:jc w:val="center"/>
            </w:pPr>
            <w:r>
              <w:rPr>
                <w:sz w:val="24"/>
              </w:rPr>
              <w:t>0.0028%</w:t>
            </w:r>
          </w:p>
        </w:tc>
        <w:tc>
          <w:tcPr>
            <w:tcW w:w="1233" w:type="dxa"/>
            <w:vAlign w:val="center"/>
          </w:tcPr>
          <w:p w:rsidR="00A242DE" w:rsidRDefault="00292641">
            <w:pPr>
              <w:jc w:val="center"/>
            </w:pPr>
            <w:r>
              <w:rPr>
                <w:sz w:val="24"/>
              </w:rPr>
              <w:t>1.0510%</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7.9808%</w:t>
            </w:r>
          </w:p>
        </w:tc>
        <w:tc>
          <w:tcPr>
            <w:tcW w:w="1233" w:type="dxa"/>
            <w:vAlign w:val="center"/>
          </w:tcPr>
          <w:p w:rsidR="00A242DE" w:rsidRDefault="00292641">
            <w:pPr>
              <w:jc w:val="center"/>
            </w:pPr>
            <w:r>
              <w:rPr>
                <w:sz w:val="24"/>
              </w:rPr>
              <w:t>0.0028%</w:t>
            </w:r>
          </w:p>
        </w:tc>
      </w:tr>
      <w:tr w:rsidR="00A242DE">
        <w:tc>
          <w:tcPr>
            <w:tcW w:w="1600" w:type="dxa"/>
            <w:vAlign w:val="center"/>
          </w:tcPr>
          <w:p w:rsidR="00A242DE" w:rsidRDefault="00292641">
            <w:pPr>
              <w:jc w:val="left"/>
            </w:pPr>
            <w:r>
              <w:rPr>
                <w:sz w:val="24"/>
              </w:rPr>
              <w:t>自基金合同生效起至今</w:t>
            </w:r>
          </w:p>
        </w:tc>
        <w:tc>
          <w:tcPr>
            <w:tcW w:w="1233" w:type="dxa"/>
            <w:vAlign w:val="center"/>
          </w:tcPr>
          <w:p w:rsidR="00A242DE" w:rsidRDefault="00292641">
            <w:pPr>
              <w:jc w:val="center"/>
            </w:pPr>
            <w:r>
              <w:rPr>
                <w:sz w:val="24"/>
              </w:rPr>
              <w:t>12.5190%</w:t>
            </w:r>
          </w:p>
        </w:tc>
        <w:tc>
          <w:tcPr>
            <w:tcW w:w="1233" w:type="dxa"/>
            <w:vAlign w:val="center"/>
          </w:tcPr>
          <w:p w:rsidR="00A242DE" w:rsidRDefault="00292641">
            <w:pPr>
              <w:jc w:val="center"/>
            </w:pPr>
            <w:r>
              <w:rPr>
                <w:sz w:val="24"/>
              </w:rPr>
              <w:t>0.0048%</w:t>
            </w:r>
          </w:p>
        </w:tc>
        <w:tc>
          <w:tcPr>
            <w:tcW w:w="1233" w:type="dxa"/>
            <w:vAlign w:val="center"/>
          </w:tcPr>
          <w:p w:rsidR="00A242DE" w:rsidRDefault="00292641">
            <w:pPr>
              <w:jc w:val="center"/>
            </w:pPr>
            <w:r>
              <w:rPr>
                <w:sz w:val="24"/>
              </w:rPr>
              <w:t>1.3310%</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11.1880%</w:t>
            </w:r>
          </w:p>
        </w:tc>
        <w:tc>
          <w:tcPr>
            <w:tcW w:w="1233" w:type="dxa"/>
            <w:vAlign w:val="center"/>
          </w:tcPr>
          <w:p w:rsidR="00A242DE" w:rsidRDefault="00292641">
            <w:pPr>
              <w:jc w:val="center"/>
            </w:pPr>
            <w:r>
              <w:rPr>
                <w:sz w:val="24"/>
              </w:rPr>
              <w:t>0.0048%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．交银现金</w:t>
      </w:r>
      <w:proofErr w:type="gramStart"/>
      <w:r w:rsidRPr="0061644B">
        <w:rPr>
          <w:rFonts w:ascii="Times New Roman" w:hAnsi="Times New Roman"/>
          <w:b/>
          <w:color w:val="auto"/>
        </w:rPr>
        <w:t>宝货币</w:t>
      </w:r>
      <w:proofErr w:type="gramEnd"/>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242DE">
        <w:tc>
          <w:tcPr>
            <w:tcW w:w="1600" w:type="dxa"/>
            <w:vAlign w:val="center"/>
          </w:tcPr>
          <w:p w:rsidR="00A242DE" w:rsidRDefault="00292641">
            <w:pPr>
              <w:jc w:val="left"/>
            </w:pPr>
            <w:r>
              <w:rPr>
                <w:sz w:val="24"/>
              </w:rPr>
              <w:t>过去一个月</w:t>
            </w:r>
          </w:p>
        </w:tc>
        <w:tc>
          <w:tcPr>
            <w:tcW w:w="1233" w:type="dxa"/>
            <w:vAlign w:val="center"/>
          </w:tcPr>
          <w:p w:rsidR="00A242DE" w:rsidRDefault="00292641">
            <w:pPr>
              <w:jc w:val="center"/>
            </w:pPr>
            <w:r>
              <w:rPr>
                <w:sz w:val="24"/>
              </w:rPr>
              <w:t>0.3062%</w:t>
            </w:r>
          </w:p>
        </w:tc>
        <w:tc>
          <w:tcPr>
            <w:tcW w:w="1233" w:type="dxa"/>
            <w:vAlign w:val="center"/>
          </w:tcPr>
          <w:p w:rsidR="00A242DE" w:rsidRDefault="00292641">
            <w:pPr>
              <w:jc w:val="center"/>
            </w:pPr>
            <w:r>
              <w:rPr>
                <w:sz w:val="24"/>
              </w:rPr>
              <w:t>0.0009%</w:t>
            </w:r>
          </w:p>
        </w:tc>
        <w:tc>
          <w:tcPr>
            <w:tcW w:w="1233" w:type="dxa"/>
            <w:vAlign w:val="center"/>
          </w:tcPr>
          <w:p w:rsidR="00A242DE" w:rsidRDefault="00292641">
            <w:pPr>
              <w:jc w:val="center"/>
            </w:pPr>
            <w:r>
              <w:rPr>
                <w:sz w:val="24"/>
              </w:rPr>
              <w:t>0.0288%</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0.2774%</w:t>
            </w:r>
          </w:p>
        </w:tc>
        <w:tc>
          <w:tcPr>
            <w:tcW w:w="1233" w:type="dxa"/>
            <w:vAlign w:val="center"/>
          </w:tcPr>
          <w:p w:rsidR="00A242DE" w:rsidRDefault="00292641">
            <w:pPr>
              <w:jc w:val="center"/>
            </w:pPr>
            <w:r>
              <w:rPr>
                <w:sz w:val="24"/>
              </w:rPr>
              <w:t>0.0009%</w:t>
            </w:r>
          </w:p>
        </w:tc>
      </w:tr>
      <w:tr w:rsidR="00A242DE">
        <w:tc>
          <w:tcPr>
            <w:tcW w:w="1600" w:type="dxa"/>
            <w:vAlign w:val="center"/>
          </w:tcPr>
          <w:p w:rsidR="00A242DE" w:rsidRDefault="00292641">
            <w:pPr>
              <w:jc w:val="left"/>
            </w:pPr>
            <w:r>
              <w:rPr>
                <w:sz w:val="24"/>
              </w:rPr>
              <w:t>过去三个月</w:t>
            </w:r>
          </w:p>
        </w:tc>
        <w:tc>
          <w:tcPr>
            <w:tcW w:w="1233" w:type="dxa"/>
            <w:vAlign w:val="center"/>
          </w:tcPr>
          <w:p w:rsidR="00A242DE" w:rsidRDefault="00292641">
            <w:pPr>
              <w:jc w:val="center"/>
            </w:pPr>
            <w:r>
              <w:rPr>
                <w:sz w:val="24"/>
              </w:rPr>
              <w:t>0.9544%</w:t>
            </w:r>
          </w:p>
        </w:tc>
        <w:tc>
          <w:tcPr>
            <w:tcW w:w="1233" w:type="dxa"/>
            <w:vAlign w:val="center"/>
          </w:tcPr>
          <w:p w:rsidR="00A242DE" w:rsidRDefault="00292641">
            <w:pPr>
              <w:jc w:val="center"/>
            </w:pPr>
            <w:r>
              <w:rPr>
                <w:sz w:val="24"/>
              </w:rPr>
              <w:t>0.0015%</w:t>
            </w:r>
          </w:p>
        </w:tc>
        <w:tc>
          <w:tcPr>
            <w:tcW w:w="1233" w:type="dxa"/>
            <w:vAlign w:val="center"/>
          </w:tcPr>
          <w:p w:rsidR="00A242DE" w:rsidRDefault="00292641">
            <w:pPr>
              <w:jc w:val="center"/>
            </w:pPr>
            <w:r>
              <w:rPr>
                <w:sz w:val="24"/>
              </w:rPr>
              <w:t>0.0873%</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0.8671%</w:t>
            </w:r>
          </w:p>
        </w:tc>
        <w:tc>
          <w:tcPr>
            <w:tcW w:w="1233" w:type="dxa"/>
            <w:vAlign w:val="center"/>
          </w:tcPr>
          <w:p w:rsidR="00A242DE" w:rsidRDefault="00292641">
            <w:pPr>
              <w:jc w:val="center"/>
            </w:pPr>
            <w:r>
              <w:rPr>
                <w:sz w:val="24"/>
              </w:rPr>
              <w:t>0.0015%</w:t>
            </w:r>
          </w:p>
        </w:tc>
      </w:tr>
      <w:tr w:rsidR="00A242DE">
        <w:tc>
          <w:tcPr>
            <w:tcW w:w="1600" w:type="dxa"/>
            <w:vAlign w:val="center"/>
          </w:tcPr>
          <w:p w:rsidR="00A242DE" w:rsidRDefault="00292641">
            <w:pPr>
              <w:jc w:val="left"/>
            </w:pPr>
            <w:r>
              <w:rPr>
                <w:sz w:val="24"/>
              </w:rPr>
              <w:t>过去六个月</w:t>
            </w:r>
          </w:p>
        </w:tc>
        <w:tc>
          <w:tcPr>
            <w:tcW w:w="1233" w:type="dxa"/>
            <w:vAlign w:val="center"/>
          </w:tcPr>
          <w:p w:rsidR="00A242DE" w:rsidRDefault="00292641">
            <w:pPr>
              <w:jc w:val="center"/>
            </w:pPr>
            <w:r>
              <w:rPr>
                <w:sz w:val="24"/>
              </w:rPr>
              <w:t>1.8771%</w:t>
            </w:r>
          </w:p>
        </w:tc>
        <w:tc>
          <w:tcPr>
            <w:tcW w:w="1233" w:type="dxa"/>
            <w:vAlign w:val="center"/>
          </w:tcPr>
          <w:p w:rsidR="00A242DE" w:rsidRDefault="00292641">
            <w:pPr>
              <w:jc w:val="center"/>
            </w:pPr>
            <w:r>
              <w:rPr>
                <w:sz w:val="24"/>
              </w:rPr>
              <w:t>0.0012%</w:t>
            </w:r>
          </w:p>
        </w:tc>
        <w:tc>
          <w:tcPr>
            <w:tcW w:w="1233" w:type="dxa"/>
            <w:vAlign w:val="center"/>
          </w:tcPr>
          <w:p w:rsidR="00A242DE" w:rsidRDefault="00292641">
            <w:pPr>
              <w:jc w:val="center"/>
            </w:pPr>
            <w:r>
              <w:rPr>
                <w:sz w:val="24"/>
              </w:rPr>
              <w:t>0.1736%</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1.7035%</w:t>
            </w:r>
          </w:p>
        </w:tc>
        <w:tc>
          <w:tcPr>
            <w:tcW w:w="1233" w:type="dxa"/>
            <w:vAlign w:val="center"/>
          </w:tcPr>
          <w:p w:rsidR="00A242DE" w:rsidRDefault="00292641">
            <w:pPr>
              <w:jc w:val="center"/>
            </w:pPr>
            <w:r>
              <w:rPr>
                <w:sz w:val="24"/>
              </w:rPr>
              <w:t>0.0012%</w:t>
            </w:r>
          </w:p>
        </w:tc>
      </w:tr>
      <w:tr w:rsidR="00A242DE">
        <w:tc>
          <w:tcPr>
            <w:tcW w:w="1600" w:type="dxa"/>
            <w:vAlign w:val="center"/>
          </w:tcPr>
          <w:p w:rsidR="00A242DE" w:rsidRDefault="00292641">
            <w:pPr>
              <w:jc w:val="left"/>
            </w:pPr>
            <w:r>
              <w:rPr>
                <w:sz w:val="24"/>
              </w:rPr>
              <w:t>过去一年</w:t>
            </w:r>
          </w:p>
        </w:tc>
        <w:tc>
          <w:tcPr>
            <w:tcW w:w="1233" w:type="dxa"/>
            <w:vAlign w:val="center"/>
          </w:tcPr>
          <w:p w:rsidR="00A242DE" w:rsidRDefault="00292641">
            <w:pPr>
              <w:jc w:val="center"/>
            </w:pPr>
            <w:r>
              <w:rPr>
                <w:sz w:val="24"/>
              </w:rPr>
              <w:t>3.7679%</w:t>
            </w:r>
          </w:p>
        </w:tc>
        <w:tc>
          <w:tcPr>
            <w:tcW w:w="1233" w:type="dxa"/>
            <w:vAlign w:val="center"/>
          </w:tcPr>
          <w:p w:rsidR="00A242DE" w:rsidRDefault="00292641">
            <w:pPr>
              <w:jc w:val="center"/>
            </w:pPr>
            <w:r>
              <w:rPr>
                <w:sz w:val="24"/>
              </w:rPr>
              <w:t>0.0013%</w:t>
            </w:r>
          </w:p>
        </w:tc>
        <w:tc>
          <w:tcPr>
            <w:tcW w:w="1233" w:type="dxa"/>
            <w:vAlign w:val="center"/>
          </w:tcPr>
          <w:p w:rsidR="00A242DE" w:rsidRDefault="00292641">
            <w:pPr>
              <w:jc w:val="center"/>
            </w:pPr>
            <w:r>
              <w:rPr>
                <w:sz w:val="24"/>
              </w:rPr>
              <w:t>0.3500%</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3.4179%</w:t>
            </w:r>
          </w:p>
        </w:tc>
        <w:tc>
          <w:tcPr>
            <w:tcW w:w="1233" w:type="dxa"/>
            <w:vAlign w:val="center"/>
          </w:tcPr>
          <w:p w:rsidR="00A242DE" w:rsidRDefault="00292641">
            <w:pPr>
              <w:jc w:val="center"/>
            </w:pPr>
            <w:r>
              <w:rPr>
                <w:sz w:val="24"/>
              </w:rPr>
              <w:t>0.0013%</w:t>
            </w:r>
          </w:p>
        </w:tc>
      </w:tr>
      <w:tr w:rsidR="00A242DE">
        <w:tc>
          <w:tcPr>
            <w:tcW w:w="1600" w:type="dxa"/>
            <w:vAlign w:val="center"/>
          </w:tcPr>
          <w:p w:rsidR="00A242DE" w:rsidRDefault="00292641">
            <w:pPr>
              <w:jc w:val="left"/>
            </w:pPr>
            <w:r>
              <w:rPr>
                <w:sz w:val="24"/>
              </w:rPr>
              <w:t>过去三年</w:t>
            </w:r>
          </w:p>
        </w:tc>
        <w:tc>
          <w:tcPr>
            <w:tcW w:w="1233" w:type="dxa"/>
            <w:vAlign w:val="center"/>
          </w:tcPr>
          <w:p w:rsidR="00A242DE" w:rsidRDefault="00292641">
            <w:pPr>
              <w:jc w:val="center"/>
            </w:pPr>
            <w:r>
              <w:rPr>
                <w:sz w:val="24"/>
              </w:rPr>
              <w:t>-</w:t>
            </w:r>
          </w:p>
        </w:tc>
        <w:tc>
          <w:tcPr>
            <w:tcW w:w="1233" w:type="dxa"/>
            <w:vAlign w:val="center"/>
          </w:tcPr>
          <w:p w:rsidR="00A242DE" w:rsidRDefault="00292641">
            <w:pPr>
              <w:jc w:val="center"/>
            </w:pPr>
            <w:r>
              <w:rPr>
                <w:sz w:val="24"/>
              </w:rPr>
              <w:t>-</w:t>
            </w:r>
          </w:p>
        </w:tc>
        <w:tc>
          <w:tcPr>
            <w:tcW w:w="1233" w:type="dxa"/>
            <w:vAlign w:val="center"/>
          </w:tcPr>
          <w:p w:rsidR="00A242DE" w:rsidRDefault="00292641">
            <w:pPr>
              <w:jc w:val="center"/>
            </w:pPr>
            <w:r>
              <w:rPr>
                <w:sz w:val="24"/>
              </w:rPr>
              <w:t>-</w:t>
            </w:r>
          </w:p>
        </w:tc>
        <w:tc>
          <w:tcPr>
            <w:tcW w:w="1233" w:type="dxa"/>
            <w:vAlign w:val="center"/>
          </w:tcPr>
          <w:p w:rsidR="00A242DE" w:rsidRDefault="00292641">
            <w:pPr>
              <w:jc w:val="center"/>
            </w:pPr>
            <w:r>
              <w:rPr>
                <w:sz w:val="24"/>
              </w:rPr>
              <w:t>-</w:t>
            </w:r>
          </w:p>
        </w:tc>
        <w:tc>
          <w:tcPr>
            <w:tcW w:w="1233" w:type="dxa"/>
            <w:vAlign w:val="center"/>
          </w:tcPr>
          <w:p w:rsidR="00A242DE" w:rsidRDefault="00292641">
            <w:pPr>
              <w:jc w:val="center"/>
            </w:pPr>
            <w:r>
              <w:rPr>
                <w:sz w:val="24"/>
              </w:rPr>
              <w:t>-</w:t>
            </w:r>
          </w:p>
        </w:tc>
        <w:tc>
          <w:tcPr>
            <w:tcW w:w="1233" w:type="dxa"/>
            <w:vAlign w:val="center"/>
          </w:tcPr>
          <w:p w:rsidR="00A242DE" w:rsidRDefault="00292641">
            <w:pPr>
              <w:jc w:val="center"/>
            </w:pPr>
            <w:r>
              <w:rPr>
                <w:sz w:val="24"/>
              </w:rPr>
              <w:t>-</w:t>
            </w:r>
          </w:p>
        </w:tc>
      </w:tr>
      <w:tr w:rsidR="00A242DE">
        <w:tc>
          <w:tcPr>
            <w:tcW w:w="1600" w:type="dxa"/>
            <w:vAlign w:val="center"/>
          </w:tcPr>
          <w:p w:rsidR="00A242DE" w:rsidRDefault="00292641">
            <w:pPr>
              <w:jc w:val="left"/>
            </w:pPr>
            <w:r>
              <w:rPr>
                <w:sz w:val="24"/>
              </w:rPr>
              <w:t>自基金合同生效起至今</w:t>
            </w:r>
          </w:p>
        </w:tc>
        <w:tc>
          <w:tcPr>
            <w:tcW w:w="1233" w:type="dxa"/>
            <w:vAlign w:val="center"/>
          </w:tcPr>
          <w:p w:rsidR="00A242DE" w:rsidRDefault="00292641">
            <w:pPr>
              <w:jc w:val="center"/>
            </w:pPr>
            <w:r>
              <w:rPr>
                <w:sz w:val="24"/>
              </w:rPr>
              <w:t>6.1667%</w:t>
            </w:r>
          </w:p>
        </w:tc>
        <w:tc>
          <w:tcPr>
            <w:tcW w:w="1233" w:type="dxa"/>
            <w:vAlign w:val="center"/>
          </w:tcPr>
          <w:p w:rsidR="00A242DE" w:rsidRDefault="00292641">
            <w:pPr>
              <w:jc w:val="center"/>
            </w:pPr>
            <w:r>
              <w:rPr>
                <w:sz w:val="24"/>
              </w:rPr>
              <w:t>0.0019%</w:t>
            </w:r>
          </w:p>
        </w:tc>
        <w:tc>
          <w:tcPr>
            <w:tcW w:w="1233" w:type="dxa"/>
            <w:vAlign w:val="center"/>
          </w:tcPr>
          <w:p w:rsidR="00A242DE" w:rsidRDefault="00292641">
            <w:pPr>
              <w:jc w:val="center"/>
            </w:pPr>
            <w:r>
              <w:rPr>
                <w:sz w:val="24"/>
              </w:rPr>
              <w:t>0.6290%</w:t>
            </w:r>
          </w:p>
        </w:tc>
        <w:tc>
          <w:tcPr>
            <w:tcW w:w="1233" w:type="dxa"/>
            <w:vAlign w:val="center"/>
          </w:tcPr>
          <w:p w:rsidR="00A242DE" w:rsidRDefault="00292641">
            <w:pPr>
              <w:jc w:val="center"/>
            </w:pPr>
            <w:r>
              <w:rPr>
                <w:sz w:val="24"/>
              </w:rPr>
              <w:t>0.0000%</w:t>
            </w:r>
          </w:p>
        </w:tc>
        <w:tc>
          <w:tcPr>
            <w:tcW w:w="1233" w:type="dxa"/>
            <w:vAlign w:val="center"/>
          </w:tcPr>
          <w:p w:rsidR="00A242DE" w:rsidRDefault="00292641">
            <w:pPr>
              <w:jc w:val="center"/>
            </w:pPr>
            <w:r>
              <w:rPr>
                <w:sz w:val="24"/>
              </w:rPr>
              <w:t>5.5377%</w:t>
            </w:r>
          </w:p>
        </w:tc>
        <w:tc>
          <w:tcPr>
            <w:tcW w:w="1233" w:type="dxa"/>
            <w:vAlign w:val="center"/>
          </w:tcPr>
          <w:p w:rsidR="00A242DE" w:rsidRDefault="00292641">
            <w:pPr>
              <w:jc w:val="center"/>
            </w:pPr>
            <w:r>
              <w:rPr>
                <w:sz w:val="24"/>
              </w:rPr>
              <w:t>0.0019%</w:t>
            </w:r>
          </w:p>
        </w:tc>
      </w:tr>
    </w:tbl>
    <w:p w:rsidR="0017291A" w:rsidRPr="0061644B" w:rsidRDefault="0017291A"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交银施罗德现金宝货币市场基金</w:t>
      </w:r>
    </w:p>
    <w:p w:rsidR="00223DFB" w:rsidRPr="0061644B" w:rsidRDefault="008E0E65" w:rsidP="00792A69">
      <w:pPr>
        <w:spacing w:before="29" w:line="288" w:lineRule="auto"/>
        <w:jc w:val="center"/>
        <w:rPr>
          <w:b/>
          <w:bCs/>
          <w:sz w:val="24"/>
          <w:vertAlign w:val="superscript"/>
        </w:rPr>
      </w:pPr>
      <w:r w:rsidRPr="0061644B">
        <w:rPr>
          <w:sz w:val="24"/>
        </w:rPr>
        <w:lastRenderedPageBreak/>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2014</w:t>
      </w:r>
      <w:r w:rsidR="00223DFB" w:rsidRPr="0061644B">
        <w:rPr>
          <w:sz w:val="24"/>
        </w:rPr>
        <w:t>年</w:t>
      </w:r>
      <w:r w:rsidR="00223DFB" w:rsidRPr="0061644B">
        <w:rPr>
          <w:sz w:val="24"/>
        </w:rPr>
        <w:t>9</w:t>
      </w:r>
      <w:r w:rsidR="00223DFB" w:rsidRPr="0061644B">
        <w:rPr>
          <w:sz w:val="24"/>
        </w:rPr>
        <w:t>月</w:t>
      </w:r>
      <w:r w:rsidR="00223DFB" w:rsidRPr="0061644B">
        <w:rPr>
          <w:sz w:val="24"/>
        </w:rPr>
        <w:t>12</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交银现金</w:t>
      </w:r>
      <w:proofErr w:type="gramStart"/>
      <w:r w:rsidR="00CF7572" w:rsidRPr="0061644B">
        <w:rPr>
          <w:sz w:val="24"/>
        </w:rPr>
        <w:t>宝货币</w:t>
      </w:r>
      <w:proofErr w:type="gramEnd"/>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242DE" w:rsidRDefault="00292641">
      <w:pPr>
        <w:spacing w:before="29" w:line="288" w:lineRule="auto"/>
        <w:jc w:val="left"/>
        <w:rPr>
          <w:kern w:val="0"/>
          <w:sz w:val="24"/>
        </w:rPr>
      </w:pPr>
      <w:r>
        <w:rPr>
          <w:kern w:val="0"/>
          <w:sz w:val="24"/>
        </w:rPr>
        <w:t>注：图示日期为</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日至</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A242DE" w:rsidRDefault="00A242DE">
      <w:pPr>
        <w:spacing w:before="29" w:line="288" w:lineRule="auto"/>
        <w:jc w:val="left"/>
        <w:rPr>
          <w:kern w:val="0"/>
          <w:sz w:val="24"/>
        </w:rPr>
      </w:pPr>
    </w:p>
    <w:p w:rsidR="00223DFB" w:rsidRPr="0061644B" w:rsidRDefault="00223DFB"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交银现金</w:t>
      </w:r>
      <w:proofErr w:type="gramStart"/>
      <w:r w:rsidR="00223DFB" w:rsidRPr="0061644B">
        <w:rPr>
          <w:sz w:val="24"/>
        </w:rPr>
        <w:t>宝货币</w:t>
      </w:r>
      <w:proofErr w:type="gramEnd"/>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242DE" w:rsidRDefault="00292641">
      <w:pPr>
        <w:tabs>
          <w:tab w:val="left" w:pos="426"/>
        </w:tabs>
        <w:spacing w:before="29" w:line="288" w:lineRule="auto"/>
        <w:jc w:val="left"/>
        <w:rPr>
          <w:kern w:val="0"/>
          <w:sz w:val="24"/>
        </w:rPr>
      </w:pPr>
      <w:r>
        <w:rPr>
          <w:kern w:val="0"/>
          <w:sz w:val="24"/>
        </w:rPr>
        <w:t>注：本基金自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日起增加</w:t>
      </w:r>
      <w:r>
        <w:rPr>
          <w:kern w:val="0"/>
          <w:sz w:val="24"/>
        </w:rPr>
        <w:t>E</w:t>
      </w:r>
      <w:r>
        <w:rPr>
          <w:kern w:val="0"/>
          <w:sz w:val="24"/>
        </w:rPr>
        <w:t>类基金份额类别，投资者提交的申购申请于</w:t>
      </w:r>
      <w:r>
        <w:rPr>
          <w:kern w:val="0"/>
          <w:sz w:val="24"/>
        </w:rPr>
        <w:t>2016</w:t>
      </w:r>
      <w:r>
        <w:rPr>
          <w:kern w:val="0"/>
          <w:sz w:val="24"/>
        </w:rPr>
        <w:t>年</w:t>
      </w:r>
      <w:r>
        <w:rPr>
          <w:kern w:val="0"/>
          <w:sz w:val="24"/>
        </w:rPr>
        <w:t>9</w:t>
      </w:r>
      <w:r>
        <w:rPr>
          <w:kern w:val="0"/>
          <w:sz w:val="24"/>
        </w:rPr>
        <w:t>月</w:t>
      </w:r>
      <w:r>
        <w:rPr>
          <w:kern w:val="0"/>
          <w:sz w:val="24"/>
        </w:rPr>
        <w:t>13</w:t>
      </w:r>
      <w:r>
        <w:rPr>
          <w:kern w:val="0"/>
          <w:sz w:val="24"/>
        </w:rPr>
        <w:t>日被确认并将有效份额登记在册。图示日期为</w:t>
      </w:r>
      <w:r>
        <w:rPr>
          <w:kern w:val="0"/>
          <w:sz w:val="24"/>
        </w:rPr>
        <w:t>2016</w:t>
      </w:r>
      <w:r>
        <w:rPr>
          <w:kern w:val="0"/>
          <w:sz w:val="24"/>
        </w:rPr>
        <w:t>年</w:t>
      </w:r>
      <w:r>
        <w:rPr>
          <w:kern w:val="0"/>
          <w:sz w:val="24"/>
        </w:rPr>
        <w:t>9</w:t>
      </w:r>
      <w:r>
        <w:rPr>
          <w:kern w:val="0"/>
          <w:sz w:val="24"/>
        </w:rPr>
        <w:t>月</w:t>
      </w:r>
      <w:r>
        <w:rPr>
          <w:kern w:val="0"/>
          <w:sz w:val="24"/>
        </w:rPr>
        <w:t>13</w:t>
      </w:r>
      <w:r>
        <w:rPr>
          <w:kern w:val="0"/>
          <w:sz w:val="24"/>
        </w:rPr>
        <w:t>日至</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w:t>
      </w:r>
    </w:p>
    <w:p w:rsidR="00223DFB" w:rsidRPr="0061644B" w:rsidRDefault="00223DFB" w:rsidP="00792A69">
      <w:pPr>
        <w:tabs>
          <w:tab w:val="left" w:pos="426"/>
        </w:tabs>
        <w:spacing w:before="29" w:line="288" w:lineRule="auto"/>
        <w:jc w:val="left"/>
        <w:rPr>
          <w:kern w:val="0"/>
          <w:sz w:val="24"/>
        </w:rPr>
      </w:pP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A242DE" w:rsidRDefault="00292641">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81</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proofErr w:type="gramStart"/>
            <w:r w:rsidRPr="0061644B">
              <w:rPr>
                <w:sz w:val="24"/>
              </w:rPr>
              <w:t>任本基金</w:t>
            </w:r>
            <w:proofErr w:type="gramEnd"/>
            <w:r w:rsidRPr="0061644B">
              <w:rPr>
                <w:sz w:val="24"/>
              </w:rPr>
              <w:t>的基金经理</w:t>
            </w:r>
          </w:p>
          <w:p w:rsidR="00223DFB" w:rsidRPr="0061644B" w:rsidRDefault="00FC370B" w:rsidP="00792A69">
            <w:pPr>
              <w:spacing w:before="29" w:line="288" w:lineRule="auto"/>
              <w:jc w:val="center"/>
              <w:rPr>
                <w:sz w:val="24"/>
              </w:rPr>
            </w:pPr>
            <w:r w:rsidRPr="0061644B">
              <w:rPr>
                <w:sz w:val="24"/>
              </w:rPr>
              <w:lastRenderedPageBreak/>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lastRenderedPageBreak/>
              <w:t>证券从业</w:t>
            </w:r>
            <w:r w:rsidRPr="0061644B">
              <w:rPr>
                <w:sz w:val="24"/>
              </w:rPr>
              <w:lastRenderedPageBreak/>
              <w:t>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lastRenderedPageBreak/>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A242DE">
        <w:tc>
          <w:tcPr>
            <w:tcW w:w="1032" w:type="dxa"/>
            <w:vAlign w:val="center"/>
          </w:tcPr>
          <w:p w:rsidR="00A242DE" w:rsidRDefault="00292641">
            <w:pPr>
              <w:jc w:val="center"/>
            </w:pPr>
            <w:r>
              <w:rPr>
                <w:sz w:val="24"/>
              </w:rPr>
              <w:t>黄莹洁</w:t>
            </w:r>
          </w:p>
        </w:tc>
        <w:tc>
          <w:tcPr>
            <w:tcW w:w="1019" w:type="dxa"/>
            <w:vAlign w:val="center"/>
          </w:tcPr>
          <w:p w:rsidR="00A242DE" w:rsidRDefault="00292641">
            <w:pPr>
              <w:jc w:val="center"/>
            </w:pPr>
            <w:r>
              <w:rPr>
                <w:sz w:val="24"/>
              </w:rPr>
              <w:t>交银货币、交银理财</w:t>
            </w:r>
            <w:r>
              <w:rPr>
                <w:sz w:val="24"/>
              </w:rPr>
              <w:t>21</w:t>
            </w:r>
            <w:r>
              <w:rPr>
                <w:sz w:val="24"/>
              </w:rPr>
              <w:t>天债券、交银现金宝货币、交</w:t>
            </w:r>
            <w:proofErr w:type="gramStart"/>
            <w:r>
              <w:rPr>
                <w:sz w:val="24"/>
              </w:rPr>
              <w:t>银丰享收益债券</w:t>
            </w:r>
            <w:proofErr w:type="gramEnd"/>
            <w:r>
              <w:rPr>
                <w:sz w:val="24"/>
              </w:rPr>
              <w:t>、交</w:t>
            </w:r>
            <w:proofErr w:type="gramStart"/>
            <w:r>
              <w:rPr>
                <w:sz w:val="24"/>
              </w:rPr>
              <w:t>银裕通纯债</w:t>
            </w:r>
            <w:proofErr w:type="gramEnd"/>
            <w:r>
              <w:rPr>
                <w:sz w:val="24"/>
              </w:rPr>
              <w:t>债券、交银活期通货币、交银天利宝货币、交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p w:rsidR="00A242DE" w:rsidRDefault="00A242DE">
            <w:pPr>
              <w:jc w:val="center"/>
            </w:pPr>
          </w:p>
        </w:tc>
        <w:tc>
          <w:tcPr>
            <w:tcW w:w="1523" w:type="dxa"/>
            <w:vAlign w:val="center"/>
          </w:tcPr>
          <w:p w:rsidR="00A242DE" w:rsidRDefault="00292641">
            <w:pPr>
              <w:jc w:val="center"/>
            </w:pPr>
            <w:r>
              <w:rPr>
                <w:sz w:val="24"/>
              </w:rPr>
              <w:t>2015-05-27</w:t>
            </w:r>
          </w:p>
        </w:tc>
        <w:tc>
          <w:tcPr>
            <w:tcW w:w="1192" w:type="dxa"/>
            <w:vAlign w:val="center"/>
          </w:tcPr>
          <w:p w:rsidR="00A242DE" w:rsidRDefault="00292641">
            <w:pPr>
              <w:jc w:val="center"/>
            </w:pPr>
            <w:r>
              <w:rPr>
                <w:sz w:val="24"/>
              </w:rPr>
              <w:t>-</w:t>
            </w:r>
          </w:p>
        </w:tc>
        <w:tc>
          <w:tcPr>
            <w:tcW w:w="1192" w:type="dxa"/>
            <w:vAlign w:val="center"/>
          </w:tcPr>
          <w:p w:rsidR="00A242DE" w:rsidRDefault="00292641">
            <w:pPr>
              <w:jc w:val="center"/>
            </w:pPr>
            <w:r>
              <w:rPr>
                <w:sz w:val="24"/>
              </w:rPr>
              <w:t>10</w:t>
            </w:r>
            <w:r>
              <w:rPr>
                <w:sz w:val="24"/>
              </w:rPr>
              <w:t>年</w:t>
            </w:r>
          </w:p>
        </w:tc>
        <w:tc>
          <w:tcPr>
            <w:tcW w:w="3040" w:type="dxa"/>
            <w:vAlign w:val="center"/>
          </w:tcPr>
          <w:p w:rsidR="00A242DE" w:rsidRDefault="00292641">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A242DE" w:rsidRDefault="00A242DE"/>
        </w:tc>
      </w:tr>
      <w:tr w:rsidR="00A242DE">
        <w:tc>
          <w:tcPr>
            <w:tcW w:w="1032" w:type="dxa"/>
            <w:vAlign w:val="center"/>
          </w:tcPr>
          <w:p w:rsidR="00A242DE" w:rsidRDefault="00292641">
            <w:pPr>
              <w:jc w:val="center"/>
            </w:pPr>
            <w:proofErr w:type="gramStart"/>
            <w:r>
              <w:rPr>
                <w:sz w:val="24"/>
              </w:rPr>
              <w:t>连端清</w:t>
            </w:r>
            <w:proofErr w:type="gramEnd"/>
          </w:p>
        </w:tc>
        <w:tc>
          <w:tcPr>
            <w:tcW w:w="1019" w:type="dxa"/>
            <w:vAlign w:val="center"/>
          </w:tcPr>
          <w:p w:rsidR="00A242DE" w:rsidRDefault="00292641">
            <w:pPr>
              <w:jc w:val="center"/>
            </w:pPr>
            <w:r>
              <w:rPr>
                <w:sz w:val="24"/>
              </w:rPr>
              <w:t>交银货币、交银理财</w:t>
            </w:r>
            <w:r>
              <w:rPr>
                <w:sz w:val="24"/>
              </w:rPr>
              <w:t>60</w:t>
            </w:r>
            <w:r>
              <w:rPr>
                <w:sz w:val="24"/>
              </w:rPr>
              <w:t>天债券、交银丰盈收益债券、交</w:t>
            </w:r>
            <w:r>
              <w:rPr>
                <w:sz w:val="24"/>
              </w:rPr>
              <w:lastRenderedPageBreak/>
              <w:t>银现金宝货币、交银丰润收益债券、交银活期通货币、交银天利宝货币、交</w:t>
            </w:r>
            <w:proofErr w:type="gramStart"/>
            <w:r>
              <w:rPr>
                <w:sz w:val="24"/>
              </w:rPr>
              <w:t>银裕兴纯债</w:t>
            </w:r>
            <w:proofErr w:type="gramEnd"/>
            <w:r>
              <w:rPr>
                <w:sz w:val="24"/>
              </w:rPr>
              <w:t>债券、交</w:t>
            </w:r>
            <w:proofErr w:type="gramStart"/>
            <w:r>
              <w:rPr>
                <w:sz w:val="24"/>
              </w:rPr>
              <w:t>银裕盈纯债</w:t>
            </w:r>
            <w:proofErr w:type="gramEnd"/>
            <w:r>
              <w:rPr>
                <w:sz w:val="24"/>
              </w:rPr>
              <w:t>债券、交</w:t>
            </w:r>
            <w:proofErr w:type="gramStart"/>
            <w:r>
              <w:rPr>
                <w:sz w:val="24"/>
              </w:rPr>
              <w:t>银裕利纯债</w:t>
            </w:r>
            <w:proofErr w:type="gramEnd"/>
            <w:r>
              <w:rPr>
                <w:sz w:val="24"/>
              </w:rPr>
              <w:t>债券、交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收益债券、交银天运</w:t>
            </w:r>
            <w:proofErr w:type="gramStart"/>
            <w:r>
              <w:rPr>
                <w:sz w:val="24"/>
              </w:rPr>
              <w:t>宝货币</w:t>
            </w:r>
            <w:proofErr w:type="gramEnd"/>
            <w:r>
              <w:rPr>
                <w:sz w:val="24"/>
              </w:rPr>
              <w:t>的基金经理</w:t>
            </w:r>
          </w:p>
          <w:p w:rsidR="00A242DE" w:rsidRDefault="00A242DE">
            <w:pPr>
              <w:jc w:val="center"/>
            </w:pPr>
          </w:p>
        </w:tc>
        <w:tc>
          <w:tcPr>
            <w:tcW w:w="1523" w:type="dxa"/>
            <w:vAlign w:val="center"/>
          </w:tcPr>
          <w:p w:rsidR="00A242DE" w:rsidRDefault="00292641">
            <w:pPr>
              <w:jc w:val="center"/>
            </w:pPr>
            <w:r>
              <w:rPr>
                <w:sz w:val="24"/>
              </w:rPr>
              <w:lastRenderedPageBreak/>
              <w:t>2015-08-04</w:t>
            </w:r>
          </w:p>
        </w:tc>
        <w:tc>
          <w:tcPr>
            <w:tcW w:w="1192" w:type="dxa"/>
            <w:vAlign w:val="center"/>
          </w:tcPr>
          <w:p w:rsidR="00A242DE" w:rsidRDefault="00292641">
            <w:pPr>
              <w:jc w:val="center"/>
            </w:pPr>
            <w:r>
              <w:rPr>
                <w:sz w:val="24"/>
              </w:rPr>
              <w:t>-</w:t>
            </w:r>
          </w:p>
        </w:tc>
        <w:tc>
          <w:tcPr>
            <w:tcW w:w="1192" w:type="dxa"/>
            <w:vAlign w:val="center"/>
          </w:tcPr>
          <w:p w:rsidR="00A242DE" w:rsidRDefault="00292641">
            <w:pPr>
              <w:jc w:val="center"/>
            </w:pPr>
            <w:r>
              <w:rPr>
                <w:sz w:val="24"/>
              </w:rPr>
              <w:t>5</w:t>
            </w:r>
            <w:r>
              <w:rPr>
                <w:sz w:val="24"/>
              </w:rPr>
              <w:t>年</w:t>
            </w:r>
          </w:p>
        </w:tc>
        <w:tc>
          <w:tcPr>
            <w:tcW w:w="3040" w:type="dxa"/>
            <w:vAlign w:val="center"/>
          </w:tcPr>
          <w:p w:rsidR="00A242DE" w:rsidRDefault="00292641">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A242DE" w:rsidRDefault="00A242DE"/>
        </w:tc>
      </w:tr>
      <w:tr w:rsidR="00A242DE">
        <w:tc>
          <w:tcPr>
            <w:tcW w:w="1032" w:type="dxa"/>
            <w:vAlign w:val="center"/>
          </w:tcPr>
          <w:p w:rsidR="00A242DE" w:rsidRDefault="00292641">
            <w:pPr>
              <w:jc w:val="center"/>
            </w:pPr>
            <w:proofErr w:type="gramStart"/>
            <w:r>
              <w:rPr>
                <w:sz w:val="24"/>
              </w:rPr>
              <w:t>季参平</w:t>
            </w:r>
            <w:proofErr w:type="gramEnd"/>
          </w:p>
        </w:tc>
        <w:tc>
          <w:tcPr>
            <w:tcW w:w="1019" w:type="dxa"/>
            <w:vAlign w:val="center"/>
          </w:tcPr>
          <w:p w:rsidR="00A242DE" w:rsidRDefault="00292641">
            <w:pPr>
              <w:jc w:val="center"/>
            </w:pPr>
            <w:r>
              <w:rPr>
                <w:sz w:val="24"/>
              </w:rPr>
              <w:t>交银货币、交银理财</w:t>
            </w:r>
            <w:r>
              <w:rPr>
                <w:sz w:val="24"/>
              </w:rPr>
              <w:t>21</w:t>
            </w:r>
            <w:r>
              <w:rPr>
                <w:sz w:val="24"/>
              </w:rPr>
              <w:t>天债券、交银理财</w:t>
            </w:r>
            <w:r>
              <w:rPr>
                <w:sz w:val="24"/>
              </w:rPr>
              <w:t>60</w:t>
            </w:r>
            <w:r>
              <w:rPr>
                <w:sz w:val="24"/>
              </w:rPr>
              <w:t>天债</w:t>
            </w:r>
            <w:r>
              <w:rPr>
                <w:sz w:val="24"/>
              </w:rPr>
              <w:lastRenderedPageBreak/>
              <w:t>券、交银现金宝货币、交银卓越回报灵活配置混合、交银活期通货币、交银天利宝货币、交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宝货币、交银瑞</w:t>
            </w:r>
            <w:proofErr w:type="gramStart"/>
            <w:r>
              <w:rPr>
                <w:sz w:val="24"/>
              </w:rPr>
              <w:t>鑫</w:t>
            </w:r>
            <w:proofErr w:type="gramEnd"/>
            <w:r>
              <w:rPr>
                <w:sz w:val="24"/>
              </w:rPr>
              <w:t>定期开放灵活配置混合、交银天益宝货币、</w:t>
            </w:r>
            <w:proofErr w:type="gramStart"/>
            <w:r>
              <w:rPr>
                <w:sz w:val="24"/>
              </w:rPr>
              <w:t>交银瑞景</w:t>
            </w:r>
            <w:proofErr w:type="gramEnd"/>
            <w:r>
              <w:rPr>
                <w:sz w:val="24"/>
              </w:rPr>
              <w:t>定期开放灵活配置混合、</w:t>
            </w:r>
            <w:proofErr w:type="gramStart"/>
            <w:r>
              <w:rPr>
                <w:sz w:val="24"/>
              </w:rPr>
              <w:t>交银瑞利</w:t>
            </w:r>
            <w:proofErr w:type="gramEnd"/>
            <w:r>
              <w:rPr>
                <w:sz w:val="24"/>
              </w:rPr>
              <w:t>定期开放灵活配置、交银天运</w:t>
            </w:r>
            <w:proofErr w:type="gramStart"/>
            <w:r>
              <w:rPr>
                <w:sz w:val="24"/>
              </w:rPr>
              <w:t>宝货币</w:t>
            </w:r>
            <w:proofErr w:type="gramEnd"/>
            <w:r>
              <w:rPr>
                <w:sz w:val="24"/>
              </w:rPr>
              <w:t>的基金经理助理</w:t>
            </w:r>
          </w:p>
          <w:p w:rsidR="00A242DE" w:rsidRDefault="00A242DE">
            <w:pPr>
              <w:jc w:val="center"/>
            </w:pPr>
          </w:p>
        </w:tc>
        <w:tc>
          <w:tcPr>
            <w:tcW w:w="1523" w:type="dxa"/>
            <w:vAlign w:val="center"/>
          </w:tcPr>
          <w:p w:rsidR="00A242DE" w:rsidRDefault="00292641">
            <w:pPr>
              <w:jc w:val="center"/>
            </w:pPr>
            <w:r>
              <w:rPr>
                <w:sz w:val="24"/>
              </w:rPr>
              <w:lastRenderedPageBreak/>
              <w:t>2018-01-10</w:t>
            </w:r>
          </w:p>
        </w:tc>
        <w:tc>
          <w:tcPr>
            <w:tcW w:w="1192" w:type="dxa"/>
            <w:vAlign w:val="center"/>
          </w:tcPr>
          <w:p w:rsidR="00A242DE" w:rsidRDefault="00292641">
            <w:pPr>
              <w:jc w:val="center"/>
            </w:pPr>
            <w:r>
              <w:rPr>
                <w:sz w:val="24"/>
              </w:rPr>
              <w:t>-</w:t>
            </w:r>
          </w:p>
        </w:tc>
        <w:tc>
          <w:tcPr>
            <w:tcW w:w="1192" w:type="dxa"/>
            <w:vAlign w:val="center"/>
          </w:tcPr>
          <w:p w:rsidR="00A242DE" w:rsidRDefault="00292641">
            <w:pPr>
              <w:jc w:val="center"/>
            </w:pPr>
            <w:r>
              <w:rPr>
                <w:sz w:val="24"/>
              </w:rPr>
              <w:t>6</w:t>
            </w:r>
            <w:r>
              <w:rPr>
                <w:sz w:val="24"/>
              </w:rPr>
              <w:t>年</w:t>
            </w:r>
          </w:p>
        </w:tc>
        <w:tc>
          <w:tcPr>
            <w:tcW w:w="3040" w:type="dxa"/>
            <w:vAlign w:val="center"/>
          </w:tcPr>
          <w:p w:rsidR="00A242DE" w:rsidRDefault="00292641">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p w:rsidR="00A242DE" w:rsidRDefault="00A242DE"/>
        </w:tc>
      </w:tr>
    </w:tbl>
    <w:p w:rsidR="00A242DE" w:rsidRDefault="0029264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A242DE" w:rsidRDefault="00292641">
      <w:pPr>
        <w:tabs>
          <w:tab w:val="left" w:pos="426"/>
        </w:tabs>
        <w:spacing w:before="29" w:line="288" w:lineRule="auto"/>
        <w:jc w:val="left"/>
        <w:rPr>
          <w:kern w:val="0"/>
          <w:sz w:val="24"/>
        </w:rPr>
      </w:pPr>
      <w:r>
        <w:rPr>
          <w:kern w:val="0"/>
          <w:sz w:val="24"/>
        </w:rPr>
        <w:lastRenderedPageBreak/>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A242DE" w:rsidRDefault="0029264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w:t>
      </w:r>
      <w:proofErr w:type="gramStart"/>
      <w:r w:rsidRPr="0061644B">
        <w:rPr>
          <w:color w:val="000000"/>
          <w:sz w:val="24"/>
        </w:rPr>
        <w:t>规</w:t>
      </w:r>
      <w:proofErr w:type="gramEnd"/>
      <w:r w:rsidRPr="0061644B">
        <w:rPr>
          <w:color w:val="000000"/>
          <w:sz w:val="24"/>
        </w:rPr>
        <w:t>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A242DE" w:rsidRDefault="0029264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42DE" w:rsidRDefault="0029264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42DE" w:rsidRDefault="0029264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A242DE" w:rsidRDefault="00292641">
      <w:pPr>
        <w:spacing w:before="29" w:line="288" w:lineRule="auto"/>
        <w:ind w:firstLineChars="200" w:firstLine="480"/>
        <w:rPr>
          <w:color w:val="000000"/>
          <w:sz w:val="24"/>
        </w:rPr>
      </w:pPr>
      <w:r>
        <w:rPr>
          <w:color w:val="000000"/>
          <w:sz w:val="24"/>
        </w:rPr>
        <w:t>本报告期内，经济增长在内部监管政策从严执行和外部中美贸易</w:t>
      </w:r>
      <w:proofErr w:type="gramStart"/>
      <w:r>
        <w:rPr>
          <w:color w:val="000000"/>
          <w:sz w:val="24"/>
        </w:rPr>
        <w:t>战深化</w:t>
      </w:r>
      <w:proofErr w:type="gramEnd"/>
      <w:r>
        <w:rPr>
          <w:color w:val="000000"/>
          <w:sz w:val="24"/>
        </w:rPr>
        <w:t>的双重影响下趋缓。</w:t>
      </w:r>
      <w:r>
        <w:rPr>
          <w:color w:val="000000"/>
          <w:sz w:val="24"/>
        </w:rPr>
        <w:t>PPP</w:t>
      </w:r>
      <w:r>
        <w:rPr>
          <w:color w:val="000000"/>
          <w:sz w:val="24"/>
        </w:rPr>
        <w:t>模式和房地产为主导的固定资产投资活动放缓，增速从二月份的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w:t>
      </w:r>
      <w:proofErr w:type="gramStart"/>
      <w:r>
        <w:rPr>
          <w:color w:val="000000"/>
          <w:sz w:val="24"/>
        </w:rPr>
        <w:t>资管新规</w:t>
      </w:r>
      <w:proofErr w:type="gramEnd"/>
      <w:r>
        <w:rPr>
          <w:color w:val="000000"/>
          <w:sz w:val="24"/>
        </w:rPr>
        <w:t>出台后基本停滞，金融信贷数据的走弱包含了市场对未来经济增长乏力的预期。然而中国经济的韧性仍有些许表征，一方面是工业品价格企稳回升带动</w:t>
      </w:r>
      <w:r>
        <w:rPr>
          <w:color w:val="000000"/>
          <w:sz w:val="24"/>
        </w:rPr>
        <w:t>PPI</w:t>
      </w:r>
      <w:r>
        <w:rPr>
          <w:color w:val="000000"/>
          <w:sz w:val="24"/>
        </w:rPr>
        <w:t>增速上行至</w:t>
      </w:r>
      <w:r>
        <w:rPr>
          <w:color w:val="000000"/>
          <w:sz w:val="24"/>
        </w:rPr>
        <w:t xml:space="preserve">4.7% </w:t>
      </w:r>
      <w:r>
        <w:rPr>
          <w:color w:val="000000"/>
          <w:sz w:val="24"/>
        </w:rPr>
        <w:t>的水平，另一方面出口增速和贸易顺差在中美贸易纷争中继续保持良好增长。上半年央行执行了中性偏宽松的货币政策操作，在四月、六月相继调低存款准备金率，释放充裕的流动性。受此影响，银行间市场资金面非常宽松，资金价格大幅下行。</w:t>
      </w:r>
    </w:p>
    <w:p w:rsidR="00A242DE" w:rsidRDefault="00292641">
      <w:pPr>
        <w:spacing w:before="29" w:line="288" w:lineRule="auto"/>
        <w:ind w:firstLineChars="200" w:firstLine="480"/>
        <w:rPr>
          <w:color w:val="000000"/>
          <w:sz w:val="24"/>
        </w:rPr>
      </w:pPr>
      <w:r>
        <w:rPr>
          <w:color w:val="000000"/>
          <w:sz w:val="24"/>
        </w:rPr>
        <w:t>基金操作方面，我们仍旧维持低杠杆、</w:t>
      </w:r>
      <w:proofErr w:type="gramStart"/>
      <w:r>
        <w:rPr>
          <w:color w:val="000000"/>
          <w:sz w:val="24"/>
        </w:rPr>
        <w:t>短久期</w:t>
      </w:r>
      <w:proofErr w:type="gramEnd"/>
      <w:r>
        <w:rPr>
          <w:color w:val="000000"/>
          <w:sz w:val="24"/>
        </w:rPr>
        <w:t>的操作思路，多投资于估值波动较小的银行存款、同业存单与回购等，组合整体流动性良好。六月末我们视组合流动性情况适当拉长久期和杠杆，增配了部分高评级的同业存单、短期融资</w:t>
      </w:r>
      <w:proofErr w:type="gramStart"/>
      <w:r>
        <w:rPr>
          <w:color w:val="000000"/>
          <w:sz w:val="24"/>
        </w:rPr>
        <w:t>券</w:t>
      </w:r>
      <w:proofErr w:type="gramEnd"/>
      <w:r>
        <w:rPr>
          <w:color w:val="000000"/>
          <w:sz w:val="24"/>
        </w:rPr>
        <w:t>等资产，提高了组合收益。</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年下半年，我们将继续观察</w:t>
      </w:r>
      <w:proofErr w:type="gramStart"/>
      <w:r w:rsidRPr="0061644B">
        <w:rPr>
          <w:color w:val="000000"/>
          <w:sz w:val="24"/>
        </w:rPr>
        <w:t>资管新规</w:t>
      </w:r>
      <w:proofErr w:type="gramEnd"/>
      <w:r w:rsidRPr="0061644B">
        <w:rPr>
          <w:color w:val="000000"/>
          <w:sz w:val="24"/>
        </w:rPr>
        <w:t>对货币市场供需格局的影响，密切关注银行理财监管政策的演变，以及下半年同业存单的发行情况。我们预计去杠杆的政策思路仍将延续，货币政策可能会延续中性偏宽松的状态。本基金将根据不同资产收益率的动态变化，适时调整组合结构与杠杆率，通过对市场利率的前瞻性判断进行合理有效</w:t>
      </w:r>
      <w:proofErr w:type="gramStart"/>
      <w:r w:rsidRPr="0061644B">
        <w:rPr>
          <w:color w:val="000000"/>
          <w:sz w:val="24"/>
        </w:rPr>
        <w:t>的久期管理</w:t>
      </w:r>
      <w:proofErr w:type="gramEnd"/>
      <w:r w:rsidRPr="0061644B">
        <w:rPr>
          <w:color w:val="000000"/>
          <w:sz w:val="24"/>
        </w:rPr>
        <w:t>，严格控制信用风险、流动性风险和利率风险，努力为持有人创造稳健的收益。</w:t>
      </w:r>
      <w:r w:rsidRPr="0061644B">
        <w:rPr>
          <w:color w:val="000000"/>
          <w:sz w:val="24"/>
        </w:rPr>
        <w:t xml:space="preserve"> </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A242DE" w:rsidRDefault="00292641">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A242DE" w:rsidRDefault="0029264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A242DE" w:rsidRDefault="00292641">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spacing w:before="29" w:line="288" w:lineRule="auto"/>
        <w:ind w:firstLineChars="200" w:firstLine="480"/>
        <w:rPr>
          <w:color w:val="000000"/>
          <w:sz w:val="24"/>
        </w:rPr>
      </w:pP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w:t>
      </w:r>
      <w:proofErr w:type="gramStart"/>
      <w:r w:rsidRPr="0061644B">
        <w:rPr>
          <w:color w:val="000000"/>
          <w:sz w:val="24"/>
        </w:rPr>
        <w:t>内利润</w:t>
      </w:r>
      <w:proofErr w:type="gramEnd"/>
      <w:r w:rsidRPr="0061644B">
        <w:rPr>
          <w:color w:val="000000"/>
          <w:sz w:val="24"/>
        </w:rPr>
        <w:t>分配情况参见</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作为本基金的托管人，中信银行严格遵守了《证券投资基金法》及其他有关法律法规、基金合同和托管协议的规定，对交银施罗德现金宝货币市场基金本报告</w:t>
      </w:r>
      <w:proofErr w:type="gramStart"/>
      <w:r w:rsidRPr="0061644B">
        <w:rPr>
          <w:color w:val="000000"/>
          <w:sz w:val="24"/>
        </w:rPr>
        <w:t>期基金</w:t>
      </w:r>
      <w:proofErr w:type="gramEnd"/>
      <w:r w:rsidRPr="0061644B">
        <w:rPr>
          <w:color w:val="000000"/>
          <w:sz w:val="24"/>
        </w:rPr>
        <w:t>的投资运作，进行了认真、独立的会计核算和必要的投资监督，认真履行了托管人的义务，不存在任何损害基金份额持有人利益的行为。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w:t>
      </w:r>
      <w:proofErr w:type="gramStart"/>
      <w:r w:rsidRPr="0061644B">
        <w:rPr>
          <w:rFonts w:ascii="Times New Roman" w:hAnsi="Times New Roman" w:cs="Times New Roman"/>
          <w:kern w:val="0"/>
          <w:szCs w:val="24"/>
        </w:rPr>
        <w:t>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w:t>
      </w:r>
      <w:proofErr w:type="gramEnd"/>
      <w:r w:rsidRPr="0061644B">
        <w:rPr>
          <w:rFonts w:ascii="Times New Roman" w:hAnsi="Times New Roman" w:cs="Times New Roman"/>
          <w:kern w:val="0"/>
          <w:szCs w:val="24"/>
        </w:rPr>
        <w:t>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交银施罗德现金宝货币市场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会计主体：交银施罗德现金宝货币市场基金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697,919,467.17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1,598,421,862.21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35,295.77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2,808,171,675.31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1,894,115,489.41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2,808,171,675.31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1,839,890,489.41</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54,225,000.00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298,000,807.00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75,500,000.00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12,463,476.96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16,815,263.29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209,865,710.88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370,885,207.27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4,026,456,433.09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3,955,737,822.18</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620,080,489.95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649,555,039.52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w:t>
            </w:r>
            <w:proofErr w:type="gramStart"/>
            <w:r w:rsidRPr="0061644B">
              <w:rPr>
                <w:color w:val="000000"/>
                <w:sz w:val="24"/>
              </w:rPr>
              <w:t>赎回款</w:t>
            </w:r>
            <w:proofErr w:type="gramEnd"/>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1,036,330.80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1,241,278.92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172,721.81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206,879.84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774,709.39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999,052.03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46,786.66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37,499.12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93,035.25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158,323.19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312,997.26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322,171.78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319,744.39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182,862.71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622,867,431.54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652,891,791.08</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3,403,589,001.55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3,302,846,031.10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3,403,589,001.55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3,302,846,031.10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4,026,456,433.09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3,955,737,822.18</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3,403,589,001.55</w:t>
      </w:r>
      <w:r w:rsidRPr="0061644B">
        <w:rPr>
          <w:kern w:val="0"/>
          <w:sz w:val="24"/>
        </w:rPr>
        <w:t>份，其中</w:t>
      </w:r>
      <w:r w:rsidRPr="0061644B">
        <w:rPr>
          <w:kern w:val="0"/>
          <w:sz w:val="24"/>
        </w:rPr>
        <w:t>A</w:t>
      </w:r>
      <w:r w:rsidRPr="0061644B">
        <w:rPr>
          <w:kern w:val="0"/>
          <w:sz w:val="24"/>
        </w:rPr>
        <w:t>类基金份额</w:t>
      </w:r>
      <w:r w:rsidRPr="0061644B">
        <w:rPr>
          <w:kern w:val="0"/>
          <w:sz w:val="24"/>
        </w:rPr>
        <w:t>2,995,788,827.31</w:t>
      </w:r>
      <w:r w:rsidRPr="0061644B">
        <w:rPr>
          <w:kern w:val="0"/>
          <w:sz w:val="24"/>
        </w:rPr>
        <w:t>份，</w:t>
      </w:r>
      <w:r w:rsidRPr="0061644B">
        <w:rPr>
          <w:kern w:val="0"/>
          <w:sz w:val="24"/>
        </w:rPr>
        <w:t>E</w:t>
      </w:r>
      <w:r w:rsidRPr="0061644B">
        <w:rPr>
          <w:kern w:val="0"/>
          <w:sz w:val="24"/>
        </w:rPr>
        <w:t>类基金份额</w:t>
      </w:r>
      <w:r w:rsidRPr="0061644B">
        <w:rPr>
          <w:kern w:val="0"/>
          <w:sz w:val="24"/>
        </w:rPr>
        <w:t>407,800,174.24</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交银施罗德现金宝货币市场基金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107,046,390.22</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68,000,277.29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106,328,487.27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68,004,751.05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42,914,132.99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39,892,396.28</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lastRenderedPageBreak/>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53,962,590.00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22,499,657.10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544,253.50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530,125.00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8,907,510.78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5,082,572.67</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717,902.95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-4,473.76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717,902.95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-4,473.76</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19,314,026.73</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14,055,838.09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7,425,942.88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5,496,372.26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1,237,657.16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916,062.00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5,342,712.46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4,567,993.25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5,008,867.64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2,871,398.03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5,008,867.64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2,871,398.03</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59,248.51</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239,598.08</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204,012.55</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87,732,363.49</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53,944,439.20</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87,732,363.49</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53,944,439.20</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交银施罗德现金宝货币市场基金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lastRenderedPageBreak/>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3,302,846,031.10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100,742,970.45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100,742,970.45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60,260,335,152.28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60,260,335,152.28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-60,159,592,181.83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-60,159,592,181.83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3,403,589,001.55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3,403,589,001.55</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3,074,032,983.03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3,074,032,983.03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53,944,439.20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53,944,439.20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555,237,845.24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555,237,845.24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51,789,570,145.76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51,789,570,145.76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-51,234,332,300.52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-51,234,332,300.52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w:t>
            </w:r>
            <w:r w:rsidRPr="0061644B">
              <w:rPr>
                <w:sz w:val="24"/>
              </w:rPr>
              <w:lastRenderedPageBreak/>
              <w:t>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-53,944,439.20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-53,944,439.20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3,629,270,828.27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3,629,270,828.27</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w:t>
      </w:r>
      <w:proofErr w:type="gramStart"/>
      <w:r w:rsidR="00B57305" w:rsidRPr="0061644B">
        <w:rPr>
          <w:sz w:val="24"/>
        </w:rPr>
        <w:t>夏华龙</w:t>
      </w:r>
      <w:proofErr w:type="gramEnd"/>
      <w:r w:rsidR="00B57305" w:rsidRPr="0061644B">
        <w:rPr>
          <w:sz w:val="24"/>
        </w:rPr>
        <w:t>，会计机构负责人：单江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A242DE" w:rsidRDefault="00292641">
      <w:pPr>
        <w:spacing w:before="29" w:line="288" w:lineRule="auto"/>
        <w:ind w:firstLineChars="200" w:firstLine="480"/>
        <w:rPr>
          <w:color w:val="000000"/>
          <w:sz w:val="24"/>
        </w:rPr>
      </w:pPr>
      <w:r>
        <w:rPr>
          <w:color w:val="000000"/>
          <w:sz w:val="24"/>
        </w:rPr>
        <w:t>交银施罗德现金宝货币市场基金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[2014]595</w:t>
      </w:r>
      <w:r>
        <w:rPr>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color w:val="000000"/>
          <w:sz w:val="24"/>
        </w:rPr>
        <w:t>375,064,369.28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497</w:t>
      </w:r>
      <w:r>
        <w:rPr>
          <w:color w:val="000000"/>
          <w:sz w:val="24"/>
        </w:rPr>
        <w:t>号验资报告予以验证。经向中国证监会备案，《交银施罗德现金宝货币市场基金基金合同》于</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日正式生效，基金合同生效日的基金份额总额为</w:t>
      </w:r>
      <w:r>
        <w:rPr>
          <w:color w:val="000000"/>
          <w:sz w:val="24"/>
        </w:rPr>
        <w:t>375,122,844.83</w:t>
      </w:r>
      <w:r>
        <w:rPr>
          <w:color w:val="000000"/>
          <w:sz w:val="24"/>
        </w:rPr>
        <w:t>份基金份额，其中认购资金利息折合</w:t>
      </w:r>
      <w:r>
        <w:rPr>
          <w:color w:val="000000"/>
          <w:sz w:val="24"/>
        </w:rPr>
        <w:t>58,475.55</w:t>
      </w:r>
      <w:r>
        <w:rPr>
          <w:color w:val="000000"/>
          <w:sz w:val="24"/>
        </w:rPr>
        <w:t>份基金份额。本基金的基金管理人为交银施罗德基金管理有限公司，基金托管人为中信银行股份有限公司。</w:t>
      </w:r>
    </w:p>
    <w:p w:rsidR="00A242DE" w:rsidRDefault="00292641">
      <w:pPr>
        <w:spacing w:before="29" w:line="288" w:lineRule="auto"/>
        <w:ind w:firstLineChars="200" w:firstLine="480"/>
        <w:rPr>
          <w:color w:val="000000"/>
          <w:sz w:val="24"/>
        </w:rPr>
      </w:pPr>
      <w:r>
        <w:rPr>
          <w:color w:val="000000"/>
          <w:sz w:val="24"/>
        </w:rPr>
        <w:t>根据《交银施罗德基金管理有限公司关于交银施罗德现金宝货币市场基金增加</w:t>
      </w:r>
      <w:r>
        <w:rPr>
          <w:color w:val="000000"/>
          <w:sz w:val="24"/>
        </w:rPr>
        <w:t>E</w:t>
      </w:r>
      <w:r>
        <w:rPr>
          <w:color w:val="000000"/>
          <w:sz w:val="24"/>
        </w:rPr>
        <w:t>类份额并修改基金合同、托管协议的公告》，本基金自</w:t>
      </w:r>
      <w:r>
        <w:rPr>
          <w:color w:val="000000"/>
          <w:sz w:val="24"/>
        </w:rPr>
        <w:t>2016</w:t>
      </w:r>
      <w:r>
        <w:rPr>
          <w:color w:val="000000"/>
          <w:sz w:val="24"/>
        </w:rPr>
        <w:t>年</w:t>
      </w:r>
      <w:r>
        <w:rPr>
          <w:color w:val="000000"/>
          <w:sz w:val="24"/>
        </w:rPr>
        <w:t>8</w:t>
      </w:r>
      <w:r>
        <w:rPr>
          <w:color w:val="000000"/>
          <w:sz w:val="24"/>
        </w:rPr>
        <w:t>月</w:t>
      </w:r>
      <w:r>
        <w:rPr>
          <w:color w:val="000000"/>
          <w:sz w:val="24"/>
        </w:rPr>
        <w:t>15</w:t>
      </w:r>
      <w:r>
        <w:rPr>
          <w:color w:val="000000"/>
          <w:sz w:val="24"/>
        </w:rPr>
        <w:t>日起增加</w:t>
      </w:r>
      <w:r>
        <w:rPr>
          <w:color w:val="000000"/>
          <w:sz w:val="24"/>
        </w:rPr>
        <w:t>E</w:t>
      </w:r>
      <w:r>
        <w:rPr>
          <w:color w:val="000000"/>
          <w:sz w:val="24"/>
        </w:rPr>
        <w:t>类份额，并对本基金的基金合同、托管协议作相应修改。在本基金增加</w:t>
      </w:r>
      <w:r>
        <w:rPr>
          <w:color w:val="000000"/>
          <w:sz w:val="24"/>
        </w:rPr>
        <w:t>E</w:t>
      </w:r>
      <w:r>
        <w:rPr>
          <w:color w:val="000000"/>
          <w:sz w:val="24"/>
        </w:rPr>
        <w:t>类份额后，原有的基金份额全部自动划归为本基金</w:t>
      </w:r>
      <w:r>
        <w:rPr>
          <w:color w:val="000000"/>
          <w:sz w:val="24"/>
        </w:rPr>
        <w:t>A</w:t>
      </w:r>
      <w:r>
        <w:rPr>
          <w:color w:val="000000"/>
          <w:sz w:val="24"/>
        </w:rPr>
        <w:t>类份额。销售服务费率为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基金份额，称为</w:t>
      </w:r>
      <w:r>
        <w:rPr>
          <w:color w:val="000000"/>
          <w:sz w:val="24"/>
        </w:rPr>
        <w:t>E</w:t>
      </w:r>
      <w:r>
        <w:rPr>
          <w:color w:val="000000"/>
          <w:sz w:val="24"/>
        </w:rPr>
        <w:t>类基金份额。本基金增加</w:t>
      </w:r>
      <w:r>
        <w:rPr>
          <w:color w:val="000000"/>
          <w:sz w:val="24"/>
        </w:rPr>
        <w:t>E</w:t>
      </w:r>
      <w:r>
        <w:rPr>
          <w:color w:val="000000"/>
          <w:sz w:val="24"/>
        </w:rPr>
        <w:t>类基金份额后，将分别设置对应的基金代码并分别计算每万份基金已实现收益和</w:t>
      </w:r>
      <w:proofErr w:type="gramStart"/>
      <w:r>
        <w:rPr>
          <w:color w:val="000000"/>
          <w:sz w:val="24"/>
        </w:rPr>
        <w:t>7</w:t>
      </w:r>
      <w:r>
        <w:rPr>
          <w:color w:val="000000"/>
          <w:sz w:val="24"/>
        </w:rPr>
        <w:t>日年化收益率</w:t>
      </w:r>
      <w:proofErr w:type="gramEnd"/>
      <w:r>
        <w:rPr>
          <w:color w:val="000000"/>
          <w:sz w:val="24"/>
        </w:rPr>
        <w:t>。投资人可自由选择申购某一类别的基金份额，但各类别基金份额之间不能相互转换。</w:t>
      </w:r>
    </w:p>
    <w:p w:rsidR="00A242DE" w:rsidRDefault="00292641">
      <w:pPr>
        <w:spacing w:before="29" w:line="288" w:lineRule="auto"/>
        <w:ind w:firstLineChars="200" w:firstLine="480"/>
        <w:rPr>
          <w:color w:val="000000"/>
          <w:sz w:val="24"/>
        </w:rPr>
      </w:pPr>
      <w:r>
        <w:rPr>
          <w:color w:val="000000"/>
          <w:sz w:val="24"/>
        </w:rPr>
        <w:t>根据《中华人民共和国证券投资基金法》和《交银施罗德现金宝货币市场基金基金合同》的有关规定，本基金的投资范围为法律法规及监管机构允许投资的金融工具，包括现金，通知存款，短期融资</w:t>
      </w:r>
      <w:proofErr w:type="gramStart"/>
      <w:r>
        <w:rPr>
          <w:color w:val="000000"/>
          <w:sz w:val="24"/>
        </w:rPr>
        <w:t>券</w:t>
      </w:r>
      <w:proofErr w:type="gramEnd"/>
      <w:r>
        <w:rPr>
          <w:color w:val="000000"/>
          <w:sz w:val="24"/>
        </w:rPr>
        <w:t>(</w:t>
      </w:r>
      <w:r>
        <w:rPr>
          <w:color w:val="000000"/>
          <w:sz w:val="24"/>
        </w:rPr>
        <w:t>包括超级短期融资</w:t>
      </w:r>
      <w:proofErr w:type="gramStart"/>
      <w:r>
        <w:rPr>
          <w:color w:val="000000"/>
          <w:sz w:val="24"/>
        </w:rPr>
        <w:t>券</w:t>
      </w:r>
      <w:proofErr w:type="gramEnd"/>
      <w:r>
        <w:rPr>
          <w:color w:val="000000"/>
          <w:sz w:val="24"/>
        </w:rPr>
        <w:t>)</w:t>
      </w:r>
      <w:r>
        <w:rPr>
          <w:color w:val="000000"/>
          <w:sz w:val="24"/>
        </w:rPr>
        <w:t>，</w:t>
      </w:r>
      <w:r>
        <w:rPr>
          <w:color w:val="000000"/>
          <w:sz w:val="24"/>
        </w:rPr>
        <w:t>1</w:t>
      </w:r>
      <w:r>
        <w:rPr>
          <w:color w:val="000000"/>
          <w:sz w:val="24"/>
        </w:rPr>
        <w:t>年以内</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的银行定期存款、大额存单，期限在</w:t>
      </w:r>
      <w:r>
        <w:rPr>
          <w:color w:val="000000"/>
          <w:sz w:val="24"/>
        </w:rPr>
        <w:t>1</w:t>
      </w:r>
      <w:r>
        <w:rPr>
          <w:color w:val="000000"/>
          <w:sz w:val="24"/>
        </w:rPr>
        <w:t>年以内</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的债券回购，剩余期限在</w:t>
      </w:r>
      <w:r>
        <w:rPr>
          <w:color w:val="000000"/>
          <w:sz w:val="24"/>
        </w:rPr>
        <w:t>397</w:t>
      </w:r>
      <w:r>
        <w:rPr>
          <w:color w:val="000000"/>
          <w:sz w:val="24"/>
        </w:rPr>
        <w:t>天以内</w:t>
      </w:r>
      <w:r>
        <w:rPr>
          <w:color w:val="000000"/>
          <w:sz w:val="24"/>
        </w:rPr>
        <w:t>(</w:t>
      </w:r>
      <w:r>
        <w:rPr>
          <w:color w:val="000000"/>
          <w:sz w:val="24"/>
        </w:rPr>
        <w:t>含</w:t>
      </w:r>
      <w:r>
        <w:rPr>
          <w:color w:val="000000"/>
          <w:sz w:val="24"/>
        </w:rPr>
        <w:t>397</w:t>
      </w:r>
      <w:r>
        <w:rPr>
          <w:color w:val="000000"/>
          <w:sz w:val="24"/>
        </w:rPr>
        <w:t>天</w:t>
      </w:r>
      <w:r>
        <w:rPr>
          <w:color w:val="000000"/>
          <w:sz w:val="24"/>
        </w:rPr>
        <w:t>)</w:t>
      </w:r>
      <w:r>
        <w:rPr>
          <w:color w:val="000000"/>
          <w:sz w:val="24"/>
        </w:rPr>
        <w:t>的债券、资产支持证券和中期票据，期限在</w:t>
      </w:r>
      <w:r>
        <w:rPr>
          <w:color w:val="000000"/>
          <w:sz w:val="24"/>
        </w:rPr>
        <w:t>1</w:t>
      </w:r>
      <w:r>
        <w:rPr>
          <w:color w:val="000000"/>
          <w:sz w:val="24"/>
        </w:rPr>
        <w:t>年以内</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的中央银行票据，中国证监会、中国人民银行认可的其他具有良好流动性的货币市场工具及相关衍生工具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。如法律法规或监管机构以后允许本基金投资其他品种，基金管理人在履行适当程序后，可以将其纳入投资范围，其投资比例遵循届时有效法律法</w:t>
      </w:r>
      <w:r>
        <w:rPr>
          <w:color w:val="000000"/>
          <w:sz w:val="24"/>
        </w:rPr>
        <w:lastRenderedPageBreak/>
        <w:t>规或相关规定。本基金的业绩比较基准为：活期存款利率</w:t>
      </w:r>
      <w:r>
        <w:rPr>
          <w:color w:val="000000"/>
          <w:sz w:val="24"/>
        </w:rPr>
        <w:t>(</w:t>
      </w:r>
      <w:r>
        <w:rPr>
          <w:color w:val="000000"/>
          <w:sz w:val="24"/>
        </w:rPr>
        <w:t>税后</w:t>
      </w:r>
      <w:r>
        <w:rPr>
          <w:color w:val="000000"/>
          <w:sz w:val="24"/>
        </w:rPr>
        <w:t>)</w:t>
      </w:r>
      <w:r>
        <w:rPr>
          <w:color w:val="000000"/>
          <w:sz w:val="24"/>
        </w:rPr>
        <w:t>。</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颁布的《证券投资基金会计核算业务指引》、《交银施罗德现金宝货币市场基金基金合同》和在财务报表附注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w:t>
      </w:r>
      <w:proofErr w:type="gramStart"/>
      <w:r w:rsidRPr="005E1AD8">
        <w:rPr>
          <w:b/>
          <w:kern w:val="0"/>
          <w:sz w:val="24"/>
        </w:rPr>
        <w:t>度报告</w:t>
      </w:r>
      <w:proofErr w:type="gramEnd"/>
      <w:r w:rsidRPr="005E1AD8">
        <w:rPr>
          <w:b/>
          <w:kern w:val="0"/>
          <w:sz w:val="24"/>
        </w:rPr>
        <w:t>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w:t>
      </w:r>
      <w:proofErr w:type="gramStart"/>
      <w:r w:rsidRPr="0061644B">
        <w:rPr>
          <w:color w:val="000000"/>
          <w:sz w:val="24"/>
        </w:rPr>
        <w:t>度报告</w:t>
      </w:r>
      <w:proofErr w:type="gramEnd"/>
      <w:r w:rsidRPr="0061644B">
        <w:rPr>
          <w:color w:val="000000"/>
          <w:sz w:val="24"/>
        </w:rPr>
        <w:t>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A242DE" w:rsidRDefault="0029264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lastRenderedPageBreak/>
        <w:t>[2017]90</w:t>
      </w:r>
      <w:r>
        <w:rPr>
          <w:color w:val="000000"/>
          <w:sz w:val="24"/>
        </w:rPr>
        <w:t>号《关于租入固定资产进项税额抵扣等增值税政策的通知》及其他相关财税法规和实务操作，主要税项列示如下：</w:t>
      </w:r>
    </w:p>
    <w:p w:rsidR="00A242DE" w:rsidRDefault="00292641">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A242DE" w:rsidRDefault="00292641">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242DE" w:rsidRDefault="0029264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A242DE" w:rsidRDefault="0029264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A242DE" w:rsidRDefault="00292641">
      <w:pPr>
        <w:spacing w:before="29" w:line="288" w:lineRule="auto"/>
        <w:ind w:firstLineChars="200" w:firstLine="480"/>
        <w:rPr>
          <w:color w:val="000000"/>
          <w:sz w:val="24"/>
        </w:rPr>
      </w:pPr>
      <w:r>
        <w:rPr>
          <w:color w:val="000000"/>
          <w:sz w:val="24"/>
        </w:rPr>
        <w:t xml:space="preserve">(4) </w:t>
      </w:r>
      <w:r>
        <w:rPr>
          <w:color w:val="000000"/>
          <w:sz w:val="24"/>
        </w:rPr>
        <w:t>本基金的城市维护建设税、教育费附加和地方教育费附加等税费按照实际缴纳增值税额的适用比例计算缴纳。</w:t>
      </w:r>
    </w:p>
    <w:p w:rsidR="00A242DE" w:rsidRDefault="00A242DE">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A242DE">
        <w:tc>
          <w:tcPr>
            <w:tcW w:w="5219" w:type="dxa"/>
            <w:vAlign w:val="center"/>
          </w:tcPr>
          <w:p w:rsidR="00A242DE" w:rsidRDefault="0029264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242DE" w:rsidRDefault="00292641">
            <w:pPr>
              <w:jc w:val="left"/>
            </w:pPr>
            <w:r>
              <w:rPr>
                <w:color w:val="000000"/>
                <w:sz w:val="24"/>
              </w:rPr>
              <w:t>基金管理人、基金注册登记机构、基金销售机构</w:t>
            </w:r>
          </w:p>
        </w:tc>
      </w:tr>
      <w:tr w:rsidR="00A242DE">
        <w:tc>
          <w:tcPr>
            <w:tcW w:w="5219" w:type="dxa"/>
            <w:vAlign w:val="center"/>
          </w:tcPr>
          <w:p w:rsidR="00A242DE" w:rsidRDefault="0029264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242DE" w:rsidRDefault="00292641">
            <w:pPr>
              <w:jc w:val="left"/>
            </w:pPr>
            <w:r>
              <w:rPr>
                <w:color w:val="000000"/>
                <w:sz w:val="24"/>
              </w:rPr>
              <w:t>基金托管人、基金销售机构</w:t>
            </w:r>
          </w:p>
        </w:tc>
      </w:tr>
      <w:tr w:rsidR="00A242DE">
        <w:tc>
          <w:tcPr>
            <w:tcW w:w="5219" w:type="dxa"/>
            <w:vAlign w:val="center"/>
          </w:tcPr>
          <w:p w:rsidR="00A242DE" w:rsidRDefault="0029264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242DE" w:rsidRDefault="00292641">
            <w:pPr>
              <w:jc w:val="left"/>
            </w:pPr>
            <w:r>
              <w:rPr>
                <w:color w:val="000000"/>
                <w:sz w:val="24"/>
              </w:rPr>
              <w:t>基金管理人的股东、基金销售机构</w:t>
            </w:r>
          </w:p>
        </w:tc>
      </w:tr>
      <w:tr w:rsidR="00A242DE">
        <w:tc>
          <w:tcPr>
            <w:tcW w:w="5219" w:type="dxa"/>
            <w:vAlign w:val="center"/>
          </w:tcPr>
          <w:p w:rsidR="00A242DE" w:rsidRDefault="00292641">
            <w:pPr>
              <w:jc w:val="left"/>
            </w:pPr>
            <w:r>
              <w:rPr>
                <w:color w:val="000000"/>
                <w:sz w:val="24"/>
              </w:rPr>
              <w:t>上海直源投资管理有限公司</w:t>
            </w:r>
          </w:p>
        </w:tc>
        <w:tc>
          <w:tcPr>
            <w:tcW w:w="3779" w:type="dxa"/>
            <w:vAlign w:val="center"/>
          </w:tcPr>
          <w:p w:rsidR="00A242DE" w:rsidRDefault="00292641">
            <w:pPr>
              <w:jc w:val="left"/>
            </w:pPr>
            <w:r>
              <w:rPr>
                <w:color w:val="000000"/>
                <w:sz w:val="24"/>
              </w:rPr>
              <w:t>受基金管理人控制的公司</w:t>
            </w:r>
          </w:p>
        </w:tc>
      </w:tr>
      <w:tr w:rsidR="00A242DE">
        <w:tc>
          <w:tcPr>
            <w:tcW w:w="5219" w:type="dxa"/>
            <w:vAlign w:val="center"/>
          </w:tcPr>
          <w:p w:rsidR="00A242DE" w:rsidRDefault="00292641">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A242DE" w:rsidRDefault="00292641">
            <w:pPr>
              <w:jc w:val="left"/>
            </w:pPr>
            <w:r>
              <w:rPr>
                <w:color w:val="000000"/>
                <w:sz w:val="24"/>
              </w:rPr>
              <w:t>受基金管理人控制的公司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w:t>
      </w:r>
      <w:proofErr w:type="gramStart"/>
      <w:r w:rsidRPr="0060695C">
        <w:rPr>
          <w:color w:val="000000"/>
          <w:sz w:val="24"/>
        </w:rPr>
        <w:t>无通过</w:t>
      </w:r>
      <w:proofErr w:type="gramEnd"/>
      <w:r w:rsidRPr="0060695C">
        <w:rPr>
          <w:color w:val="000000"/>
          <w:sz w:val="24"/>
        </w:rPr>
        <w:t>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lastRenderedPageBreak/>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7,425,942.88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5,496,372.26</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2,918,336.84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2,335,808.25</w:t>
            </w:r>
          </w:p>
        </w:tc>
      </w:tr>
    </w:tbl>
    <w:p w:rsidR="00A242DE" w:rsidRDefault="0029264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A242DE" w:rsidRDefault="00292641">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1,237,657.16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916,062.00</w:t>
            </w:r>
          </w:p>
        </w:tc>
      </w:tr>
    </w:tbl>
    <w:p w:rsidR="00A242DE" w:rsidRDefault="0029264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A242DE" w:rsidRDefault="00292641">
      <w:pPr>
        <w:tabs>
          <w:tab w:val="left" w:pos="426"/>
        </w:tabs>
        <w:spacing w:before="29" w:line="288" w:lineRule="auto"/>
        <w:jc w:val="left"/>
        <w:rPr>
          <w:kern w:val="0"/>
          <w:sz w:val="24"/>
        </w:rPr>
      </w:pPr>
      <w:r>
        <w:rPr>
          <w:kern w:val="0"/>
          <w:sz w:val="24"/>
        </w:rPr>
        <w:t>日托管费＝前一日基金资产净值</w:t>
      </w:r>
      <w:r>
        <w:rPr>
          <w:kern w:val="0"/>
          <w:sz w:val="24"/>
        </w:rPr>
        <w:t xml:space="preserve"> × 0.05%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交银现金</w:t>
            </w:r>
            <w:proofErr w:type="gramStart"/>
            <w:r w:rsidRPr="005E1AD8">
              <w:rPr>
                <w:sz w:val="24"/>
              </w:rPr>
              <w:t>宝货币</w:t>
            </w:r>
            <w:proofErr w:type="gramEnd"/>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交银现金</w:t>
            </w:r>
            <w:proofErr w:type="gramStart"/>
            <w:r w:rsidRPr="005E1AD8">
              <w:rPr>
                <w:sz w:val="24"/>
              </w:rPr>
              <w:t>宝货币</w:t>
            </w:r>
            <w:proofErr w:type="gramEnd"/>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A242DE">
        <w:tc>
          <w:tcPr>
            <w:tcW w:w="1944" w:type="dxa"/>
            <w:vAlign w:val="center"/>
          </w:tcPr>
          <w:p w:rsidR="00A242DE" w:rsidRDefault="00292641">
            <w:pPr>
              <w:jc w:val="center"/>
            </w:pPr>
            <w:r>
              <w:rPr>
                <w:sz w:val="24"/>
              </w:rPr>
              <w:t>交银施罗德基金公司</w:t>
            </w:r>
          </w:p>
        </w:tc>
        <w:tc>
          <w:tcPr>
            <w:tcW w:w="2351" w:type="dxa"/>
            <w:vAlign w:val="center"/>
          </w:tcPr>
          <w:p w:rsidR="00A242DE" w:rsidRDefault="00292641">
            <w:pPr>
              <w:jc w:val="center"/>
            </w:pPr>
            <w:r>
              <w:rPr>
                <w:sz w:val="24"/>
              </w:rPr>
              <w:t>398,740.41</w:t>
            </w:r>
          </w:p>
        </w:tc>
        <w:tc>
          <w:tcPr>
            <w:tcW w:w="2351" w:type="dxa"/>
            <w:vAlign w:val="center"/>
          </w:tcPr>
          <w:p w:rsidR="00A242DE" w:rsidRDefault="00292641">
            <w:pPr>
              <w:jc w:val="center"/>
            </w:pPr>
            <w:r>
              <w:rPr>
                <w:sz w:val="24"/>
              </w:rPr>
              <w:t>35,173.61</w:t>
            </w:r>
          </w:p>
        </w:tc>
        <w:tc>
          <w:tcPr>
            <w:tcW w:w="2352" w:type="dxa"/>
            <w:vAlign w:val="center"/>
          </w:tcPr>
          <w:p w:rsidR="00A242DE" w:rsidRDefault="00292641">
            <w:pPr>
              <w:jc w:val="center"/>
            </w:pPr>
            <w:r>
              <w:rPr>
                <w:sz w:val="24"/>
              </w:rPr>
              <w:t>433,914.02</w:t>
            </w:r>
          </w:p>
        </w:tc>
      </w:tr>
      <w:tr w:rsidR="00A242DE">
        <w:tc>
          <w:tcPr>
            <w:tcW w:w="1944" w:type="dxa"/>
            <w:vAlign w:val="center"/>
          </w:tcPr>
          <w:p w:rsidR="00A242DE" w:rsidRDefault="00292641">
            <w:pPr>
              <w:jc w:val="center"/>
            </w:pPr>
            <w:r>
              <w:rPr>
                <w:sz w:val="24"/>
              </w:rPr>
              <w:lastRenderedPageBreak/>
              <w:t>中信银行</w:t>
            </w:r>
          </w:p>
        </w:tc>
        <w:tc>
          <w:tcPr>
            <w:tcW w:w="2351" w:type="dxa"/>
            <w:vAlign w:val="center"/>
          </w:tcPr>
          <w:p w:rsidR="00A242DE" w:rsidRDefault="00292641">
            <w:pPr>
              <w:jc w:val="center"/>
            </w:pPr>
            <w:r>
              <w:rPr>
                <w:sz w:val="24"/>
              </w:rPr>
              <w:t>1,477.23</w:t>
            </w:r>
          </w:p>
        </w:tc>
        <w:tc>
          <w:tcPr>
            <w:tcW w:w="2351" w:type="dxa"/>
            <w:vAlign w:val="center"/>
          </w:tcPr>
          <w:p w:rsidR="00A242DE" w:rsidRDefault="00292641">
            <w:pPr>
              <w:jc w:val="center"/>
            </w:pPr>
            <w:r>
              <w:rPr>
                <w:sz w:val="24"/>
              </w:rPr>
              <w:t>-</w:t>
            </w:r>
          </w:p>
        </w:tc>
        <w:tc>
          <w:tcPr>
            <w:tcW w:w="2352" w:type="dxa"/>
            <w:vAlign w:val="center"/>
          </w:tcPr>
          <w:p w:rsidR="00A242DE" w:rsidRDefault="00292641">
            <w:pPr>
              <w:jc w:val="center"/>
            </w:pPr>
            <w:r>
              <w:rPr>
                <w:sz w:val="24"/>
              </w:rPr>
              <w:t>1,477.23</w:t>
            </w:r>
          </w:p>
        </w:tc>
      </w:tr>
      <w:tr w:rsidR="00A242DE">
        <w:tc>
          <w:tcPr>
            <w:tcW w:w="1944" w:type="dxa"/>
            <w:vAlign w:val="center"/>
          </w:tcPr>
          <w:p w:rsidR="00A242DE" w:rsidRDefault="00292641">
            <w:pPr>
              <w:jc w:val="center"/>
            </w:pPr>
            <w:r>
              <w:rPr>
                <w:sz w:val="24"/>
              </w:rPr>
              <w:t>交通银行</w:t>
            </w:r>
          </w:p>
        </w:tc>
        <w:tc>
          <w:tcPr>
            <w:tcW w:w="2351" w:type="dxa"/>
            <w:vAlign w:val="center"/>
          </w:tcPr>
          <w:p w:rsidR="00A242DE" w:rsidRDefault="00292641">
            <w:pPr>
              <w:jc w:val="center"/>
            </w:pPr>
            <w:r>
              <w:rPr>
                <w:sz w:val="24"/>
              </w:rPr>
              <w:t>227,339.44</w:t>
            </w:r>
          </w:p>
        </w:tc>
        <w:tc>
          <w:tcPr>
            <w:tcW w:w="2351" w:type="dxa"/>
            <w:vAlign w:val="center"/>
          </w:tcPr>
          <w:p w:rsidR="00A242DE" w:rsidRDefault="00292641">
            <w:pPr>
              <w:jc w:val="center"/>
            </w:pPr>
            <w:r>
              <w:rPr>
                <w:sz w:val="24"/>
              </w:rPr>
              <w:t>54.80</w:t>
            </w:r>
          </w:p>
        </w:tc>
        <w:tc>
          <w:tcPr>
            <w:tcW w:w="2352" w:type="dxa"/>
            <w:vAlign w:val="center"/>
          </w:tcPr>
          <w:p w:rsidR="00A242DE" w:rsidRDefault="00292641">
            <w:pPr>
              <w:jc w:val="center"/>
            </w:pPr>
            <w:r>
              <w:rPr>
                <w:sz w:val="24"/>
              </w:rPr>
              <w:t>227,394.24</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627,557.08</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35,228.41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662,785.49</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交银现金</w:t>
            </w:r>
            <w:proofErr w:type="gramStart"/>
            <w:r w:rsidRPr="005E1AD8">
              <w:rPr>
                <w:sz w:val="24"/>
              </w:rPr>
              <w:t>宝货币</w:t>
            </w:r>
            <w:proofErr w:type="gramEnd"/>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交银现金</w:t>
            </w:r>
            <w:proofErr w:type="gramStart"/>
            <w:r w:rsidRPr="005E1AD8">
              <w:rPr>
                <w:sz w:val="24"/>
              </w:rPr>
              <w:t>宝货币</w:t>
            </w:r>
            <w:proofErr w:type="gramEnd"/>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A242DE">
        <w:tc>
          <w:tcPr>
            <w:tcW w:w="1944" w:type="dxa"/>
            <w:vAlign w:val="center"/>
          </w:tcPr>
          <w:p w:rsidR="00A242DE" w:rsidRDefault="00292641">
            <w:pPr>
              <w:jc w:val="center"/>
            </w:pPr>
            <w:r>
              <w:rPr>
                <w:sz w:val="24"/>
              </w:rPr>
              <w:t>交银施罗德基金公司</w:t>
            </w:r>
          </w:p>
        </w:tc>
        <w:tc>
          <w:tcPr>
            <w:tcW w:w="2351" w:type="dxa"/>
            <w:vAlign w:val="center"/>
          </w:tcPr>
          <w:p w:rsidR="00A242DE" w:rsidRDefault="00292641">
            <w:pPr>
              <w:jc w:val="center"/>
            </w:pPr>
            <w:r>
              <w:rPr>
                <w:sz w:val="24"/>
              </w:rPr>
              <w:t>623,064.67</w:t>
            </w:r>
          </w:p>
        </w:tc>
        <w:tc>
          <w:tcPr>
            <w:tcW w:w="2351" w:type="dxa"/>
            <w:vAlign w:val="center"/>
          </w:tcPr>
          <w:p w:rsidR="00A242DE" w:rsidRDefault="00292641">
            <w:pPr>
              <w:jc w:val="center"/>
            </w:pPr>
            <w:r>
              <w:rPr>
                <w:sz w:val="24"/>
              </w:rPr>
              <w:t>503.02</w:t>
            </w:r>
          </w:p>
        </w:tc>
        <w:tc>
          <w:tcPr>
            <w:tcW w:w="2352" w:type="dxa"/>
            <w:vAlign w:val="center"/>
          </w:tcPr>
          <w:p w:rsidR="00A242DE" w:rsidRDefault="00292641">
            <w:pPr>
              <w:jc w:val="center"/>
            </w:pPr>
            <w:r>
              <w:rPr>
                <w:sz w:val="24"/>
              </w:rPr>
              <w:t>623,567.69</w:t>
            </w:r>
          </w:p>
        </w:tc>
      </w:tr>
      <w:tr w:rsidR="00A242DE">
        <w:tc>
          <w:tcPr>
            <w:tcW w:w="1944" w:type="dxa"/>
            <w:vAlign w:val="center"/>
          </w:tcPr>
          <w:p w:rsidR="00A242DE" w:rsidRDefault="00292641">
            <w:pPr>
              <w:jc w:val="center"/>
            </w:pPr>
            <w:r>
              <w:rPr>
                <w:sz w:val="24"/>
              </w:rPr>
              <w:t>中信银行</w:t>
            </w:r>
          </w:p>
        </w:tc>
        <w:tc>
          <w:tcPr>
            <w:tcW w:w="2351" w:type="dxa"/>
            <w:vAlign w:val="center"/>
          </w:tcPr>
          <w:p w:rsidR="00A242DE" w:rsidRDefault="00292641">
            <w:pPr>
              <w:jc w:val="center"/>
            </w:pPr>
            <w:r>
              <w:rPr>
                <w:sz w:val="24"/>
              </w:rPr>
              <w:t>2,308.50</w:t>
            </w:r>
          </w:p>
        </w:tc>
        <w:tc>
          <w:tcPr>
            <w:tcW w:w="2351" w:type="dxa"/>
            <w:vAlign w:val="center"/>
          </w:tcPr>
          <w:p w:rsidR="00A242DE" w:rsidRDefault="00292641">
            <w:pPr>
              <w:jc w:val="center"/>
            </w:pPr>
            <w:r>
              <w:rPr>
                <w:sz w:val="24"/>
              </w:rPr>
              <w:t>-</w:t>
            </w:r>
          </w:p>
        </w:tc>
        <w:tc>
          <w:tcPr>
            <w:tcW w:w="2352" w:type="dxa"/>
            <w:vAlign w:val="center"/>
          </w:tcPr>
          <w:p w:rsidR="00A242DE" w:rsidRDefault="00292641">
            <w:pPr>
              <w:jc w:val="center"/>
            </w:pPr>
            <w:r>
              <w:rPr>
                <w:sz w:val="24"/>
              </w:rPr>
              <w:t>2,308.50</w:t>
            </w:r>
          </w:p>
        </w:tc>
      </w:tr>
      <w:tr w:rsidR="00A242DE">
        <w:tc>
          <w:tcPr>
            <w:tcW w:w="1944" w:type="dxa"/>
            <w:vAlign w:val="center"/>
          </w:tcPr>
          <w:p w:rsidR="00A242DE" w:rsidRDefault="00292641">
            <w:pPr>
              <w:jc w:val="center"/>
            </w:pPr>
            <w:r>
              <w:rPr>
                <w:sz w:val="24"/>
              </w:rPr>
              <w:t>交通银行</w:t>
            </w:r>
          </w:p>
        </w:tc>
        <w:tc>
          <w:tcPr>
            <w:tcW w:w="2351" w:type="dxa"/>
            <w:vAlign w:val="center"/>
          </w:tcPr>
          <w:p w:rsidR="00A242DE" w:rsidRDefault="00292641">
            <w:pPr>
              <w:jc w:val="center"/>
            </w:pPr>
            <w:r>
              <w:rPr>
                <w:sz w:val="24"/>
              </w:rPr>
              <w:t>253,063.43</w:t>
            </w:r>
          </w:p>
        </w:tc>
        <w:tc>
          <w:tcPr>
            <w:tcW w:w="2351" w:type="dxa"/>
            <w:vAlign w:val="center"/>
          </w:tcPr>
          <w:p w:rsidR="00A242DE" w:rsidRDefault="00292641">
            <w:pPr>
              <w:jc w:val="center"/>
            </w:pPr>
            <w:r>
              <w:rPr>
                <w:sz w:val="24"/>
              </w:rPr>
              <w:t>10.08</w:t>
            </w:r>
          </w:p>
        </w:tc>
        <w:tc>
          <w:tcPr>
            <w:tcW w:w="2352" w:type="dxa"/>
            <w:vAlign w:val="center"/>
          </w:tcPr>
          <w:p w:rsidR="00A242DE" w:rsidRDefault="00292641">
            <w:pPr>
              <w:jc w:val="center"/>
            </w:pPr>
            <w:r>
              <w:rPr>
                <w:sz w:val="24"/>
              </w:rPr>
              <w:t>253,073.51</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878,436.60</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513.10</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878,949.70</w:t>
            </w:r>
          </w:p>
        </w:tc>
      </w:tr>
    </w:tbl>
    <w:p w:rsidR="00A242DE" w:rsidRDefault="00292641">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日销售服务费＝前一日该类份额的基金资产净值</w:t>
      </w:r>
      <w:r w:rsidRPr="0061644B">
        <w:rPr>
          <w:kern w:val="0"/>
          <w:sz w:val="24"/>
        </w:rPr>
        <w:t xml:space="preserve"> × </w:t>
      </w:r>
      <w:r w:rsidRPr="0061644B">
        <w:rPr>
          <w:kern w:val="0"/>
          <w:sz w:val="24"/>
        </w:rPr>
        <w:t>约定年费率</w:t>
      </w:r>
      <w:r w:rsidRPr="0061644B">
        <w:rPr>
          <w:kern w:val="0"/>
          <w:sz w:val="24"/>
        </w:rPr>
        <w:t xml:space="preserve">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proofErr w:type="gramStart"/>
      <w:r w:rsidRPr="0061644B">
        <w:rPr>
          <w:b/>
          <w:bCs/>
          <w:sz w:val="24"/>
        </w:rPr>
        <w:t>各</w:t>
      </w:r>
      <w:proofErr w:type="gramEnd"/>
      <w:r w:rsidRPr="0061644B">
        <w:rPr>
          <w:b/>
          <w:bCs/>
          <w:sz w:val="24"/>
        </w:rPr>
        <w:t>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w:t>
      </w:r>
      <w:proofErr w:type="gramStart"/>
      <w:r w:rsidRPr="0061644B">
        <w:rPr>
          <w:b/>
          <w:bCs/>
          <w:sz w:val="24"/>
        </w:rPr>
        <w:t>固有资金</w:t>
      </w:r>
      <w:proofErr w:type="gramEnd"/>
      <w:r w:rsidRPr="0061644B">
        <w:rPr>
          <w:b/>
          <w:bCs/>
          <w:sz w:val="24"/>
        </w:rPr>
        <w:t>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801"/>
      </w:tblGrid>
      <w:tr w:rsidR="006B4A69" w:rsidRPr="0061644B" w:rsidTr="00292641">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上年度可比期间</w:t>
            </w:r>
          </w:p>
          <w:p w:rsidR="006D141C" w:rsidRPr="0061644B" w:rsidRDefault="00A5726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292641">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A</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E</w:t>
            </w:r>
          </w:p>
        </w:tc>
      </w:tr>
      <w:tr w:rsidR="006B4A69" w:rsidRPr="0061644B" w:rsidTr="00292641">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2014</w:t>
            </w:r>
            <w:r w:rsidRPr="0061644B">
              <w:rPr>
                <w:szCs w:val="24"/>
              </w:rPr>
              <w:t>年</w:t>
            </w:r>
            <w:r w:rsidRPr="0061644B">
              <w:rPr>
                <w:szCs w:val="24"/>
              </w:rPr>
              <w:t>9</w:t>
            </w:r>
            <w:r w:rsidRPr="0061644B">
              <w:rPr>
                <w:szCs w:val="24"/>
              </w:rPr>
              <w:t>月</w:t>
            </w:r>
            <w:r w:rsidRPr="0061644B">
              <w:rPr>
                <w:szCs w:val="24"/>
              </w:rPr>
              <w:t>12</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292641">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251,725.35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17,102,007.28</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10,070,416.87</w:t>
            </w:r>
          </w:p>
        </w:tc>
      </w:tr>
      <w:tr w:rsidR="006B4A69" w:rsidRPr="0061644B" w:rsidTr="00292641">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proofErr w:type="gramStart"/>
            <w:r w:rsidR="006D141C" w:rsidRPr="0061644B">
              <w:rPr>
                <w:sz w:val="24"/>
              </w:rPr>
              <w:t>买入总</w:t>
            </w:r>
            <w:proofErr w:type="gramEnd"/>
            <w:r w:rsidR="006D141C" w:rsidRPr="0061644B">
              <w:rPr>
                <w:sz w:val="24"/>
              </w:rPr>
              <w:t>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4,734.48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250,382.26</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159,659.72</w:t>
            </w:r>
          </w:p>
        </w:tc>
      </w:tr>
      <w:tr w:rsidR="006B4A69" w:rsidRPr="0061644B" w:rsidTr="00292641">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lastRenderedPageBreak/>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292641">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292641">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256,459.83</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17,352,389.54</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10,230,076.59</w:t>
            </w:r>
          </w:p>
        </w:tc>
      </w:tr>
      <w:tr w:rsidR="006B4A69" w:rsidRPr="0061644B" w:rsidTr="00292641">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0.06%</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0.48%</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99.98%</w:t>
            </w:r>
          </w:p>
        </w:tc>
      </w:tr>
    </w:tbl>
    <w:p w:rsidR="00A242DE" w:rsidRDefault="0029264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242DE" w:rsidRDefault="003E2D29">
      <w:pPr>
        <w:tabs>
          <w:tab w:val="left" w:pos="426"/>
        </w:tabs>
        <w:spacing w:before="29" w:line="288" w:lineRule="auto"/>
        <w:jc w:val="left"/>
        <w:rPr>
          <w:kern w:val="0"/>
          <w:sz w:val="24"/>
        </w:rPr>
      </w:pPr>
      <w:r>
        <w:rPr>
          <w:rFonts w:hint="eastAsia"/>
          <w:kern w:val="0"/>
          <w:sz w:val="24"/>
        </w:rPr>
        <w:t xml:space="preserve">    </w:t>
      </w:r>
      <w:r w:rsidR="00292641">
        <w:rPr>
          <w:kern w:val="0"/>
          <w:sz w:val="24"/>
        </w:rPr>
        <w:t>2</w:t>
      </w:r>
      <w:r w:rsidR="00292641">
        <w:rPr>
          <w:kern w:val="0"/>
          <w:sz w:val="24"/>
        </w:rPr>
        <w:t>、如果本报告期间发生转换出业务，则总赎回份额中包含该业务。</w:t>
      </w:r>
    </w:p>
    <w:p w:rsidR="00A242DE" w:rsidRDefault="003E2D29">
      <w:pPr>
        <w:tabs>
          <w:tab w:val="left" w:pos="426"/>
        </w:tabs>
        <w:spacing w:before="29" w:line="288" w:lineRule="auto"/>
        <w:jc w:val="left"/>
        <w:rPr>
          <w:kern w:val="0"/>
          <w:sz w:val="24"/>
        </w:rPr>
      </w:pPr>
      <w:r>
        <w:rPr>
          <w:rFonts w:hint="eastAsia"/>
          <w:kern w:val="0"/>
          <w:sz w:val="24"/>
        </w:rPr>
        <w:t xml:space="preserve">    </w:t>
      </w:r>
      <w:r w:rsidR="00292641">
        <w:rPr>
          <w:kern w:val="0"/>
          <w:sz w:val="24"/>
        </w:rPr>
        <w:t>3</w:t>
      </w:r>
      <w:r w:rsidR="00292641">
        <w:rPr>
          <w:kern w:val="0"/>
          <w:sz w:val="24"/>
        </w:rPr>
        <w:t>、基金管理人投资本基金适用的申购</w:t>
      </w:r>
      <w:r w:rsidR="00292641">
        <w:rPr>
          <w:kern w:val="0"/>
          <w:sz w:val="24"/>
        </w:rPr>
        <w:t>/</w:t>
      </w:r>
      <w:r w:rsidR="00292641">
        <w:rPr>
          <w:kern w:val="0"/>
          <w:sz w:val="24"/>
        </w:rPr>
        <w:t>赎回费率按照本基金招募说明书的规定执行。</w:t>
      </w:r>
    </w:p>
    <w:p w:rsidR="00A242DE" w:rsidRDefault="00A242DE">
      <w:pPr>
        <w:tabs>
          <w:tab w:val="left" w:pos="426"/>
        </w:tabs>
        <w:spacing w:before="29" w:line="288" w:lineRule="auto"/>
        <w:jc w:val="left"/>
        <w:rPr>
          <w:kern w:val="0"/>
          <w:sz w:val="24"/>
        </w:rPr>
      </w:pPr>
    </w:p>
    <w:p w:rsidR="006D141C" w:rsidRPr="0061644B" w:rsidRDefault="006D141C" w:rsidP="00792A69">
      <w:pPr>
        <w:tabs>
          <w:tab w:val="left" w:pos="426"/>
        </w:tabs>
        <w:spacing w:before="29" w:line="288" w:lineRule="auto"/>
        <w:jc w:val="left"/>
        <w:rPr>
          <w:kern w:val="0"/>
          <w:sz w:val="24"/>
        </w:rPr>
      </w:pP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交银现金</w:t>
      </w:r>
      <w:proofErr w:type="gramStart"/>
      <w:r w:rsidRPr="0061644B">
        <w:rPr>
          <w:sz w:val="24"/>
        </w:rPr>
        <w:t>宝货币</w:t>
      </w:r>
      <w:proofErr w:type="gramEnd"/>
      <w:r w:rsidRPr="0061644B">
        <w:rPr>
          <w:sz w:val="24"/>
        </w:rPr>
        <w:t>A</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rightChars="-51" w:right="-107"/>
              <w:jc w:val="center"/>
              <w:textAlignment w:val="bottom"/>
              <w:rPr>
                <w:sz w:val="24"/>
              </w:rPr>
            </w:pPr>
            <w:r w:rsidRPr="0061644B">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A</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tabs>
                <w:tab w:val="left" w:pos="2972"/>
              </w:tabs>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A</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r>
      <w:tr w:rsidR="00A242DE">
        <w:tc>
          <w:tcPr>
            <w:tcW w:w="1928" w:type="dxa"/>
            <w:vAlign w:val="center"/>
          </w:tcPr>
          <w:p w:rsidR="00A242DE" w:rsidRDefault="00292641">
            <w:pPr>
              <w:jc w:val="center"/>
            </w:pPr>
            <w:r>
              <w:rPr>
                <w:sz w:val="24"/>
              </w:rPr>
              <w:t>上海直源投资管理有限公司</w:t>
            </w:r>
          </w:p>
        </w:tc>
        <w:tc>
          <w:tcPr>
            <w:tcW w:w="1994" w:type="dxa"/>
            <w:vAlign w:val="center"/>
          </w:tcPr>
          <w:p w:rsidR="00A242DE" w:rsidRDefault="00292641">
            <w:pPr>
              <w:jc w:val="center"/>
            </w:pPr>
            <w:r>
              <w:rPr>
                <w:sz w:val="24"/>
              </w:rPr>
              <w:t>-</w:t>
            </w:r>
          </w:p>
        </w:tc>
        <w:tc>
          <w:tcPr>
            <w:tcW w:w="1551" w:type="dxa"/>
            <w:vAlign w:val="center"/>
          </w:tcPr>
          <w:p w:rsidR="00A242DE" w:rsidRDefault="00292641">
            <w:pPr>
              <w:jc w:val="center"/>
            </w:pPr>
            <w:r>
              <w:rPr>
                <w:sz w:val="24"/>
              </w:rPr>
              <w:t>-</w:t>
            </w:r>
          </w:p>
        </w:tc>
        <w:tc>
          <w:tcPr>
            <w:tcW w:w="1829" w:type="dxa"/>
            <w:vAlign w:val="center"/>
          </w:tcPr>
          <w:p w:rsidR="00A242DE" w:rsidRDefault="00292641">
            <w:pPr>
              <w:jc w:val="center"/>
            </w:pPr>
            <w:r>
              <w:rPr>
                <w:sz w:val="24"/>
              </w:rPr>
              <w:t>7,055,744.40</w:t>
            </w:r>
          </w:p>
        </w:tc>
        <w:tc>
          <w:tcPr>
            <w:tcW w:w="1696" w:type="dxa"/>
            <w:vAlign w:val="center"/>
          </w:tcPr>
          <w:p w:rsidR="00A242DE" w:rsidRDefault="00292641">
            <w:pPr>
              <w:jc w:val="center"/>
            </w:pPr>
            <w:r>
              <w:rPr>
                <w:sz w:val="24"/>
              </w:rPr>
              <w:t>0.21%</w:t>
            </w:r>
          </w:p>
        </w:tc>
      </w:tr>
      <w:tr w:rsidR="00A242DE">
        <w:tc>
          <w:tcPr>
            <w:tcW w:w="1928" w:type="dxa"/>
            <w:vAlign w:val="center"/>
          </w:tcPr>
          <w:p w:rsidR="00A242DE" w:rsidRDefault="00292641">
            <w:pPr>
              <w:jc w:val="center"/>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1994" w:type="dxa"/>
            <w:vAlign w:val="center"/>
          </w:tcPr>
          <w:p w:rsidR="00A242DE" w:rsidRDefault="00292641">
            <w:pPr>
              <w:jc w:val="center"/>
            </w:pPr>
            <w:r>
              <w:rPr>
                <w:sz w:val="24"/>
              </w:rPr>
              <w:t>-</w:t>
            </w:r>
          </w:p>
        </w:tc>
        <w:tc>
          <w:tcPr>
            <w:tcW w:w="1551" w:type="dxa"/>
            <w:vAlign w:val="center"/>
          </w:tcPr>
          <w:p w:rsidR="00A242DE" w:rsidRDefault="00292641">
            <w:pPr>
              <w:jc w:val="center"/>
            </w:pPr>
            <w:r>
              <w:rPr>
                <w:sz w:val="24"/>
              </w:rPr>
              <w:t>-</w:t>
            </w:r>
          </w:p>
        </w:tc>
        <w:tc>
          <w:tcPr>
            <w:tcW w:w="1829" w:type="dxa"/>
            <w:vAlign w:val="center"/>
          </w:tcPr>
          <w:p w:rsidR="00A242DE" w:rsidRDefault="00292641">
            <w:pPr>
              <w:jc w:val="center"/>
            </w:pPr>
            <w:r>
              <w:rPr>
                <w:sz w:val="24"/>
              </w:rPr>
              <w:t>20,372,349.20</w:t>
            </w:r>
          </w:p>
        </w:tc>
        <w:tc>
          <w:tcPr>
            <w:tcW w:w="1696" w:type="dxa"/>
            <w:vAlign w:val="center"/>
          </w:tcPr>
          <w:p w:rsidR="00A242DE" w:rsidRDefault="00292641">
            <w:pPr>
              <w:jc w:val="center"/>
            </w:pPr>
            <w:r>
              <w:rPr>
                <w:sz w:val="24"/>
              </w:rPr>
              <w:t>0.62%</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注：本报告期末除基金管理人之外的其他关联方未持有本基金。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交银现金</w:t>
      </w:r>
      <w:proofErr w:type="gramStart"/>
      <w:r w:rsidRPr="0061644B">
        <w:rPr>
          <w:sz w:val="24"/>
        </w:rPr>
        <w:t>宝货币</w:t>
      </w:r>
      <w:proofErr w:type="gramEnd"/>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w:t>
            </w:r>
            <w:proofErr w:type="gramStart"/>
            <w:r w:rsidRPr="0061644B">
              <w:rPr>
                <w:sz w:val="24"/>
              </w:rPr>
              <w:t>宝货币</w:t>
            </w:r>
            <w:proofErr w:type="gramEnd"/>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A242DE">
        <w:tc>
          <w:tcPr>
            <w:tcW w:w="1946" w:type="dxa"/>
            <w:vAlign w:val="center"/>
          </w:tcPr>
          <w:p w:rsidR="00A242DE" w:rsidRDefault="00292641">
            <w:pPr>
              <w:jc w:val="center"/>
            </w:pPr>
            <w:r>
              <w:rPr>
                <w:sz w:val="24"/>
              </w:rPr>
              <w:lastRenderedPageBreak/>
              <w:t>交通银行股份有限公司</w:t>
            </w:r>
          </w:p>
        </w:tc>
        <w:tc>
          <w:tcPr>
            <w:tcW w:w="2013" w:type="dxa"/>
            <w:vAlign w:val="center"/>
          </w:tcPr>
          <w:p w:rsidR="00A242DE" w:rsidRDefault="00292641">
            <w:pPr>
              <w:jc w:val="center"/>
            </w:pPr>
            <w:r>
              <w:rPr>
                <w:sz w:val="24"/>
              </w:rPr>
              <w:t>401,186,992.26</w:t>
            </w:r>
          </w:p>
        </w:tc>
        <w:tc>
          <w:tcPr>
            <w:tcW w:w="1565" w:type="dxa"/>
            <w:vAlign w:val="center"/>
          </w:tcPr>
          <w:p w:rsidR="00A242DE" w:rsidRDefault="00292641">
            <w:pPr>
              <w:jc w:val="center"/>
            </w:pPr>
            <w:r>
              <w:rPr>
                <w:sz w:val="24"/>
              </w:rPr>
              <w:t>11.79%</w:t>
            </w:r>
          </w:p>
        </w:tc>
        <w:tc>
          <w:tcPr>
            <w:tcW w:w="1846" w:type="dxa"/>
            <w:vAlign w:val="center"/>
          </w:tcPr>
          <w:p w:rsidR="00A242DE" w:rsidRDefault="00292641">
            <w:pPr>
              <w:jc w:val="center"/>
            </w:pPr>
            <w:r>
              <w:rPr>
                <w:sz w:val="24"/>
              </w:rPr>
              <w:t>-</w:t>
            </w:r>
          </w:p>
        </w:tc>
        <w:tc>
          <w:tcPr>
            <w:tcW w:w="1628" w:type="dxa"/>
            <w:vAlign w:val="center"/>
          </w:tcPr>
          <w:p w:rsidR="00A242DE" w:rsidRDefault="00292641">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A242DE">
        <w:tc>
          <w:tcPr>
            <w:tcW w:w="1799" w:type="dxa"/>
            <w:vAlign w:val="center"/>
          </w:tcPr>
          <w:p w:rsidR="00A242DE" w:rsidRDefault="00292641">
            <w:pPr>
              <w:jc w:val="center"/>
            </w:pPr>
            <w:r>
              <w:rPr>
                <w:sz w:val="24"/>
              </w:rPr>
              <w:t>中信银行</w:t>
            </w:r>
            <w:r>
              <w:rPr>
                <w:sz w:val="24"/>
              </w:rPr>
              <w:t>-</w:t>
            </w:r>
            <w:r>
              <w:rPr>
                <w:sz w:val="24"/>
              </w:rPr>
              <w:t>活期存款</w:t>
            </w:r>
          </w:p>
        </w:tc>
        <w:tc>
          <w:tcPr>
            <w:tcW w:w="1799" w:type="dxa"/>
            <w:vAlign w:val="center"/>
          </w:tcPr>
          <w:p w:rsidR="00A242DE" w:rsidRDefault="00292641">
            <w:pPr>
              <w:jc w:val="center"/>
            </w:pPr>
            <w:r>
              <w:rPr>
                <w:sz w:val="24"/>
              </w:rPr>
              <w:t>919,467.17</w:t>
            </w:r>
          </w:p>
        </w:tc>
        <w:tc>
          <w:tcPr>
            <w:tcW w:w="1800" w:type="dxa"/>
            <w:vAlign w:val="center"/>
          </w:tcPr>
          <w:p w:rsidR="00A242DE" w:rsidRDefault="00292641">
            <w:pPr>
              <w:jc w:val="center"/>
            </w:pPr>
            <w:r>
              <w:rPr>
                <w:sz w:val="24"/>
              </w:rPr>
              <w:t>69,849.71</w:t>
            </w:r>
          </w:p>
        </w:tc>
        <w:tc>
          <w:tcPr>
            <w:tcW w:w="1800" w:type="dxa"/>
            <w:vAlign w:val="center"/>
          </w:tcPr>
          <w:p w:rsidR="00A242DE" w:rsidRDefault="00292641">
            <w:pPr>
              <w:jc w:val="center"/>
            </w:pPr>
            <w:r>
              <w:rPr>
                <w:sz w:val="24"/>
              </w:rPr>
              <w:t>29,641,974.05</w:t>
            </w:r>
          </w:p>
        </w:tc>
        <w:tc>
          <w:tcPr>
            <w:tcW w:w="1800" w:type="dxa"/>
            <w:vAlign w:val="center"/>
          </w:tcPr>
          <w:p w:rsidR="00A242DE" w:rsidRDefault="00292641">
            <w:pPr>
              <w:jc w:val="center"/>
            </w:pPr>
            <w:r>
              <w:rPr>
                <w:sz w:val="24"/>
              </w:rPr>
              <w:t>137,174.61</w:t>
            </w:r>
          </w:p>
        </w:tc>
      </w:tr>
      <w:tr w:rsidR="00A242DE">
        <w:tc>
          <w:tcPr>
            <w:tcW w:w="1799" w:type="dxa"/>
            <w:vAlign w:val="center"/>
          </w:tcPr>
          <w:p w:rsidR="00A242DE" w:rsidRDefault="00292641">
            <w:pPr>
              <w:jc w:val="center"/>
            </w:pPr>
            <w:r>
              <w:rPr>
                <w:sz w:val="24"/>
              </w:rPr>
              <w:t>中信银行</w:t>
            </w:r>
            <w:r>
              <w:rPr>
                <w:sz w:val="24"/>
              </w:rPr>
              <w:t>-</w:t>
            </w:r>
            <w:r>
              <w:rPr>
                <w:sz w:val="24"/>
              </w:rPr>
              <w:t>协议存款</w:t>
            </w:r>
          </w:p>
        </w:tc>
        <w:tc>
          <w:tcPr>
            <w:tcW w:w="1799" w:type="dxa"/>
            <w:vAlign w:val="center"/>
          </w:tcPr>
          <w:p w:rsidR="00A242DE" w:rsidRDefault="00292641">
            <w:pPr>
              <w:jc w:val="center"/>
            </w:pPr>
            <w:r>
              <w:rPr>
                <w:sz w:val="24"/>
              </w:rPr>
              <w:t>697,000,000.00</w:t>
            </w:r>
          </w:p>
        </w:tc>
        <w:tc>
          <w:tcPr>
            <w:tcW w:w="1800" w:type="dxa"/>
            <w:vAlign w:val="center"/>
          </w:tcPr>
          <w:p w:rsidR="00A242DE" w:rsidRDefault="00292641">
            <w:pPr>
              <w:jc w:val="center"/>
            </w:pPr>
            <w:r>
              <w:rPr>
                <w:sz w:val="24"/>
              </w:rPr>
              <w:t>42,741,211.81</w:t>
            </w:r>
          </w:p>
        </w:tc>
        <w:tc>
          <w:tcPr>
            <w:tcW w:w="1800" w:type="dxa"/>
            <w:vAlign w:val="center"/>
          </w:tcPr>
          <w:p w:rsidR="00A242DE" w:rsidRDefault="00292641">
            <w:pPr>
              <w:jc w:val="center"/>
            </w:pPr>
            <w:r>
              <w:rPr>
                <w:sz w:val="24"/>
              </w:rPr>
              <w:t>-</w:t>
            </w:r>
          </w:p>
        </w:tc>
        <w:tc>
          <w:tcPr>
            <w:tcW w:w="1800" w:type="dxa"/>
            <w:vAlign w:val="center"/>
          </w:tcPr>
          <w:p w:rsidR="00A242DE" w:rsidRDefault="00292641">
            <w:pPr>
              <w:jc w:val="center"/>
            </w:pPr>
            <w:r>
              <w:rPr>
                <w:sz w:val="24"/>
              </w:rPr>
              <w:t>2,057,347.22</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B54CA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3" w:name="OLE_LINK189"/>
      <w:bookmarkStart w:id="14" w:name="OLE_LINK7"/>
      <w:bookmarkStart w:id="15" w:name="OLE_LINK6"/>
      <w:r w:rsidRPr="00690ED2">
        <w:rPr>
          <w:rFonts w:eastAsiaTheme="minorEastAsia" w:hint="eastAsia"/>
          <w:b/>
          <w:color w:val="000000" w:themeColor="text1"/>
          <w:szCs w:val="21"/>
        </w:rPr>
        <w:t>其他关联交易事项的说明</w:t>
      </w:r>
      <w:bookmarkEnd w:id="13"/>
      <w:bookmarkEnd w:id="14"/>
      <w:bookmarkEnd w:id="15"/>
    </w:p>
    <w:p w:rsidR="00B54CAD" w:rsidRPr="008B15AD" w:rsidRDefault="00B54CAD" w:rsidP="008B15AD">
      <w:pPr>
        <w:tabs>
          <w:tab w:val="left" w:pos="426"/>
        </w:tabs>
        <w:spacing w:before="29" w:line="288" w:lineRule="auto"/>
        <w:jc w:val="left"/>
        <w:rPr>
          <w:kern w:val="0"/>
          <w:sz w:val="24"/>
        </w:rPr>
      </w:pPr>
      <w:r w:rsidRPr="008B15AD">
        <w:rPr>
          <w:kern w:val="0"/>
          <w:sz w:val="24"/>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2018</w:t>
      </w:r>
      <w:r w:rsidRPr="0061644B">
        <w:rPr>
          <w:color w:val="000000"/>
          <w:sz w:val="24"/>
        </w:rPr>
        <w:t>年</w:t>
      </w:r>
      <w:r w:rsidRPr="0061644B">
        <w:rPr>
          <w:color w:val="000000"/>
          <w:sz w:val="24"/>
        </w:rPr>
        <w:t>06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620,080,489.95</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A242DE">
        <w:tc>
          <w:tcPr>
            <w:tcW w:w="1493" w:type="dxa"/>
            <w:vAlign w:val="center"/>
          </w:tcPr>
          <w:p w:rsidR="00A242DE" w:rsidRDefault="00292641">
            <w:pPr>
              <w:jc w:val="center"/>
            </w:pPr>
            <w:r>
              <w:rPr>
                <w:kern w:val="0"/>
                <w:sz w:val="24"/>
              </w:rPr>
              <w:lastRenderedPageBreak/>
              <w:t>111899482</w:t>
            </w:r>
          </w:p>
        </w:tc>
        <w:tc>
          <w:tcPr>
            <w:tcW w:w="1494" w:type="dxa"/>
            <w:vAlign w:val="center"/>
          </w:tcPr>
          <w:p w:rsidR="00A242DE" w:rsidRDefault="00292641">
            <w:pPr>
              <w:jc w:val="center"/>
            </w:pPr>
            <w:r>
              <w:rPr>
                <w:kern w:val="0"/>
                <w:sz w:val="24"/>
              </w:rPr>
              <w:t>18</w:t>
            </w:r>
            <w:r>
              <w:rPr>
                <w:kern w:val="0"/>
                <w:sz w:val="24"/>
              </w:rPr>
              <w:t>东莞农村商业银行</w:t>
            </w:r>
            <w:r>
              <w:rPr>
                <w:kern w:val="0"/>
                <w:sz w:val="24"/>
              </w:rPr>
              <w:t>CD061</w:t>
            </w:r>
          </w:p>
        </w:tc>
        <w:tc>
          <w:tcPr>
            <w:tcW w:w="1494" w:type="dxa"/>
            <w:vAlign w:val="center"/>
          </w:tcPr>
          <w:p w:rsidR="00A242DE" w:rsidRDefault="00292641">
            <w:pPr>
              <w:jc w:val="center"/>
            </w:pPr>
            <w:r>
              <w:rPr>
                <w:kern w:val="0"/>
                <w:sz w:val="24"/>
              </w:rPr>
              <w:t>2018-07-02</w:t>
            </w:r>
          </w:p>
        </w:tc>
        <w:tc>
          <w:tcPr>
            <w:tcW w:w="1255" w:type="dxa"/>
            <w:vAlign w:val="center"/>
          </w:tcPr>
          <w:p w:rsidR="00A242DE" w:rsidRDefault="00292641">
            <w:pPr>
              <w:jc w:val="right"/>
            </w:pPr>
            <w:r>
              <w:rPr>
                <w:kern w:val="0"/>
                <w:sz w:val="24"/>
              </w:rPr>
              <w:t>97.91</w:t>
            </w:r>
          </w:p>
        </w:tc>
        <w:tc>
          <w:tcPr>
            <w:tcW w:w="1434" w:type="dxa"/>
            <w:vAlign w:val="center"/>
          </w:tcPr>
          <w:p w:rsidR="00A242DE" w:rsidRDefault="00292641">
            <w:pPr>
              <w:jc w:val="right"/>
            </w:pPr>
            <w:r>
              <w:rPr>
                <w:kern w:val="0"/>
                <w:sz w:val="24"/>
              </w:rPr>
              <w:t>1,500,000</w:t>
            </w:r>
          </w:p>
        </w:tc>
        <w:tc>
          <w:tcPr>
            <w:tcW w:w="1828" w:type="dxa"/>
            <w:vAlign w:val="center"/>
          </w:tcPr>
          <w:p w:rsidR="00A242DE" w:rsidRDefault="00292641">
            <w:pPr>
              <w:jc w:val="right"/>
            </w:pPr>
            <w:r>
              <w:rPr>
                <w:kern w:val="0"/>
                <w:sz w:val="24"/>
              </w:rPr>
              <w:t>146,871,479.13</w:t>
            </w:r>
          </w:p>
        </w:tc>
      </w:tr>
      <w:tr w:rsidR="00A242DE">
        <w:tc>
          <w:tcPr>
            <w:tcW w:w="1493" w:type="dxa"/>
            <w:vAlign w:val="center"/>
          </w:tcPr>
          <w:p w:rsidR="00A242DE" w:rsidRDefault="00292641">
            <w:pPr>
              <w:jc w:val="center"/>
            </w:pPr>
            <w:r>
              <w:rPr>
                <w:kern w:val="0"/>
                <w:sz w:val="24"/>
              </w:rPr>
              <w:t>189919</w:t>
            </w:r>
          </w:p>
        </w:tc>
        <w:tc>
          <w:tcPr>
            <w:tcW w:w="1494" w:type="dxa"/>
            <w:vAlign w:val="center"/>
          </w:tcPr>
          <w:p w:rsidR="00A242DE" w:rsidRDefault="00292641">
            <w:pPr>
              <w:jc w:val="center"/>
            </w:pPr>
            <w:r>
              <w:rPr>
                <w:kern w:val="0"/>
                <w:sz w:val="24"/>
              </w:rPr>
              <w:t>18</w:t>
            </w:r>
            <w:r>
              <w:rPr>
                <w:kern w:val="0"/>
                <w:sz w:val="24"/>
              </w:rPr>
              <w:t>贴现国债</w:t>
            </w:r>
            <w:r>
              <w:rPr>
                <w:kern w:val="0"/>
                <w:sz w:val="24"/>
              </w:rPr>
              <w:t>19</w:t>
            </w:r>
          </w:p>
        </w:tc>
        <w:tc>
          <w:tcPr>
            <w:tcW w:w="1494" w:type="dxa"/>
            <w:vAlign w:val="center"/>
          </w:tcPr>
          <w:p w:rsidR="00A242DE" w:rsidRDefault="00292641">
            <w:pPr>
              <w:jc w:val="center"/>
            </w:pPr>
            <w:r>
              <w:rPr>
                <w:kern w:val="0"/>
                <w:sz w:val="24"/>
              </w:rPr>
              <w:t>2018-07-02</w:t>
            </w:r>
          </w:p>
        </w:tc>
        <w:tc>
          <w:tcPr>
            <w:tcW w:w="1255" w:type="dxa"/>
            <w:vAlign w:val="center"/>
          </w:tcPr>
          <w:p w:rsidR="00A242DE" w:rsidRDefault="00292641">
            <w:pPr>
              <w:jc w:val="right"/>
            </w:pPr>
            <w:r>
              <w:rPr>
                <w:kern w:val="0"/>
                <w:sz w:val="24"/>
              </w:rPr>
              <w:t>99.77</w:t>
            </w:r>
          </w:p>
        </w:tc>
        <w:tc>
          <w:tcPr>
            <w:tcW w:w="1434" w:type="dxa"/>
            <w:vAlign w:val="center"/>
          </w:tcPr>
          <w:p w:rsidR="00A242DE" w:rsidRDefault="00292641">
            <w:pPr>
              <w:jc w:val="right"/>
            </w:pPr>
            <w:r>
              <w:rPr>
                <w:kern w:val="0"/>
                <w:sz w:val="24"/>
              </w:rPr>
              <w:t>1,000,000</w:t>
            </w:r>
          </w:p>
        </w:tc>
        <w:tc>
          <w:tcPr>
            <w:tcW w:w="1828" w:type="dxa"/>
            <w:vAlign w:val="center"/>
          </w:tcPr>
          <w:p w:rsidR="00A242DE" w:rsidRDefault="00292641">
            <w:pPr>
              <w:jc w:val="right"/>
            </w:pPr>
            <w:r>
              <w:rPr>
                <w:kern w:val="0"/>
                <w:sz w:val="24"/>
              </w:rPr>
              <w:t>99,772,488.24</w:t>
            </w:r>
          </w:p>
        </w:tc>
      </w:tr>
      <w:tr w:rsidR="00A242DE">
        <w:tc>
          <w:tcPr>
            <w:tcW w:w="1493" w:type="dxa"/>
            <w:vAlign w:val="center"/>
          </w:tcPr>
          <w:p w:rsidR="00A242DE" w:rsidRDefault="00292641">
            <w:pPr>
              <w:jc w:val="center"/>
            </w:pPr>
            <w:r>
              <w:rPr>
                <w:kern w:val="0"/>
                <w:sz w:val="24"/>
              </w:rPr>
              <w:t>111819224</w:t>
            </w:r>
          </w:p>
        </w:tc>
        <w:tc>
          <w:tcPr>
            <w:tcW w:w="1494" w:type="dxa"/>
            <w:vAlign w:val="center"/>
          </w:tcPr>
          <w:p w:rsidR="00A242DE" w:rsidRDefault="00292641">
            <w:pPr>
              <w:jc w:val="center"/>
            </w:pPr>
            <w:r>
              <w:rPr>
                <w:kern w:val="0"/>
                <w:sz w:val="24"/>
              </w:rPr>
              <w:t>18</w:t>
            </w:r>
            <w:r>
              <w:rPr>
                <w:kern w:val="0"/>
                <w:sz w:val="24"/>
              </w:rPr>
              <w:t>恒丰银行</w:t>
            </w:r>
            <w:r>
              <w:rPr>
                <w:kern w:val="0"/>
                <w:sz w:val="24"/>
              </w:rPr>
              <w:t>CD224</w:t>
            </w:r>
          </w:p>
        </w:tc>
        <w:tc>
          <w:tcPr>
            <w:tcW w:w="1494" w:type="dxa"/>
            <w:vAlign w:val="center"/>
          </w:tcPr>
          <w:p w:rsidR="00A242DE" w:rsidRDefault="00292641">
            <w:pPr>
              <w:jc w:val="center"/>
            </w:pPr>
            <w:r>
              <w:rPr>
                <w:kern w:val="0"/>
                <w:sz w:val="24"/>
              </w:rPr>
              <w:t>2018-07-03</w:t>
            </w:r>
          </w:p>
        </w:tc>
        <w:tc>
          <w:tcPr>
            <w:tcW w:w="1255" w:type="dxa"/>
            <w:vAlign w:val="center"/>
          </w:tcPr>
          <w:p w:rsidR="00A242DE" w:rsidRDefault="00292641">
            <w:pPr>
              <w:jc w:val="right"/>
            </w:pPr>
            <w:r>
              <w:rPr>
                <w:kern w:val="0"/>
                <w:sz w:val="24"/>
              </w:rPr>
              <w:t>98.16</w:t>
            </w:r>
          </w:p>
        </w:tc>
        <w:tc>
          <w:tcPr>
            <w:tcW w:w="1434" w:type="dxa"/>
            <w:vAlign w:val="center"/>
          </w:tcPr>
          <w:p w:rsidR="00A242DE" w:rsidRDefault="00292641">
            <w:pPr>
              <w:jc w:val="right"/>
            </w:pPr>
            <w:r>
              <w:rPr>
                <w:kern w:val="0"/>
                <w:sz w:val="24"/>
              </w:rPr>
              <w:t>1,000,000</w:t>
            </w:r>
          </w:p>
        </w:tc>
        <w:tc>
          <w:tcPr>
            <w:tcW w:w="1828" w:type="dxa"/>
            <w:vAlign w:val="center"/>
          </w:tcPr>
          <w:p w:rsidR="00A242DE" w:rsidRDefault="00292641">
            <w:pPr>
              <w:jc w:val="right"/>
            </w:pPr>
            <w:r>
              <w:rPr>
                <w:kern w:val="0"/>
                <w:sz w:val="24"/>
              </w:rPr>
              <w:t>98,156,118.52</w:t>
            </w:r>
          </w:p>
        </w:tc>
      </w:tr>
      <w:tr w:rsidR="00A242DE">
        <w:tc>
          <w:tcPr>
            <w:tcW w:w="1493" w:type="dxa"/>
            <w:vAlign w:val="center"/>
          </w:tcPr>
          <w:p w:rsidR="00A242DE" w:rsidRDefault="00292641">
            <w:pPr>
              <w:jc w:val="center"/>
            </w:pPr>
            <w:r>
              <w:rPr>
                <w:kern w:val="0"/>
                <w:sz w:val="24"/>
              </w:rPr>
              <w:t>111899275</w:t>
            </w:r>
          </w:p>
        </w:tc>
        <w:tc>
          <w:tcPr>
            <w:tcW w:w="1494" w:type="dxa"/>
            <w:vAlign w:val="center"/>
          </w:tcPr>
          <w:p w:rsidR="00A242DE" w:rsidRDefault="00292641">
            <w:pPr>
              <w:jc w:val="center"/>
            </w:pPr>
            <w:r>
              <w:rPr>
                <w:kern w:val="0"/>
                <w:sz w:val="24"/>
              </w:rPr>
              <w:t>18</w:t>
            </w:r>
            <w:r>
              <w:rPr>
                <w:kern w:val="0"/>
                <w:sz w:val="24"/>
              </w:rPr>
              <w:t>广州农村商业银行</w:t>
            </w:r>
            <w:r>
              <w:rPr>
                <w:kern w:val="0"/>
                <w:sz w:val="24"/>
              </w:rPr>
              <w:t>CD042</w:t>
            </w:r>
          </w:p>
        </w:tc>
        <w:tc>
          <w:tcPr>
            <w:tcW w:w="1494" w:type="dxa"/>
            <w:vAlign w:val="center"/>
          </w:tcPr>
          <w:p w:rsidR="00A242DE" w:rsidRDefault="00292641">
            <w:pPr>
              <w:jc w:val="center"/>
            </w:pPr>
            <w:r>
              <w:rPr>
                <w:kern w:val="0"/>
                <w:sz w:val="24"/>
              </w:rPr>
              <w:t>2018-07-02</w:t>
            </w:r>
          </w:p>
        </w:tc>
        <w:tc>
          <w:tcPr>
            <w:tcW w:w="1255" w:type="dxa"/>
            <w:vAlign w:val="center"/>
          </w:tcPr>
          <w:p w:rsidR="00A242DE" w:rsidRDefault="00292641">
            <w:pPr>
              <w:jc w:val="right"/>
            </w:pPr>
            <w:r>
              <w:rPr>
                <w:kern w:val="0"/>
                <w:sz w:val="24"/>
              </w:rPr>
              <w:t>98.00</w:t>
            </w:r>
          </w:p>
        </w:tc>
        <w:tc>
          <w:tcPr>
            <w:tcW w:w="1434" w:type="dxa"/>
            <w:vAlign w:val="center"/>
          </w:tcPr>
          <w:p w:rsidR="00A242DE" w:rsidRDefault="00292641">
            <w:pPr>
              <w:jc w:val="right"/>
            </w:pPr>
            <w:r>
              <w:rPr>
                <w:kern w:val="0"/>
                <w:sz w:val="24"/>
              </w:rPr>
              <w:t>1,000,000</w:t>
            </w:r>
          </w:p>
        </w:tc>
        <w:tc>
          <w:tcPr>
            <w:tcW w:w="1828" w:type="dxa"/>
            <w:vAlign w:val="center"/>
          </w:tcPr>
          <w:p w:rsidR="00A242DE" w:rsidRDefault="00292641">
            <w:pPr>
              <w:jc w:val="right"/>
            </w:pPr>
            <w:r>
              <w:rPr>
                <w:kern w:val="0"/>
                <w:sz w:val="24"/>
              </w:rPr>
              <w:t>97,996,498.30</w:t>
            </w:r>
          </w:p>
        </w:tc>
      </w:tr>
      <w:tr w:rsidR="00A242DE">
        <w:tc>
          <w:tcPr>
            <w:tcW w:w="1493" w:type="dxa"/>
            <w:vAlign w:val="center"/>
          </w:tcPr>
          <w:p w:rsidR="00A242DE" w:rsidRDefault="00292641">
            <w:pPr>
              <w:jc w:val="center"/>
            </w:pPr>
            <w:r>
              <w:rPr>
                <w:kern w:val="0"/>
                <w:sz w:val="24"/>
              </w:rPr>
              <w:t>111898984</w:t>
            </w:r>
          </w:p>
        </w:tc>
        <w:tc>
          <w:tcPr>
            <w:tcW w:w="1494" w:type="dxa"/>
            <w:vAlign w:val="center"/>
          </w:tcPr>
          <w:p w:rsidR="00A242DE" w:rsidRDefault="00292641">
            <w:pPr>
              <w:jc w:val="center"/>
            </w:pPr>
            <w:r>
              <w:rPr>
                <w:kern w:val="0"/>
                <w:sz w:val="24"/>
              </w:rPr>
              <w:t>18</w:t>
            </w:r>
            <w:proofErr w:type="gramStart"/>
            <w:r>
              <w:rPr>
                <w:kern w:val="0"/>
                <w:sz w:val="24"/>
              </w:rPr>
              <w:t>华融湘江</w:t>
            </w:r>
            <w:proofErr w:type="gramEnd"/>
            <w:r>
              <w:rPr>
                <w:kern w:val="0"/>
                <w:sz w:val="24"/>
              </w:rPr>
              <w:t>银行</w:t>
            </w:r>
            <w:r>
              <w:rPr>
                <w:kern w:val="0"/>
                <w:sz w:val="24"/>
              </w:rPr>
              <w:t>CD102</w:t>
            </w:r>
          </w:p>
        </w:tc>
        <w:tc>
          <w:tcPr>
            <w:tcW w:w="1494" w:type="dxa"/>
            <w:vAlign w:val="center"/>
          </w:tcPr>
          <w:p w:rsidR="00A242DE" w:rsidRDefault="00292641">
            <w:pPr>
              <w:jc w:val="center"/>
            </w:pPr>
            <w:r>
              <w:rPr>
                <w:kern w:val="0"/>
                <w:sz w:val="24"/>
              </w:rPr>
              <w:t>2018-07-02</w:t>
            </w:r>
          </w:p>
        </w:tc>
        <w:tc>
          <w:tcPr>
            <w:tcW w:w="1255" w:type="dxa"/>
            <w:vAlign w:val="center"/>
          </w:tcPr>
          <w:p w:rsidR="00A242DE" w:rsidRDefault="00292641">
            <w:pPr>
              <w:jc w:val="right"/>
            </w:pPr>
            <w:r>
              <w:rPr>
                <w:kern w:val="0"/>
                <w:sz w:val="24"/>
              </w:rPr>
              <w:t>98.01</w:t>
            </w:r>
          </w:p>
        </w:tc>
        <w:tc>
          <w:tcPr>
            <w:tcW w:w="1434" w:type="dxa"/>
            <w:vAlign w:val="center"/>
          </w:tcPr>
          <w:p w:rsidR="00A242DE" w:rsidRDefault="00292641">
            <w:pPr>
              <w:jc w:val="right"/>
            </w:pPr>
            <w:r>
              <w:rPr>
                <w:kern w:val="0"/>
                <w:sz w:val="24"/>
              </w:rPr>
              <w:t>500,000</w:t>
            </w:r>
          </w:p>
        </w:tc>
        <w:tc>
          <w:tcPr>
            <w:tcW w:w="1828" w:type="dxa"/>
            <w:vAlign w:val="center"/>
          </w:tcPr>
          <w:p w:rsidR="00A242DE" w:rsidRDefault="00292641">
            <w:pPr>
              <w:jc w:val="right"/>
            </w:pPr>
            <w:r>
              <w:rPr>
                <w:kern w:val="0"/>
                <w:sz w:val="24"/>
              </w:rPr>
              <w:t>49,005,459.03</w:t>
            </w:r>
          </w:p>
        </w:tc>
      </w:tr>
      <w:tr w:rsidR="00A242DE">
        <w:tc>
          <w:tcPr>
            <w:tcW w:w="1493" w:type="dxa"/>
            <w:vAlign w:val="center"/>
          </w:tcPr>
          <w:p w:rsidR="00A242DE" w:rsidRDefault="00292641">
            <w:pPr>
              <w:jc w:val="center"/>
            </w:pPr>
            <w:r>
              <w:rPr>
                <w:kern w:val="0"/>
                <w:sz w:val="24"/>
              </w:rPr>
              <w:t>170207</w:t>
            </w:r>
          </w:p>
        </w:tc>
        <w:tc>
          <w:tcPr>
            <w:tcW w:w="1494" w:type="dxa"/>
            <w:vAlign w:val="center"/>
          </w:tcPr>
          <w:p w:rsidR="00A242DE" w:rsidRDefault="00292641">
            <w:pPr>
              <w:jc w:val="center"/>
            </w:pPr>
            <w:r>
              <w:rPr>
                <w:kern w:val="0"/>
                <w:sz w:val="24"/>
              </w:rPr>
              <w:t>17</w:t>
            </w:r>
            <w:r>
              <w:rPr>
                <w:kern w:val="0"/>
                <w:sz w:val="24"/>
              </w:rPr>
              <w:t>国开</w:t>
            </w:r>
            <w:r>
              <w:rPr>
                <w:kern w:val="0"/>
                <w:sz w:val="24"/>
              </w:rPr>
              <w:t>07</w:t>
            </w:r>
          </w:p>
        </w:tc>
        <w:tc>
          <w:tcPr>
            <w:tcW w:w="1494" w:type="dxa"/>
            <w:vAlign w:val="center"/>
          </w:tcPr>
          <w:p w:rsidR="00A242DE" w:rsidRDefault="00292641">
            <w:pPr>
              <w:jc w:val="center"/>
            </w:pPr>
            <w:r>
              <w:rPr>
                <w:kern w:val="0"/>
                <w:sz w:val="24"/>
              </w:rPr>
              <w:t>2018-07-04</w:t>
            </w:r>
          </w:p>
        </w:tc>
        <w:tc>
          <w:tcPr>
            <w:tcW w:w="1255" w:type="dxa"/>
            <w:vAlign w:val="center"/>
          </w:tcPr>
          <w:p w:rsidR="00A242DE" w:rsidRDefault="00292641">
            <w:pPr>
              <w:jc w:val="right"/>
            </w:pPr>
            <w:r>
              <w:rPr>
                <w:kern w:val="0"/>
                <w:sz w:val="24"/>
              </w:rPr>
              <w:t>100.02</w:t>
            </w:r>
          </w:p>
        </w:tc>
        <w:tc>
          <w:tcPr>
            <w:tcW w:w="1434" w:type="dxa"/>
            <w:vAlign w:val="center"/>
          </w:tcPr>
          <w:p w:rsidR="00A242DE" w:rsidRDefault="00292641">
            <w:pPr>
              <w:jc w:val="right"/>
            </w:pPr>
            <w:r>
              <w:rPr>
                <w:kern w:val="0"/>
                <w:sz w:val="24"/>
              </w:rPr>
              <w:t>400,000</w:t>
            </w:r>
          </w:p>
        </w:tc>
        <w:tc>
          <w:tcPr>
            <w:tcW w:w="1828" w:type="dxa"/>
            <w:vAlign w:val="center"/>
          </w:tcPr>
          <w:p w:rsidR="00A242DE" w:rsidRDefault="00292641">
            <w:pPr>
              <w:jc w:val="right"/>
            </w:pPr>
            <w:r>
              <w:rPr>
                <w:kern w:val="0"/>
                <w:sz w:val="24"/>
              </w:rPr>
              <w:t>40,006,287.09</w:t>
            </w:r>
          </w:p>
        </w:tc>
      </w:tr>
      <w:tr w:rsidR="00A242DE">
        <w:tc>
          <w:tcPr>
            <w:tcW w:w="1493" w:type="dxa"/>
            <w:vAlign w:val="center"/>
          </w:tcPr>
          <w:p w:rsidR="00A242DE" w:rsidRDefault="00292641">
            <w:pPr>
              <w:jc w:val="center"/>
            </w:pPr>
            <w:r>
              <w:rPr>
                <w:kern w:val="0"/>
                <w:sz w:val="24"/>
              </w:rPr>
              <w:t>170410</w:t>
            </w:r>
          </w:p>
        </w:tc>
        <w:tc>
          <w:tcPr>
            <w:tcW w:w="1494" w:type="dxa"/>
            <w:vAlign w:val="center"/>
          </w:tcPr>
          <w:p w:rsidR="00A242DE" w:rsidRDefault="00292641">
            <w:pPr>
              <w:jc w:val="center"/>
            </w:pPr>
            <w:r>
              <w:rPr>
                <w:kern w:val="0"/>
                <w:sz w:val="24"/>
              </w:rPr>
              <w:t>17</w:t>
            </w:r>
            <w:r>
              <w:rPr>
                <w:kern w:val="0"/>
                <w:sz w:val="24"/>
              </w:rPr>
              <w:t>农发</w:t>
            </w:r>
            <w:r>
              <w:rPr>
                <w:kern w:val="0"/>
                <w:sz w:val="24"/>
              </w:rPr>
              <w:t>10</w:t>
            </w:r>
          </w:p>
        </w:tc>
        <w:tc>
          <w:tcPr>
            <w:tcW w:w="1494" w:type="dxa"/>
            <w:vAlign w:val="center"/>
          </w:tcPr>
          <w:p w:rsidR="00A242DE" w:rsidRDefault="00292641">
            <w:pPr>
              <w:jc w:val="center"/>
            </w:pPr>
            <w:r>
              <w:rPr>
                <w:kern w:val="0"/>
                <w:sz w:val="24"/>
              </w:rPr>
              <w:t>2018-07-04</w:t>
            </w:r>
          </w:p>
        </w:tc>
        <w:tc>
          <w:tcPr>
            <w:tcW w:w="1255" w:type="dxa"/>
            <w:vAlign w:val="center"/>
          </w:tcPr>
          <w:p w:rsidR="00A242DE" w:rsidRDefault="00292641">
            <w:pPr>
              <w:jc w:val="right"/>
            </w:pPr>
            <w:r>
              <w:rPr>
                <w:kern w:val="0"/>
                <w:sz w:val="24"/>
              </w:rPr>
              <w:t>100.04</w:t>
            </w:r>
          </w:p>
        </w:tc>
        <w:tc>
          <w:tcPr>
            <w:tcW w:w="1434" w:type="dxa"/>
            <w:vAlign w:val="center"/>
          </w:tcPr>
          <w:p w:rsidR="00A242DE" w:rsidRDefault="00292641">
            <w:pPr>
              <w:jc w:val="right"/>
            </w:pPr>
            <w:r>
              <w:rPr>
                <w:kern w:val="0"/>
                <w:sz w:val="24"/>
              </w:rPr>
              <w:t>300,000</w:t>
            </w:r>
          </w:p>
        </w:tc>
        <w:tc>
          <w:tcPr>
            <w:tcW w:w="1828" w:type="dxa"/>
            <w:vAlign w:val="center"/>
          </w:tcPr>
          <w:p w:rsidR="00A242DE" w:rsidRDefault="00292641">
            <w:pPr>
              <w:jc w:val="right"/>
            </w:pPr>
            <w:r>
              <w:rPr>
                <w:kern w:val="0"/>
                <w:sz w:val="24"/>
              </w:rPr>
              <w:t>30,013,447.48</w:t>
            </w:r>
          </w:p>
        </w:tc>
      </w:tr>
      <w:tr w:rsidR="00A242DE">
        <w:tc>
          <w:tcPr>
            <w:tcW w:w="1493" w:type="dxa"/>
            <w:vAlign w:val="center"/>
          </w:tcPr>
          <w:p w:rsidR="00A242DE" w:rsidRDefault="00292641">
            <w:pPr>
              <w:jc w:val="center"/>
            </w:pPr>
            <w:r>
              <w:rPr>
                <w:kern w:val="0"/>
                <w:sz w:val="24"/>
              </w:rPr>
              <w:t>189916</w:t>
            </w:r>
          </w:p>
        </w:tc>
        <w:tc>
          <w:tcPr>
            <w:tcW w:w="1494" w:type="dxa"/>
            <w:vAlign w:val="center"/>
          </w:tcPr>
          <w:p w:rsidR="00A242DE" w:rsidRDefault="00292641">
            <w:pPr>
              <w:jc w:val="center"/>
            </w:pPr>
            <w:r>
              <w:rPr>
                <w:kern w:val="0"/>
                <w:sz w:val="24"/>
              </w:rPr>
              <w:t>18</w:t>
            </w:r>
            <w:r>
              <w:rPr>
                <w:kern w:val="0"/>
                <w:sz w:val="24"/>
              </w:rPr>
              <w:t>贴现国债</w:t>
            </w:r>
            <w:r>
              <w:rPr>
                <w:kern w:val="0"/>
                <w:sz w:val="24"/>
              </w:rPr>
              <w:t>16</w:t>
            </w:r>
          </w:p>
        </w:tc>
        <w:tc>
          <w:tcPr>
            <w:tcW w:w="1494" w:type="dxa"/>
            <w:vAlign w:val="center"/>
          </w:tcPr>
          <w:p w:rsidR="00A242DE" w:rsidRDefault="00292641">
            <w:pPr>
              <w:jc w:val="center"/>
            </w:pPr>
            <w:r>
              <w:rPr>
                <w:kern w:val="0"/>
                <w:sz w:val="24"/>
              </w:rPr>
              <w:t>2018-07-04</w:t>
            </w:r>
          </w:p>
        </w:tc>
        <w:tc>
          <w:tcPr>
            <w:tcW w:w="1255" w:type="dxa"/>
            <w:vAlign w:val="center"/>
          </w:tcPr>
          <w:p w:rsidR="00A242DE" w:rsidRDefault="00292641">
            <w:pPr>
              <w:jc w:val="right"/>
            </w:pPr>
            <w:r>
              <w:rPr>
                <w:kern w:val="0"/>
                <w:sz w:val="24"/>
              </w:rPr>
              <w:t>99.89</w:t>
            </w:r>
          </w:p>
        </w:tc>
        <w:tc>
          <w:tcPr>
            <w:tcW w:w="1434" w:type="dxa"/>
            <w:vAlign w:val="center"/>
          </w:tcPr>
          <w:p w:rsidR="00A242DE" w:rsidRDefault="00292641">
            <w:pPr>
              <w:jc w:val="right"/>
            </w:pPr>
            <w:r>
              <w:rPr>
                <w:kern w:val="0"/>
                <w:sz w:val="24"/>
              </w:rPr>
              <w:t>200,000</w:t>
            </w:r>
          </w:p>
        </w:tc>
        <w:tc>
          <w:tcPr>
            <w:tcW w:w="1828" w:type="dxa"/>
            <w:vAlign w:val="center"/>
          </w:tcPr>
          <w:p w:rsidR="00A242DE" w:rsidRDefault="00292641">
            <w:pPr>
              <w:jc w:val="right"/>
            </w:pPr>
            <w:r>
              <w:rPr>
                <w:kern w:val="0"/>
                <w:sz w:val="24"/>
              </w:rPr>
              <w:t>19,978,645.61</w:t>
            </w:r>
          </w:p>
        </w:tc>
      </w:tr>
      <w:tr w:rsidR="00A242DE">
        <w:tc>
          <w:tcPr>
            <w:tcW w:w="1493" w:type="dxa"/>
            <w:vAlign w:val="center"/>
          </w:tcPr>
          <w:p w:rsidR="00A242DE" w:rsidRDefault="00292641">
            <w:pPr>
              <w:jc w:val="center"/>
            </w:pPr>
            <w:r>
              <w:rPr>
                <w:kern w:val="0"/>
                <w:sz w:val="24"/>
              </w:rPr>
              <w:t>111785144</w:t>
            </w:r>
          </w:p>
        </w:tc>
        <w:tc>
          <w:tcPr>
            <w:tcW w:w="1494" w:type="dxa"/>
            <w:vAlign w:val="center"/>
          </w:tcPr>
          <w:p w:rsidR="00A242DE" w:rsidRDefault="00292641">
            <w:pPr>
              <w:jc w:val="center"/>
            </w:pPr>
            <w:r>
              <w:rPr>
                <w:kern w:val="0"/>
                <w:sz w:val="24"/>
              </w:rPr>
              <w:t>17</w:t>
            </w:r>
            <w:r>
              <w:rPr>
                <w:kern w:val="0"/>
                <w:sz w:val="24"/>
              </w:rPr>
              <w:t>贵州银行</w:t>
            </w:r>
            <w:r>
              <w:rPr>
                <w:kern w:val="0"/>
                <w:sz w:val="24"/>
              </w:rPr>
              <w:t>CD047</w:t>
            </w:r>
          </w:p>
        </w:tc>
        <w:tc>
          <w:tcPr>
            <w:tcW w:w="1494" w:type="dxa"/>
            <w:vAlign w:val="center"/>
          </w:tcPr>
          <w:p w:rsidR="00A242DE" w:rsidRDefault="00292641">
            <w:pPr>
              <w:jc w:val="center"/>
            </w:pPr>
            <w:r>
              <w:rPr>
                <w:kern w:val="0"/>
                <w:sz w:val="24"/>
              </w:rPr>
              <w:t>2018-07-02</w:t>
            </w:r>
          </w:p>
        </w:tc>
        <w:tc>
          <w:tcPr>
            <w:tcW w:w="1255" w:type="dxa"/>
            <w:vAlign w:val="center"/>
          </w:tcPr>
          <w:p w:rsidR="00A242DE" w:rsidRDefault="00292641">
            <w:pPr>
              <w:jc w:val="right"/>
            </w:pPr>
            <w:r>
              <w:rPr>
                <w:kern w:val="0"/>
                <w:sz w:val="24"/>
              </w:rPr>
              <w:t>99.06</w:t>
            </w:r>
          </w:p>
        </w:tc>
        <w:tc>
          <w:tcPr>
            <w:tcW w:w="1434" w:type="dxa"/>
            <w:vAlign w:val="center"/>
          </w:tcPr>
          <w:p w:rsidR="00A242DE" w:rsidRDefault="00292641">
            <w:pPr>
              <w:jc w:val="right"/>
            </w:pPr>
            <w:r>
              <w:rPr>
                <w:kern w:val="0"/>
                <w:sz w:val="24"/>
              </w:rPr>
              <w:t>190,000</w:t>
            </w:r>
          </w:p>
        </w:tc>
        <w:tc>
          <w:tcPr>
            <w:tcW w:w="1828" w:type="dxa"/>
            <w:vAlign w:val="center"/>
          </w:tcPr>
          <w:p w:rsidR="00A242DE" w:rsidRDefault="00292641">
            <w:pPr>
              <w:jc w:val="right"/>
            </w:pPr>
            <w:r>
              <w:rPr>
                <w:kern w:val="0"/>
                <w:sz w:val="24"/>
              </w:rPr>
              <w:t>18,821,399.92</w:t>
            </w:r>
          </w:p>
        </w:tc>
      </w:tr>
      <w:tr w:rsidR="00A242DE">
        <w:tc>
          <w:tcPr>
            <w:tcW w:w="1493" w:type="dxa"/>
            <w:vAlign w:val="center"/>
          </w:tcPr>
          <w:p w:rsidR="00A242DE" w:rsidRDefault="00292641">
            <w:pPr>
              <w:jc w:val="center"/>
            </w:pPr>
            <w:r>
              <w:rPr>
                <w:kern w:val="0"/>
                <w:sz w:val="24"/>
              </w:rPr>
              <w:t>189924</w:t>
            </w:r>
          </w:p>
        </w:tc>
        <w:tc>
          <w:tcPr>
            <w:tcW w:w="1494" w:type="dxa"/>
            <w:vAlign w:val="center"/>
          </w:tcPr>
          <w:p w:rsidR="00A242DE" w:rsidRDefault="00292641">
            <w:pPr>
              <w:jc w:val="center"/>
            </w:pPr>
            <w:r>
              <w:rPr>
                <w:kern w:val="0"/>
                <w:sz w:val="24"/>
              </w:rPr>
              <w:t>18</w:t>
            </w:r>
            <w:r>
              <w:rPr>
                <w:kern w:val="0"/>
                <w:sz w:val="24"/>
              </w:rPr>
              <w:t>贴现国债</w:t>
            </w:r>
            <w:r>
              <w:rPr>
                <w:kern w:val="0"/>
                <w:sz w:val="24"/>
              </w:rPr>
              <w:t>24</w:t>
            </w:r>
          </w:p>
        </w:tc>
        <w:tc>
          <w:tcPr>
            <w:tcW w:w="1494" w:type="dxa"/>
            <w:vAlign w:val="center"/>
          </w:tcPr>
          <w:p w:rsidR="00A242DE" w:rsidRDefault="00292641">
            <w:pPr>
              <w:jc w:val="center"/>
            </w:pPr>
            <w:r>
              <w:rPr>
                <w:kern w:val="0"/>
                <w:sz w:val="24"/>
              </w:rPr>
              <w:t>2018-07-04</w:t>
            </w:r>
          </w:p>
        </w:tc>
        <w:tc>
          <w:tcPr>
            <w:tcW w:w="1255" w:type="dxa"/>
            <w:vAlign w:val="center"/>
          </w:tcPr>
          <w:p w:rsidR="00A242DE" w:rsidRDefault="00292641">
            <w:pPr>
              <w:jc w:val="right"/>
            </w:pPr>
            <w:r>
              <w:rPr>
                <w:kern w:val="0"/>
                <w:sz w:val="24"/>
              </w:rPr>
              <w:t>99.54</w:t>
            </w:r>
          </w:p>
        </w:tc>
        <w:tc>
          <w:tcPr>
            <w:tcW w:w="1434" w:type="dxa"/>
            <w:vAlign w:val="center"/>
          </w:tcPr>
          <w:p w:rsidR="00A242DE" w:rsidRDefault="00292641">
            <w:pPr>
              <w:jc w:val="right"/>
            </w:pPr>
            <w:r>
              <w:rPr>
                <w:kern w:val="0"/>
                <w:sz w:val="24"/>
              </w:rPr>
              <w:t>131,000</w:t>
            </w:r>
          </w:p>
        </w:tc>
        <w:tc>
          <w:tcPr>
            <w:tcW w:w="1828" w:type="dxa"/>
            <w:vAlign w:val="center"/>
          </w:tcPr>
          <w:p w:rsidR="00A242DE" w:rsidRDefault="00292641">
            <w:pPr>
              <w:jc w:val="right"/>
            </w:pPr>
            <w:r>
              <w:rPr>
                <w:kern w:val="0"/>
                <w:sz w:val="24"/>
              </w:rPr>
              <w:t>13,039,478.38</w:t>
            </w:r>
          </w:p>
        </w:tc>
      </w:tr>
      <w:tr w:rsidR="00A242DE">
        <w:tc>
          <w:tcPr>
            <w:tcW w:w="1493" w:type="dxa"/>
            <w:vAlign w:val="center"/>
          </w:tcPr>
          <w:p w:rsidR="00A242DE" w:rsidRDefault="00292641">
            <w:pPr>
              <w:jc w:val="center"/>
            </w:pPr>
            <w:r>
              <w:rPr>
                <w:kern w:val="0"/>
                <w:sz w:val="24"/>
              </w:rPr>
              <w:t>189925</w:t>
            </w:r>
          </w:p>
        </w:tc>
        <w:tc>
          <w:tcPr>
            <w:tcW w:w="1494" w:type="dxa"/>
            <w:vAlign w:val="center"/>
          </w:tcPr>
          <w:p w:rsidR="00A242DE" w:rsidRDefault="00292641">
            <w:pPr>
              <w:jc w:val="center"/>
            </w:pPr>
            <w:r>
              <w:rPr>
                <w:kern w:val="0"/>
                <w:sz w:val="24"/>
              </w:rPr>
              <w:t>18</w:t>
            </w:r>
            <w:r>
              <w:rPr>
                <w:kern w:val="0"/>
                <w:sz w:val="24"/>
              </w:rPr>
              <w:t>贴现国债</w:t>
            </w:r>
            <w:r>
              <w:rPr>
                <w:kern w:val="0"/>
                <w:sz w:val="24"/>
              </w:rPr>
              <w:t>25</w:t>
            </w:r>
          </w:p>
        </w:tc>
        <w:tc>
          <w:tcPr>
            <w:tcW w:w="1494" w:type="dxa"/>
            <w:vAlign w:val="center"/>
          </w:tcPr>
          <w:p w:rsidR="00A242DE" w:rsidRDefault="00292641">
            <w:pPr>
              <w:jc w:val="center"/>
            </w:pPr>
            <w:r>
              <w:rPr>
                <w:kern w:val="0"/>
                <w:sz w:val="24"/>
              </w:rPr>
              <w:t>2018-07-02</w:t>
            </w:r>
          </w:p>
        </w:tc>
        <w:tc>
          <w:tcPr>
            <w:tcW w:w="1255" w:type="dxa"/>
            <w:vAlign w:val="center"/>
          </w:tcPr>
          <w:p w:rsidR="00A242DE" w:rsidRDefault="00292641">
            <w:pPr>
              <w:jc w:val="right"/>
            </w:pPr>
            <w:r>
              <w:rPr>
                <w:kern w:val="0"/>
                <w:sz w:val="24"/>
              </w:rPr>
              <w:t>99.49</w:t>
            </w:r>
          </w:p>
        </w:tc>
        <w:tc>
          <w:tcPr>
            <w:tcW w:w="1434" w:type="dxa"/>
            <w:vAlign w:val="center"/>
          </w:tcPr>
          <w:p w:rsidR="00A242DE" w:rsidRDefault="00292641">
            <w:pPr>
              <w:jc w:val="right"/>
            </w:pPr>
            <w:r>
              <w:rPr>
                <w:kern w:val="0"/>
                <w:sz w:val="24"/>
              </w:rPr>
              <w:t>92,000</w:t>
            </w:r>
          </w:p>
        </w:tc>
        <w:tc>
          <w:tcPr>
            <w:tcW w:w="1828" w:type="dxa"/>
            <w:vAlign w:val="center"/>
          </w:tcPr>
          <w:p w:rsidR="00A242DE" w:rsidRDefault="00292641">
            <w:pPr>
              <w:jc w:val="right"/>
            </w:pPr>
            <w:r>
              <w:rPr>
                <w:kern w:val="0"/>
                <w:sz w:val="24"/>
              </w:rPr>
              <w:t>9,153,104.36</w:t>
            </w:r>
          </w:p>
        </w:tc>
      </w:tr>
      <w:tr w:rsidR="00A242DE">
        <w:tc>
          <w:tcPr>
            <w:tcW w:w="1493" w:type="dxa"/>
            <w:vAlign w:val="center"/>
          </w:tcPr>
          <w:p w:rsidR="00A242DE" w:rsidRDefault="00292641">
            <w:pPr>
              <w:jc w:val="center"/>
            </w:pPr>
            <w:r>
              <w:rPr>
                <w:kern w:val="0"/>
                <w:sz w:val="24"/>
              </w:rPr>
              <w:t>180207</w:t>
            </w:r>
          </w:p>
        </w:tc>
        <w:tc>
          <w:tcPr>
            <w:tcW w:w="1494" w:type="dxa"/>
            <w:vAlign w:val="center"/>
          </w:tcPr>
          <w:p w:rsidR="00A242DE" w:rsidRDefault="00292641">
            <w:pPr>
              <w:jc w:val="center"/>
            </w:pPr>
            <w:r>
              <w:rPr>
                <w:kern w:val="0"/>
                <w:sz w:val="24"/>
              </w:rPr>
              <w:t>18</w:t>
            </w:r>
            <w:r>
              <w:rPr>
                <w:kern w:val="0"/>
                <w:sz w:val="24"/>
              </w:rPr>
              <w:t>国开</w:t>
            </w:r>
            <w:r>
              <w:rPr>
                <w:kern w:val="0"/>
                <w:sz w:val="24"/>
              </w:rPr>
              <w:t>07</w:t>
            </w:r>
          </w:p>
        </w:tc>
        <w:tc>
          <w:tcPr>
            <w:tcW w:w="1494" w:type="dxa"/>
            <w:vAlign w:val="center"/>
          </w:tcPr>
          <w:p w:rsidR="00A242DE" w:rsidRDefault="00292641">
            <w:pPr>
              <w:jc w:val="center"/>
            </w:pPr>
            <w:r>
              <w:rPr>
                <w:kern w:val="0"/>
                <w:sz w:val="24"/>
              </w:rPr>
              <w:t>2018-07-02</w:t>
            </w:r>
          </w:p>
        </w:tc>
        <w:tc>
          <w:tcPr>
            <w:tcW w:w="1255" w:type="dxa"/>
            <w:vAlign w:val="center"/>
          </w:tcPr>
          <w:p w:rsidR="00A242DE" w:rsidRDefault="00292641">
            <w:pPr>
              <w:jc w:val="right"/>
            </w:pPr>
            <w:r>
              <w:rPr>
                <w:kern w:val="0"/>
                <w:sz w:val="24"/>
              </w:rPr>
              <w:t>99.75</w:t>
            </w:r>
          </w:p>
        </w:tc>
        <w:tc>
          <w:tcPr>
            <w:tcW w:w="1434" w:type="dxa"/>
            <w:vAlign w:val="center"/>
          </w:tcPr>
          <w:p w:rsidR="00A242DE" w:rsidRDefault="00292641">
            <w:pPr>
              <w:jc w:val="right"/>
            </w:pPr>
            <w:r>
              <w:rPr>
                <w:kern w:val="0"/>
                <w:sz w:val="24"/>
              </w:rPr>
              <w:t>90,000</w:t>
            </w:r>
          </w:p>
        </w:tc>
        <w:tc>
          <w:tcPr>
            <w:tcW w:w="1828" w:type="dxa"/>
            <w:vAlign w:val="center"/>
          </w:tcPr>
          <w:p w:rsidR="00A242DE" w:rsidRDefault="00292641">
            <w:pPr>
              <w:jc w:val="right"/>
            </w:pPr>
            <w:r>
              <w:rPr>
                <w:kern w:val="0"/>
                <w:sz w:val="24"/>
              </w:rPr>
              <w:t>8,977,523.81</w:t>
            </w:r>
          </w:p>
        </w:tc>
      </w:tr>
      <w:tr w:rsidR="00A242DE">
        <w:tc>
          <w:tcPr>
            <w:tcW w:w="1493" w:type="dxa"/>
            <w:vAlign w:val="center"/>
          </w:tcPr>
          <w:p w:rsidR="00A242DE" w:rsidRDefault="00292641">
            <w:pPr>
              <w:jc w:val="center"/>
            </w:pPr>
            <w:r>
              <w:rPr>
                <w:kern w:val="0"/>
                <w:sz w:val="24"/>
              </w:rPr>
              <w:t>111819239</w:t>
            </w:r>
          </w:p>
        </w:tc>
        <w:tc>
          <w:tcPr>
            <w:tcW w:w="1494" w:type="dxa"/>
            <w:vAlign w:val="center"/>
          </w:tcPr>
          <w:p w:rsidR="00A242DE" w:rsidRDefault="00292641">
            <w:pPr>
              <w:jc w:val="center"/>
            </w:pPr>
            <w:r>
              <w:rPr>
                <w:kern w:val="0"/>
                <w:sz w:val="24"/>
              </w:rPr>
              <w:t>18</w:t>
            </w:r>
            <w:r>
              <w:rPr>
                <w:kern w:val="0"/>
                <w:sz w:val="24"/>
              </w:rPr>
              <w:t>恒丰银行</w:t>
            </w:r>
            <w:r>
              <w:rPr>
                <w:kern w:val="0"/>
                <w:sz w:val="24"/>
              </w:rPr>
              <w:t>CD239</w:t>
            </w:r>
          </w:p>
        </w:tc>
        <w:tc>
          <w:tcPr>
            <w:tcW w:w="1494" w:type="dxa"/>
            <w:vAlign w:val="center"/>
          </w:tcPr>
          <w:p w:rsidR="00A242DE" w:rsidRDefault="00292641">
            <w:pPr>
              <w:jc w:val="center"/>
            </w:pPr>
            <w:r>
              <w:rPr>
                <w:kern w:val="0"/>
                <w:sz w:val="24"/>
              </w:rPr>
              <w:t>2018-07-03</w:t>
            </w:r>
          </w:p>
        </w:tc>
        <w:tc>
          <w:tcPr>
            <w:tcW w:w="1255" w:type="dxa"/>
            <w:vAlign w:val="center"/>
          </w:tcPr>
          <w:p w:rsidR="00A242DE" w:rsidRDefault="00292641">
            <w:pPr>
              <w:jc w:val="right"/>
            </w:pPr>
            <w:r>
              <w:rPr>
                <w:kern w:val="0"/>
                <w:sz w:val="24"/>
              </w:rPr>
              <w:t>98.04</w:t>
            </w:r>
          </w:p>
        </w:tc>
        <w:tc>
          <w:tcPr>
            <w:tcW w:w="1434" w:type="dxa"/>
            <w:vAlign w:val="center"/>
          </w:tcPr>
          <w:p w:rsidR="00A242DE" w:rsidRDefault="00292641">
            <w:pPr>
              <w:jc w:val="right"/>
            </w:pPr>
            <w:r>
              <w:rPr>
                <w:kern w:val="0"/>
                <w:sz w:val="24"/>
              </w:rPr>
              <w:t>31,000</w:t>
            </w:r>
          </w:p>
        </w:tc>
        <w:tc>
          <w:tcPr>
            <w:tcW w:w="1828" w:type="dxa"/>
            <w:vAlign w:val="center"/>
          </w:tcPr>
          <w:p w:rsidR="00A242DE" w:rsidRDefault="00292641">
            <w:pPr>
              <w:jc w:val="right"/>
            </w:pPr>
            <w:r>
              <w:rPr>
                <w:kern w:val="0"/>
                <w:sz w:val="24"/>
              </w:rPr>
              <w:t>3,039,191.20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6,434,000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634,831,121.07</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6" w:name="_Toc331410101"/>
      <w:bookmarkStart w:id="17" w:name="_Toc225498272"/>
      <w:r w:rsidRPr="0061644B">
        <w:rPr>
          <w:b/>
          <w:bCs/>
          <w:szCs w:val="24"/>
          <w:lang w:val="en-US"/>
        </w:rPr>
        <w:t>7</w:t>
      </w:r>
      <w:r w:rsidR="006D141C" w:rsidRPr="0061644B">
        <w:rPr>
          <w:b/>
          <w:bCs/>
          <w:szCs w:val="24"/>
          <w:lang w:val="en-US"/>
        </w:rPr>
        <w:t>投资组合报告</w:t>
      </w:r>
      <w:bookmarkEnd w:id="16"/>
      <w:bookmarkEnd w:id="17"/>
    </w:p>
    <w:p w:rsidR="006D141C" w:rsidRPr="0061644B" w:rsidRDefault="006D141C" w:rsidP="00792A69">
      <w:pPr>
        <w:pStyle w:val="20"/>
        <w:spacing w:before="29" w:after="0" w:line="288" w:lineRule="auto"/>
        <w:rPr>
          <w:rFonts w:ascii="Times New Roman" w:hAnsi="Times New Roman" w:cs="Times New Roman"/>
          <w:kern w:val="0"/>
          <w:szCs w:val="24"/>
        </w:rPr>
      </w:pPr>
      <w:bookmarkStart w:id="18" w:name="_Toc331410102"/>
      <w:bookmarkStart w:id="19"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8"/>
      <w:bookmarkEnd w:id="19"/>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2,808,171,675.31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69.74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2,808,171,675.31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69.74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298,000,807.00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7.40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697,919,467.17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17.33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222,364,483.61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5.52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4,026,456,433.09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0" w:name="_Toc331410103"/>
      <w:bookmarkStart w:id="21" w:name="_Toc225498274"/>
      <w:r w:rsidRPr="0061644B">
        <w:rPr>
          <w:rFonts w:ascii="Times New Roman" w:hAnsi="Times New Roman" w:cs="Times New Roman"/>
          <w:szCs w:val="24"/>
        </w:rPr>
        <w:t>7.2</w:t>
      </w:r>
      <w:bookmarkEnd w:id="20"/>
      <w:bookmarkEnd w:id="21"/>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6.89</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620,080,489.95</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18.22</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2" w:name="_Toc247957040"/>
      <w:bookmarkStart w:id="23"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2"/>
      <w:bookmarkEnd w:id="23"/>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4" w:name="_Toc275523745"/>
      <w:r w:rsidRPr="0061644B">
        <w:rPr>
          <w:b/>
          <w:bCs/>
          <w:sz w:val="24"/>
        </w:rPr>
        <w:t>7.3</w:t>
      </w:r>
      <w:bookmarkEnd w:id="24"/>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112</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114</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38</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本基金投资组合的平均剩余期限在每个交易日均不得超过</w:t>
      </w:r>
      <w:r w:rsidRPr="00453908">
        <w:rPr>
          <w:rFonts w:eastAsiaTheme="minorEastAsia"/>
          <w:color w:val="000000" w:themeColor="text1"/>
          <w:sz w:val="24"/>
        </w:rPr>
        <w:t>120</w:t>
      </w:r>
      <w:r w:rsidRPr="00453908">
        <w:rPr>
          <w:rFonts w:eastAsiaTheme="minorEastAsia"/>
          <w:color w:val="000000" w:themeColor="text1"/>
          <w:sz w:val="24"/>
        </w:rPr>
        <w:t>天</w:t>
      </w:r>
      <w:r w:rsidRPr="00453908">
        <w:rPr>
          <w:rFonts w:eastAsiaTheme="minorEastAsia"/>
          <w:color w:val="000000" w:themeColor="text1"/>
          <w:sz w:val="24"/>
        </w:rPr>
        <w:t>”</w:t>
      </w: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w:t>
            </w:r>
            <w:r w:rsidRPr="0061644B">
              <w:rPr>
                <w:sz w:val="24"/>
              </w:rPr>
              <w:lastRenderedPageBreak/>
              <w:t>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lastRenderedPageBreak/>
              <w:t>各期限负债占基金资</w:t>
            </w:r>
            <w:r w:rsidRPr="0061644B">
              <w:rPr>
                <w:sz w:val="24"/>
              </w:rPr>
              <w:lastRenderedPageBreak/>
              <w:t>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lastRenderedPageBreak/>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12.01</w:t>
            </w:r>
          </w:p>
        </w:tc>
        <w:tc>
          <w:tcPr>
            <w:tcW w:w="2550" w:type="dxa"/>
            <w:vAlign w:val="center"/>
          </w:tcPr>
          <w:p w:rsidR="004339AD" w:rsidRPr="0061644B" w:rsidRDefault="004339AD" w:rsidP="00792A69">
            <w:pPr>
              <w:spacing w:before="29" w:line="288" w:lineRule="auto"/>
              <w:jc w:val="right"/>
              <w:rPr>
                <w:sz w:val="24"/>
              </w:rPr>
            </w:pPr>
            <w:r w:rsidRPr="0061644B">
              <w:rPr>
                <w:sz w:val="24"/>
              </w:rPr>
              <w:t>18.22</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8.50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35.43</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55.82</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111.77</w:t>
            </w:r>
          </w:p>
        </w:tc>
        <w:tc>
          <w:tcPr>
            <w:tcW w:w="2550" w:type="dxa"/>
            <w:vAlign w:val="center"/>
          </w:tcPr>
          <w:p w:rsidR="001E0231" w:rsidRPr="0061644B" w:rsidRDefault="001E0231" w:rsidP="00792A69">
            <w:pPr>
              <w:spacing w:before="29" w:line="288" w:lineRule="auto"/>
              <w:jc w:val="right"/>
              <w:rPr>
                <w:sz w:val="24"/>
              </w:rPr>
            </w:pPr>
            <w:r w:rsidRPr="0061644B">
              <w:rPr>
                <w:sz w:val="24"/>
              </w:rPr>
              <w:t>18.22</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6"/>
      <w:bookmarkStart w:id="26"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5"/>
      <w:bookmarkEnd w:id="26"/>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w:t>
            </w:r>
            <w:proofErr w:type="gramStart"/>
            <w:r w:rsidRPr="0061644B">
              <w:rPr>
                <w:sz w:val="24"/>
              </w:rPr>
              <w:t>余成本</w:t>
            </w:r>
            <w:proofErr w:type="gramEnd"/>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169,606,288.59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4.98</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78,997,258.38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2.32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78,997,258.38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2.32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proofErr w:type="gramStart"/>
            <w:r w:rsidR="00C57CC1" w:rsidRPr="0061644B">
              <w:rPr>
                <w:sz w:val="24"/>
              </w:rPr>
              <w:t>券</w:t>
            </w:r>
            <w:proofErr w:type="gramEnd"/>
          </w:p>
        </w:tc>
        <w:tc>
          <w:tcPr>
            <w:tcW w:w="2653" w:type="dxa"/>
            <w:vAlign w:val="center"/>
          </w:tcPr>
          <w:p w:rsidR="00260867" w:rsidRPr="0061644B" w:rsidRDefault="00260867" w:rsidP="00792A69">
            <w:pPr>
              <w:spacing w:before="29" w:line="288" w:lineRule="auto"/>
              <w:ind w:left="17"/>
              <w:jc w:val="right"/>
              <w:rPr>
                <w:sz w:val="24"/>
              </w:rPr>
            </w:pPr>
            <w:r w:rsidRPr="0061644B">
              <w:rPr>
                <w:sz w:val="24"/>
              </w:rPr>
              <w:t>760,330,417.45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22.34</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1,799,237,710.89</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52.86</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lastRenderedPageBreak/>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2,808,171,675.31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82.51</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7"/>
      <w:r w:rsidRPr="0061644B">
        <w:rPr>
          <w:rFonts w:ascii="Times New Roman" w:hAnsi="Times New Roman" w:cs="Times New Roman"/>
          <w:kern w:val="0"/>
          <w:szCs w:val="24"/>
        </w:rPr>
        <w:t>7.6</w:t>
      </w:r>
      <w:bookmarkEnd w:id="27"/>
      <w:r w:rsidR="003A0E36" w:rsidRPr="0061644B">
        <w:rPr>
          <w:rFonts w:ascii="Times New Roman" w:hAnsi="Times New Roman" w:cs="Times New Roman"/>
          <w:kern w:val="0"/>
          <w:szCs w:val="24"/>
        </w:rPr>
        <w:t>期末</w:t>
      </w:r>
      <w:proofErr w:type="gramStart"/>
      <w:r w:rsidR="003A0E36" w:rsidRPr="0061644B">
        <w:rPr>
          <w:rFonts w:ascii="Times New Roman" w:hAnsi="Times New Roman" w:cs="Times New Roman"/>
          <w:kern w:val="0"/>
          <w:szCs w:val="24"/>
        </w:rPr>
        <w:t>按摊余成本</w:t>
      </w:r>
      <w:proofErr w:type="gramEnd"/>
      <w:r w:rsidR="003A0E36" w:rsidRPr="0061644B">
        <w:rPr>
          <w:rFonts w:ascii="Times New Roman" w:hAnsi="Times New Roman" w:cs="Times New Roman"/>
          <w:kern w:val="0"/>
          <w:szCs w:val="24"/>
        </w:rPr>
        <w:t>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w:t>
            </w:r>
            <w:proofErr w:type="gramStart"/>
            <w:r w:rsidRPr="0061644B">
              <w:rPr>
                <w:sz w:val="24"/>
              </w:rPr>
              <w:t>余成本</w:t>
            </w:r>
            <w:proofErr w:type="gramEnd"/>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A242DE">
        <w:tc>
          <w:tcPr>
            <w:tcW w:w="778" w:type="dxa"/>
            <w:vAlign w:val="center"/>
          </w:tcPr>
          <w:p w:rsidR="00A242DE" w:rsidRDefault="00292641">
            <w:pPr>
              <w:jc w:val="center"/>
            </w:pPr>
            <w:r>
              <w:rPr>
                <w:sz w:val="24"/>
              </w:rPr>
              <w:t>1</w:t>
            </w:r>
          </w:p>
        </w:tc>
        <w:tc>
          <w:tcPr>
            <w:tcW w:w="1348" w:type="dxa"/>
            <w:vAlign w:val="center"/>
          </w:tcPr>
          <w:p w:rsidR="00A242DE" w:rsidRDefault="00292641">
            <w:pPr>
              <w:jc w:val="center"/>
            </w:pPr>
            <w:r>
              <w:rPr>
                <w:sz w:val="24"/>
              </w:rPr>
              <w:t>111894007</w:t>
            </w:r>
          </w:p>
        </w:tc>
        <w:tc>
          <w:tcPr>
            <w:tcW w:w="1787" w:type="dxa"/>
            <w:vAlign w:val="center"/>
          </w:tcPr>
          <w:p w:rsidR="00A242DE" w:rsidRDefault="00292641">
            <w:pPr>
              <w:jc w:val="center"/>
            </w:pPr>
            <w:r>
              <w:rPr>
                <w:sz w:val="24"/>
              </w:rPr>
              <w:t>18</w:t>
            </w:r>
            <w:r>
              <w:rPr>
                <w:sz w:val="24"/>
              </w:rPr>
              <w:t>哈尔滨银行</w:t>
            </w:r>
            <w:r>
              <w:rPr>
                <w:sz w:val="24"/>
              </w:rPr>
              <w:t>CD072</w:t>
            </w:r>
          </w:p>
        </w:tc>
        <w:tc>
          <w:tcPr>
            <w:tcW w:w="1756" w:type="dxa"/>
            <w:vAlign w:val="center"/>
          </w:tcPr>
          <w:p w:rsidR="00A242DE" w:rsidRDefault="00292641">
            <w:pPr>
              <w:jc w:val="center"/>
            </w:pPr>
            <w:r>
              <w:rPr>
                <w:sz w:val="24"/>
              </w:rPr>
              <w:t>1,500,000</w:t>
            </w:r>
          </w:p>
        </w:tc>
        <w:tc>
          <w:tcPr>
            <w:tcW w:w="2008" w:type="dxa"/>
            <w:vAlign w:val="center"/>
          </w:tcPr>
          <w:p w:rsidR="00A242DE" w:rsidRDefault="00292641">
            <w:pPr>
              <w:jc w:val="center"/>
            </w:pPr>
            <w:r>
              <w:rPr>
                <w:sz w:val="24"/>
              </w:rPr>
              <w:t>148,385,279.01</w:t>
            </w:r>
          </w:p>
        </w:tc>
        <w:tc>
          <w:tcPr>
            <w:tcW w:w="1542" w:type="dxa"/>
            <w:vAlign w:val="center"/>
          </w:tcPr>
          <w:p w:rsidR="00A242DE" w:rsidRDefault="00292641">
            <w:pPr>
              <w:jc w:val="center"/>
            </w:pPr>
            <w:r>
              <w:rPr>
                <w:sz w:val="24"/>
              </w:rPr>
              <w:t>4.36</w:t>
            </w:r>
          </w:p>
        </w:tc>
      </w:tr>
      <w:tr w:rsidR="00A242DE">
        <w:tc>
          <w:tcPr>
            <w:tcW w:w="778" w:type="dxa"/>
            <w:vAlign w:val="center"/>
          </w:tcPr>
          <w:p w:rsidR="00A242DE" w:rsidRDefault="00292641">
            <w:pPr>
              <w:jc w:val="center"/>
            </w:pPr>
            <w:r>
              <w:rPr>
                <w:sz w:val="24"/>
              </w:rPr>
              <w:t>2</w:t>
            </w:r>
          </w:p>
        </w:tc>
        <w:tc>
          <w:tcPr>
            <w:tcW w:w="1348" w:type="dxa"/>
            <w:vAlign w:val="center"/>
          </w:tcPr>
          <w:p w:rsidR="00A242DE" w:rsidRDefault="00292641">
            <w:pPr>
              <w:jc w:val="center"/>
            </w:pPr>
            <w:r>
              <w:rPr>
                <w:sz w:val="24"/>
              </w:rPr>
              <w:t>111899482</w:t>
            </w:r>
          </w:p>
        </w:tc>
        <w:tc>
          <w:tcPr>
            <w:tcW w:w="1787" w:type="dxa"/>
            <w:vAlign w:val="center"/>
          </w:tcPr>
          <w:p w:rsidR="00A242DE" w:rsidRDefault="00292641">
            <w:pPr>
              <w:jc w:val="center"/>
            </w:pPr>
            <w:r>
              <w:rPr>
                <w:sz w:val="24"/>
              </w:rPr>
              <w:t>18</w:t>
            </w:r>
            <w:r>
              <w:rPr>
                <w:sz w:val="24"/>
              </w:rPr>
              <w:t>东莞农村商业银行</w:t>
            </w:r>
            <w:r>
              <w:rPr>
                <w:sz w:val="24"/>
              </w:rPr>
              <w:t>CD061</w:t>
            </w:r>
          </w:p>
        </w:tc>
        <w:tc>
          <w:tcPr>
            <w:tcW w:w="1756" w:type="dxa"/>
            <w:vAlign w:val="center"/>
          </w:tcPr>
          <w:p w:rsidR="00A242DE" w:rsidRDefault="00292641">
            <w:pPr>
              <w:jc w:val="center"/>
            </w:pPr>
            <w:r>
              <w:rPr>
                <w:sz w:val="24"/>
              </w:rPr>
              <w:t>1,500,000</w:t>
            </w:r>
          </w:p>
        </w:tc>
        <w:tc>
          <w:tcPr>
            <w:tcW w:w="2008" w:type="dxa"/>
            <w:vAlign w:val="center"/>
          </w:tcPr>
          <w:p w:rsidR="00A242DE" w:rsidRDefault="00292641">
            <w:pPr>
              <w:jc w:val="center"/>
            </w:pPr>
            <w:r>
              <w:rPr>
                <w:sz w:val="24"/>
              </w:rPr>
              <w:t>146,871,479.13</w:t>
            </w:r>
          </w:p>
        </w:tc>
        <w:tc>
          <w:tcPr>
            <w:tcW w:w="1542" w:type="dxa"/>
            <w:vAlign w:val="center"/>
          </w:tcPr>
          <w:p w:rsidR="00A242DE" w:rsidRDefault="00292641">
            <w:pPr>
              <w:jc w:val="center"/>
            </w:pPr>
            <w:r>
              <w:rPr>
                <w:sz w:val="24"/>
              </w:rPr>
              <w:t>4.32</w:t>
            </w:r>
          </w:p>
        </w:tc>
      </w:tr>
      <w:tr w:rsidR="00A242DE">
        <w:tc>
          <w:tcPr>
            <w:tcW w:w="778" w:type="dxa"/>
            <w:vAlign w:val="center"/>
          </w:tcPr>
          <w:p w:rsidR="00A242DE" w:rsidRDefault="00292641">
            <w:pPr>
              <w:jc w:val="center"/>
            </w:pPr>
            <w:r>
              <w:rPr>
                <w:sz w:val="24"/>
              </w:rPr>
              <w:t>3</w:t>
            </w:r>
          </w:p>
        </w:tc>
        <w:tc>
          <w:tcPr>
            <w:tcW w:w="1348" w:type="dxa"/>
            <w:vAlign w:val="center"/>
          </w:tcPr>
          <w:p w:rsidR="00A242DE" w:rsidRDefault="00292641">
            <w:pPr>
              <w:jc w:val="center"/>
            </w:pPr>
            <w:r>
              <w:rPr>
                <w:sz w:val="24"/>
              </w:rPr>
              <w:t>011800526</w:t>
            </w:r>
          </w:p>
        </w:tc>
        <w:tc>
          <w:tcPr>
            <w:tcW w:w="1787" w:type="dxa"/>
            <w:vAlign w:val="center"/>
          </w:tcPr>
          <w:p w:rsidR="00A242DE" w:rsidRDefault="00292641">
            <w:pPr>
              <w:jc w:val="center"/>
            </w:pPr>
            <w:r>
              <w:rPr>
                <w:sz w:val="24"/>
              </w:rPr>
              <w:t>18</w:t>
            </w:r>
            <w:r>
              <w:rPr>
                <w:sz w:val="24"/>
              </w:rPr>
              <w:t>华能</w:t>
            </w:r>
            <w:r>
              <w:rPr>
                <w:sz w:val="24"/>
              </w:rPr>
              <w:t>SCP004</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100,122,057.00</w:t>
            </w:r>
          </w:p>
        </w:tc>
        <w:tc>
          <w:tcPr>
            <w:tcW w:w="1542" w:type="dxa"/>
            <w:vAlign w:val="center"/>
          </w:tcPr>
          <w:p w:rsidR="00A242DE" w:rsidRDefault="00292641">
            <w:pPr>
              <w:jc w:val="center"/>
            </w:pPr>
            <w:r>
              <w:rPr>
                <w:sz w:val="24"/>
              </w:rPr>
              <w:t>2.94</w:t>
            </w:r>
          </w:p>
        </w:tc>
      </w:tr>
      <w:tr w:rsidR="00A242DE">
        <w:tc>
          <w:tcPr>
            <w:tcW w:w="778" w:type="dxa"/>
            <w:vAlign w:val="center"/>
          </w:tcPr>
          <w:p w:rsidR="00A242DE" w:rsidRDefault="00292641">
            <w:pPr>
              <w:jc w:val="center"/>
            </w:pPr>
            <w:r>
              <w:rPr>
                <w:sz w:val="24"/>
              </w:rPr>
              <w:t>4</w:t>
            </w:r>
          </w:p>
        </w:tc>
        <w:tc>
          <w:tcPr>
            <w:tcW w:w="1348" w:type="dxa"/>
            <w:vAlign w:val="center"/>
          </w:tcPr>
          <w:p w:rsidR="00A242DE" w:rsidRDefault="00292641">
            <w:pPr>
              <w:jc w:val="center"/>
            </w:pPr>
            <w:r>
              <w:rPr>
                <w:sz w:val="24"/>
              </w:rPr>
              <w:t>011800529</w:t>
            </w:r>
          </w:p>
        </w:tc>
        <w:tc>
          <w:tcPr>
            <w:tcW w:w="1787" w:type="dxa"/>
            <w:vAlign w:val="center"/>
          </w:tcPr>
          <w:p w:rsidR="00A242DE" w:rsidRDefault="00292641">
            <w:pPr>
              <w:jc w:val="center"/>
            </w:pPr>
            <w:r>
              <w:rPr>
                <w:sz w:val="24"/>
              </w:rPr>
              <w:t>18</w:t>
            </w:r>
            <w:r>
              <w:rPr>
                <w:sz w:val="24"/>
              </w:rPr>
              <w:t>国新控股</w:t>
            </w:r>
            <w:r>
              <w:rPr>
                <w:sz w:val="24"/>
              </w:rPr>
              <w:t>SCP003</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100,003,616.01</w:t>
            </w:r>
          </w:p>
        </w:tc>
        <w:tc>
          <w:tcPr>
            <w:tcW w:w="1542" w:type="dxa"/>
            <w:vAlign w:val="center"/>
          </w:tcPr>
          <w:p w:rsidR="00A242DE" w:rsidRDefault="00292641">
            <w:pPr>
              <w:jc w:val="center"/>
            </w:pPr>
            <w:r>
              <w:rPr>
                <w:sz w:val="24"/>
              </w:rPr>
              <w:t>2.94</w:t>
            </w:r>
          </w:p>
        </w:tc>
      </w:tr>
      <w:tr w:rsidR="00A242DE">
        <w:tc>
          <w:tcPr>
            <w:tcW w:w="778" w:type="dxa"/>
            <w:vAlign w:val="center"/>
          </w:tcPr>
          <w:p w:rsidR="00A242DE" w:rsidRDefault="00292641">
            <w:pPr>
              <w:jc w:val="center"/>
            </w:pPr>
            <w:r>
              <w:rPr>
                <w:sz w:val="24"/>
              </w:rPr>
              <w:t>5</w:t>
            </w:r>
          </w:p>
        </w:tc>
        <w:tc>
          <w:tcPr>
            <w:tcW w:w="1348" w:type="dxa"/>
            <w:vAlign w:val="center"/>
          </w:tcPr>
          <w:p w:rsidR="00A242DE" w:rsidRDefault="00292641">
            <w:pPr>
              <w:jc w:val="center"/>
            </w:pPr>
            <w:r>
              <w:rPr>
                <w:sz w:val="24"/>
              </w:rPr>
              <w:t>011800639</w:t>
            </w:r>
          </w:p>
        </w:tc>
        <w:tc>
          <w:tcPr>
            <w:tcW w:w="1787" w:type="dxa"/>
            <w:vAlign w:val="center"/>
          </w:tcPr>
          <w:p w:rsidR="00A242DE" w:rsidRDefault="00292641">
            <w:pPr>
              <w:jc w:val="center"/>
            </w:pPr>
            <w:r>
              <w:rPr>
                <w:sz w:val="24"/>
              </w:rPr>
              <w:t>18</w:t>
            </w:r>
            <w:proofErr w:type="gramStart"/>
            <w:r>
              <w:rPr>
                <w:sz w:val="24"/>
              </w:rPr>
              <w:t>中电投</w:t>
            </w:r>
            <w:proofErr w:type="gramEnd"/>
            <w:r>
              <w:rPr>
                <w:sz w:val="24"/>
              </w:rPr>
              <w:t>SCP008</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100,000,075.22</w:t>
            </w:r>
          </w:p>
        </w:tc>
        <w:tc>
          <w:tcPr>
            <w:tcW w:w="1542" w:type="dxa"/>
            <w:vAlign w:val="center"/>
          </w:tcPr>
          <w:p w:rsidR="00A242DE" w:rsidRDefault="00292641">
            <w:pPr>
              <w:jc w:val="center"/>
            </w:pPr>
            <w:r>
              <w:rPr>
                <w:sz w:val="24"/>
              </w:rPr>
              <w:t>2.94</w:t>
            </w:r>
          </w:p>
        </w:tc>
      </w:tr>
      <w:tr w:rsidR="00A242DE">
        <w:tc>
          <w:tcPr>
            <w:tcW w:w="778" w:type="dxa"/>
            <w:vAlign w:val="center"/>
          </w:tcPr>
          <w:p w:rsidR="00A242DE" w:rsidRDefault="00292641">
            <w:pPr>
              <w:jc w:val="center"/>
            </w:pPr>
            <w:r>
              <w:rPr>
                <w:sz w:val="24"/>
              </w:rPr>
              <w:t>6</w:t>
            </w:r>
          </w:p>
        </w:tc>
        <w:tc>
          <w:tcPr>
            <w:tcW w:w="1348" w:type="dxa"/>
            <w:vAlign w:val="center"/>
          </w:tcPr>
          <w:p w:rsidR="00A242DE" w:rsidRDefault="00292641">
            <w:pPr>
              <w:jc w:val="center"/>
            </w:pPr>
            <w:r>
              <w:rPr>
                <w:sz w:val="24"/>
              </w:rPr>
              <w:t>189919</w:t>
            </w:r>
          </w:p>
        </w:tc>
        <w:tc>
          <w:tcPr>
            <w:tcW w:w="1787" w:type="dxa"/>
            <w:vAlign w:val="center"/>
          </w:tcPr>
          <w:p w:rsidR="00A242DE" w:rsidRDefault="00292641">
            <w:pPr>
              <w:jc w:val="center"/>
            </w:pPr>
            <w:r>
              <w:rPr>
                <w:sz w:val="24"/>
              </w:rPr>
              <w:t>18</w:t>
            </w:r>
            <w:r>
              <w:rPr>
                <w:sz w:val="24"/>
              </w:rPr>
              <w:t>贴现国债</w:t>
            </w:r>
            <w:r>
              <w:rPr>
                <w:sz w:val="24"/>
              </w:rPr>
              <w:t>19</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99,772,488.24</w:t>
            </w:r>
          </w:p>
        </w:tc>
        <w:tc>
          <w:tcPr>
            <w:tcW w:w="1542" w:type="dxa"/>
            <w:vAlign w:val="center"/>
          </w:tcPr>
          <w:p w:rsidR="00A242DE" w:rsidRDefault="00292641">
            <w:pPr>
              <w:jc w:val="center"/>
            </w:pPr>
            <w:r>
              <w:rPr>
                <w:sz w:val="24"/>
              </w:rPr>
              <w:t>2.93</w:t>
            </w:r>
          </w:p>
        </w:tc>
      </w:tr>
      <w:tr w:rsidR="00A242DE">
        <w:tc>
          <w:tcPr>
            <w:tcW w:w="778" w:type="dxa"/>
            <w:vAlign w:val="center"/>
          </w:tcPr>
          <w:p w:rsidR="00A242DE" w:rsidRDefault="00292641">
            <w:pPr>
              <w:jc w:val="center"/>
            </w:pPr>
            <w:r>
              <w:rPr>
                <w:sz w:val="24"/>
              </w:rPr>
              <w:t>7</w:t>
            </w:r>
          </w:p>
        </w:tc>
        <w:tc>
          <w:tcPr>
            <w:tcW w:w="1348" w:type="dxa"/>
            <w:vAlign w:val="center"/>
          </w:tcPr>
          <w:p w:rsidR="00A242DE" w:rsidRDefault="00292641">
            <w:pPr>
              <w:jc w:val="center"/>
            </w:pPr>
            <w:r>
              <w:rPr>
                <w:sz w:val="24"/>
              </w:rPr>
              <w:t>111815053</w:t>
            </w:r>
          </w:p>
        </w:tc>
        <w:tc>
          <w:tcPr>
            <w:tcW w:w="1787" w:type="dxa"/>
            <w:vAlign w:val="center"/>
          </w:tcPr>
          <w:p w:rsidR="00A242DE" w:rsidRDefault="00292641">
            <w:pPr>
              <w:jc w:val="center"/>
            </w:pPr>
            <w:r>
              <w:rPr>
                <w:sz w:val="24"/>
              </w:rPr>
              <w:t>18</w:t>
            </w:r>
            <w:r>
              <w:rPr>
                <w:sz w:val="24"/>
              </w:rPr>
              <w:t>民生银行</w:t>
            </w:r>
            <w:r>
              <w:rPr>
                <w:sz w:val="24"/>
              </w:rPr>
              <w:t>CD053</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99,520,286.76</w:t>
            </w:r>
          </w:p>
        </w:tc>
        <w:tc>
          <w:tcPr>
            <w:tcW w:w="1542" w:type="dxa"/>
            <w:vAlign w:val="center"/>
          </w:tcPr>
          <w:p w:rsidR="00A242DE" w:rsidRDefault="00292641">
            <w:pPr>
              <w:jc w:val="center"/>
            </w:pPr>
            <w:r>
              <w:rPr>
                <w:sz w:val="24"/>
              </w:rPr>
              <w:t>2.92</w:t>
            </w:r>
          </w:p>
        </w:tc>
      </w:tr>
      <w:tr w:rsidR="00A242DE">
        <w:tc>
          <w:tcPr>
            <w:tcW w:w="778" w:type="dxa"/>
            <w:vAlign w:val="center"/>
          </w:tcPr>
          <w:p w:rsidR="00A242DE" w:rsidRDefault="00292641">
            <w:pPr>
              <w:jc w:val="center"/>
            </w:pPr>
            <w:r>
              <w:rPr>
                <w:sz w:val="24"/>
              </w:rPr>
              <w:t>8</w:t>
            </w:r>
          </w:p>
        </w:tc>
        <w:tc>
          <w:tcPr>
            <w:tcW w:w="1348" w:type="dxa"/>
            <w:vAlign w:val="center"/>
          </w:tcPr>
          <w:p w:rsidR="00A242DE" w:rsidRDefault="00292641">
            <w:pPr>
              <w:jc w:val="center"/>
            </w:pPr>
            <w:r>
              <w:rPr>
                <w:sz w:val="24"/>
              </w:rPr>
              <w:t>111894047</w:t>
            </w:r>
          </w:p>
        </w:tc>
        <w:tc>
          <w:tcPr>
            <w:tcW w:w="1787" w:type="dxa"/>
            <w:vAlign w:val="center"/>
          </w:tcPr>
          <w:p w:rsidR="00A242DE" w:rsidRDefault="00292641">
            <w:pPr>
              <w:jc w:val="center"/>
            </w:pPr>
            <w:r>
              <w:rPr>
                <w:sz w:val="24"/>
              </w:rPr>
              <w:t>18</w:t>
            </w:r>
            <w:r>
              <w:rPr>
                <w:sz w:val="24"/>
              </w:rPr>
              <w:t>盛京银行</w:t>
            </w:r>
            <w:r>
              <w:rPr>
                <w:sz w:val="24"/>
              </w:rPr>
              <w:t>CD112</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98,923,519.36</w:t>
            </w:r>
          </w:p>
        </w:tc>
        <w:tc>
          <w:tcPr>
            <w:tcW w:w="1542" w:type="dxa"/>
            <w:vAlign w:val="center"/>
          </w:tcPr>
          <w:p w:rsidR="00A242DE" w:rsidRDefault="00292641">
            <w:pPr>
              <w:jc w:val="center"/>
            </w:pPr>
            <w:r>
              <w:rPr>
                <w:sz w:val="24"/>
              </w:rPr>
              <w:t>2.91</w:t>
            </w:r>
          </w:p>
        </w:tc>
      </w:tr>
      <w:tr w:rsidR="00A242DE">
        <w:tc>
          <w:tcPr>
            <w:tcW w:w="778" w:type="dxa"/>
            <w:vAlign w:val="center"/>
          </w:tcPr>
          <w:p w:rsidR="00A242DE" w:rsidRDefault="00292641">
            <w:pPr>
              <w:jc w:val="center"/>
            </w:pPr>
            <w:r>
              <w:rPr>
                <w:sz w:val="24"/>
              </w:rPr>
              <w:t>9</w:t>
            </w:r>
          </w:p>
        </w:tc>
        <w:tc>
          <w:tcPr>
            <w:tcW w:w="1348" w:type="dxa"/>
            <w:vAlign w:val="center"/>
          </w:tcPr>
          <w:p w:rsidR="00A242DE" w:rsidRDefault="00292641">
            <w:pPr>
              <w:jc w:val="center"/>
            </w:pPr>
            <w:r>
              <w:rPr>
                <w:sz w:val="24"/>
              </w:rPr>
              <w:t>111898001</w:t>
            </w:r>
          </w:p>
        </w:tc>
        <w:tc>
          <w:tcPr>
            <w:tcW w:w="1787" w:type="dxa"/>
            <w:vAlign w:val="center"/>
          </w:tcPr>
          <w:p w:rsidR="00A242DE" w:rsidRDefault="00292641">
            <w:pPr>
              <w:jc w:val="center"/>
            </w:pPr>
            <w:r>
              <w:rPr>
                <w:sz w:val="24"/>
              </w:rPr>
              <w:t>18</w:t>
            </w:r>
            <w:r>
              <w:rPr>
                <w:sz w:val="24"/>
              </w:rPr>
              <w:t>成都农商银行</w:t>
            </w:r>
            <w:r>
              <w:rPr>
                <w:sz w:val="24"/>
              </w:rPr>
              <w:t>CD003</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98,168,217.12</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111819224</w:t>
            </w:r>
          </w:p>
        </w:tc>
        <w:tc>
          <w:tcPr>
            <w:tcW w:w="1787" w:type="dxa"/>
            <w:vAlign w:val="center"/>
          </w:tcPr>
          <w:p w:rsidR="00A242DE" w:rsidRDefault="00292641">
            <w:pPr>
              <w:jc w:val="center"/>
            </w:pPr>
            <w:r>
              <w:rPr>
                <w:sz w:val="24"/>
              </w:rPr>
              <w:t>18</w:t>
            </w:r>
            <w:r>
              <w:rPr>
                <w:sz w:val="24"/>
              </w:rPr>
              <w:t>恒丰银行</w:t>
            </w:r>
            <w:r>
              <w:rPr>
                <w:sz w:val="24"/>
              </w:rPr>
              <w:t>CD224</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98,156,118.52</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111898148</w:t>
            </w:r>
          </w:p>
        </w:tc>
        <w:tc>
          <w:tcPr>
            <w:tcW w:w="1787" w:type="dxa"/>
            <w:vAlign w:val="center"/>
          </w:tcPr>
          <w:p w:rsidR="00A242DE" w:rsidRDefault="00292641">
            <w:pPr>
              <w:jc w:val="center"/>
            </w:pPr>
            <w:r>
              <w:rPr>
                <w:sz w:val="24"/>
              </w:rPr>
              <w:t>18</w:t>
            </w:r>
            <w:r>
              <w:rPr>
                <w:sz w:val="24"/>
              </w:rPr>
              <w:t>厦门国际银行</w:t>
            </w:r>
            <w:r>
              <w:rPr>
                <w:sz w:val="24"/>
              </w:rPr>
              <w:t>CD109</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98,156,118.52</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111821121</w:t>
            </w:r>
          </w:p>
        </w:tc>
        <w:tc>
          <w:tcPr>
            <w:tcW w:w="1787" w:type="dxa"/>
            <w:vAlign w:val="center"/>
          </w:tcPr>
          <w:p w:rsidR="00A242DE" w:rsidRDefault="00292641">
            <w:pPr>
              <w:jc w:val="center"/>
            </w:pPr>
            <w:r>
              <w:rPr>
                <w:sz w:val="24"/>
              </w:rPr>
              <w:t>18</w:t>
            </w:r>
            <w:r>
              <w:rPr>
                <w:sz w:val="24"/>
              </w:rPr>
              <w:t>渤海银行</w:t>
            </w:r>
            <w:r>
              <w:rPr>
                <w:sz w:val="24"/>
              </w:rPr>
              <w:t>CD121</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98,058,198.34</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111819239</w:t>
            </w:r>
          </w:p>
        </w:tc>
        <w:tc>
          <w:tcPr>
            <w:tcW w:w="1787" w:type="dxa"/>
            <w:vAlign w:val="center"/>
          </w:tcPr>
          <w:p w:rsidR="00A242DE" w:rsidRDefault="00292641">
            <w:pPr>
              <w:jc w:val="center"/>
            </w:pPr>
            <w:r>
              <w:rPr>
                <w:sz w:val="24"/>
              </w:rPr>
              <w:t>18</w:t>
            </w:r>
            <w:r>
              <w:rPr>
                <w:sz w:val="24"/>
              </w:rPr>
              <w:t>恒丰银行</w:t>
            </w:r>
            <w:r>
              <w:rPr>
                <w:sz w:val="24"/>
              </w:rPr>
              <w:t>CD239</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98,038,425.66</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111898984</w:t>
            </w:r>
          </w:p>
        </w:tc>
        <w:tc>
          <w:tcPr>
            <w:tcW w:w="1787" w:type="dxa"/>
            <w:vAlign w:val="center"/>
          </w:tcPr>
          <w:p w:rsidR="00A242DE" w:rsidRDefault="00292641">
            <w:pPr>
              <w:jc w:val="center"/>
            </w:pPr>
            <w:r>
              <w:rPr>
                <w:sz w:val="24"/>
              </w:rPr>
              <w:t>18</w:t>
            </w:r>
            <w:proofErr w:type="gramStart"/>
            <w:r>
              <w:rPr>
                <w:sz w:val="24"/>
              </w:rPr>
              <w:t>华融湘江</w:t>
            </w:r>
            <w:proofErr w:type="gramEnd"/>
            <w:r>
              <w:rPr>
                <w:sz w:val="24"/>
              </w:rPr>
              <w:t>银行</w:t>
            </w:r>
            <w:r>
              <w:rPr>
                <w:sz w:val="24"/>
              </w:rPr>
              <w:t>CD102</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98,010,918.05</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111899275</w:t>
            </w:r>
          </w:p>
        </w:tc>
        <w:tc>
          <w:tcPr>
            <w:tcW w:w="1787" w:type="dxa"/>
            <w:vAlign w:val="center"/>
          </w:tcPr>
          <w:p w:rsidR="00A242DE" w:rsidRDefault="00292641">
            <w:pPr>
              <w:jc w:val="center"/>
            </w:pPr>
            <w:r>
              <w:rPr>
                <w:sz w:val="24"/>
              </w:rPr>
              <w:t>18</w:t>
            </w:r>
            <w:r>
              <w:rPr>
                <w:sz w:val="24"/>
              </w:rPr>
              <w:t>广州农村商业银行</w:t>
            </w:r>
            <w:r>
              <w:rPr>
                <w:sz w:val="24"/>
              </w:rPr>
              <w:t>CD042</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97,996,498.30</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111819246</w:t>
            </w:r>
          </w:p>
        </w:tc>
        <w:tc>
          <w:tcPr>
            <w:tcW w:w="1787" w:type="dxa"/>
            <w:vAlign w:val="center"/>
          </w:tcPr>
          <w:p w:rsidR="00A242DE" w:rsidRDefault="00292641">
            <w:pPr>
              <w:jc w:val="center"/>
            </w:pPr>
            <w:r>
              <w:rPr>
                <w:sz w:val="24"/>
              </w:rPr>
              <w:t>18</w:t>
            </w:r>
            <w:r>
              <w:rPr>
                <w:sz w:val="24"/>
              </w:rPr>
              <w:t>恒丰银行</w:t>
            </w:r>
            <w:r>
              <w:rPr>
                <w:sz w:val="24"/>
              </w:rPr>
              <w:t>CD246</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97,989,577.25</w:t>
            </w:r>
          </w:p>
        </w:tc>
        <w:tc>
          <w:tcPr>
            <w:tcW w:w="1542" w:type="dxa"/>
            <w:vAlign w:val="center"/>
          </w:tcPr>
          <w:p w:rsidR="00A242DE" w:rsidRDefault="00292641">
            <w:pPr>
              <w:jc w:val="center"/>
            </w:pPr>
            <w:r>
              <w:rPr>
                <w:sz w:val="24"/>
              </w:rPr>
              <w:t>2.88</w:t>
            </w:r>
          </w:p>
        </w:tc>
      </w:tr>
      <w:tr w:rsidR="00A242DE">
        <w:tc>
          <w:tcPr>
            <w:tcW w:w="778" w:type="dxa"/>
            <w:vAlign w:val="center"/>
          </w:tcPr>
          <w:p w:rsidR="00A242DE" w:rsidRDefault="00292641">
            <w:pPr>
              <w:jc w:val="center"/>
            </w:pPr>
            <w:r>
              <w:rPr>
                <w:sz w:val="24"/>
              </w:rPr>
              <w:t>10</w:t>
            </w:r>
          </w:p>
        </w:tc>
        <w:tc>
          <w:tcPr>
            <w:tcW w:w="1348" w:type="dxa"/>
            <w:vAlign w:val="center"/>
          </w:tcPr>
          <w:p w:rsidR="00A242DE" w:rsidRDefault="00292641">
            <w:pPr>
              <w:jc w:val="center"/>
            </w:pPr>
            <w:r>
              <w:rPr>
                <w:sz w:val="24"/>
              </w:rPr>
              <w:t>111892536</w:t>
            </w:r>
          </w:p>
        </w:tc>
        <w:tc>
          <w:tcPr>
            <w:tcW w:w="1787" w:type="dxa"/>
            <w:vAlign w:val="center"/>
          </w:tcPr>
          <w:p w:rsidR="00A242DE" w:rsidRDefault="00292641">
            <w:pPr>
              <w:jc w:val="center"/>
            </w:pPr>
            <w:r>
              <w:rPr>
                <w:sz w:val="24"/>
              </w:rPr>
              <w:t>18</w:t>
            </w:r>
            <w:r>
              <w:rPr>
                <w:sz w:val="24"/>
              </w:rPr>
              <w:t>贵阳银行</w:t>
            </w:r>
            <w:r>
              <w:rPr>
                <w:sz w:val="24"/>
              </w:rPr>
              <w:t>CD046</w:t>
            </w:r>
          </w:p>
        </w:tc>
        <w:tc>
          <w:tcPr>
            <w:tcW w:w="1756" w:type="dxa"/>
            <w:vAlign w:val="center"/>
          </w:tcPr>
          <w:p w:rsidR="00A242DE" w:rsidRDefault="00292641">
            <w:pPr>
              <w:jc w:val="center"/>
            </w:pPr>
            <w:r>
              <w:rPr>
                <w:sz w:val="24"/>
              </w:rPr>
              <w:t>1,000,000</w:t>
            </w:r>
          </w:p>
        </w:tc>
        <w:tc>
          <w:tcPr>
            <w:tcW w:w="2008" w:type="dxa"/>
            <w:vAlign w:val="center"/>
          </w:tcPr>
          <w:p w:rsidR="00A242DE" w:rsidRDefault="00292641">
            <w:pPr>
              <w:jc w:val="center"/>
            </w:pPr>
            <w:r>
              <w:rPr>
                <w:sz w:val="24"/>
              </w:rPr>
              <w:t>97,983,528.18</w:t>
            </w:r>
          </w:p>
        </w:tc>
        <w:tc>
          <w:tcPr>
            <w:tcW w:w="1542" w:type="dxa"/>
            <w:vAlign w:val="center"/>
          </w:tcPr>
          <w:p w:rsidR="00A242DE" w:rsidRDefault="00292641">
            <w:pPr>
              <w:jc w:val="center"/>
            </w:pPr>
            <w:r>
              <w:rPr>
                <w:sz w:val="24"/>
              </w:rPr>
              <w:t>2.88</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8"/>
      <w:r w:rsidRPr="0061644B">
        <w:rPr>
          <w:rFonts w:ascii="Times New Roman" w:hAnsi="Times New Roman" w:cs="Times New Roman"/>
          <w:kern w:val="0"/>
          <w:szCs w:val="24"/>
        </w:rPr>
        <w:lastRenderedPageBreak/>
        <w:t>7.7</w:t>
      </w:r>
      <w:bookmarkEnd w:id="28"/>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0.1828%</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0.0130%</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0.0626%</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9"/>
      <w:r w:rsidRPr="0061644B">
        <w:rPr>
          <w:rFonts w:ascii="Times New Roman" w:hAnsi="Times New Roman" w:cs="Times New Roman"/>
          <w:kern w:val="0"/>
          <w:szCs w:val="24"/>
        </w:rPr>
        <w:t>7.8</w:t>
      </w:r>
      <w:bookmarkEnd w:id="29"/>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A242DE" w:rsidRDefault="00292641">
      <w:pPr>
        <w:spacing w:before="29" w:line="288" w:lineRule="auto"/>
        <w:ind w:firstLineChars="200" w:firstLine="480"/>
        <w:rPr>
          <w:color w:val="000000"/>
          <w:sz w:val="24"/>
        </w:rPr>
      </w:pPr>
      <w:r>
        <w:rPr>
          <w:color w:val="000000"/>
          <w:sz w:val="24"/>
        </w:rPr>
        <w:t>本基金采用摊</w:t>
      </w:r>
      <w:proofErr w:type="gramStart"/>
      <w:r>
        <w:rPr>
          <w:color w:val="000000"/>
          <w:sz w:val="24"/>
        </w:rPr>
        <w:t>余成本</w:t>
      </w:r>
      <w:proofErr w:type="gramEnd"/>
      <w:r>
        <w:rPr>
          <w:color w:val="000000"/>
          <w:sz w:val="24"/>
        </w:rPr>
        <w:t>法计价，即计价对象以买入成本列示，按票面利率或商定利率并考虑其买入时的溢价与折价，在其剩余期限内按照实际利率</w:t>
      </w:r>
      <w:proofErr w:type="gramStart"/>
      <w:r>
        <w:rPr>
          <w:color w:val="000000"/>
          <w:sz w:val="24"/>
        </w:rPr>
        <w:t>和摊余成本</w:t>
      </w:r>
      <w:proofErr w:type="gramEnd"/>
      <w:r>
        <w:rPr>
          <w:color w:val="000000"/>
          <w:sz w:val="24"/>
        </w:rPr>
        <w:t>逐日摊销计算损益。</w:t>
      </w:r>
    </w:p>
    <w:p w:rsidR="009654AD" w:rsidRPr="00A368D5" w:rsidRDefault="009654AD" w:rsidP="00A368D5">
      <w:pPr>
        <w:spacing w:before="29" w:line="288" w:lineRule="auto"/>
        <w:ind w:firstLineChars="200" w:firstLine="480"/>
        <w:rPr>
          <w:color w:val="000000"/>
          <w:sz w:val="24"/>
        </w:rPr>
      </w:pP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35,295.77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12,463,476.96</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209,865,710.88</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lastRenderedPageBreak/>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222,364,483.61</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0" w:name="_Toc331410111"/>
      <w:bookmarkStart w:id="31" w:name="_Toc225500050"/>
      <w:r w:rsidRPr="0061644B">
        <w:rPr>
          <w:b/>
          <w:bCs/>
          <w:szCs w:val="24"/>
          <w:lang w:val="en-US"/>
        </w:rPr>
        <w:t>8</w:t>
      </w:r>
      <w:r w:rsidR="006D141C" w:rsidRPr="0061644B">
        <w:rPr>
          <w:b/>
          <w:bCs/>
          <w:szCs w:val="24"/>
          <w:lang w:val="en-US"/>
        </w:rPr>
        <w:t>基金份额持有人信息</w:t>
      </w:r>
      <w:bookmarkEnd w:id="30"/>
      <w:bookmarkEnd w:id="31"/>
    </w:p>
    <w:p w:rsidR="008531F2" w:rsidRPr="0061644B" w:rsidRDefault="008531F2" w:rsidP="00792A69">
      <w:pPr>
        <w:pStyle w:val="20"/>
        <w:spacing w:before="29" w:after="0" w:line="288" w:lineRule="auto"/>
        <w:rPr>
          <w:rFonts w:ascii="Times New Roman" w:hAnsi="Times New Roman" w:cs="Times New Roman"/>
          <w:kern w:val="0"/>
          <w:szCs w:val="24"/>
        </w:rPr>
      </w:pPr>
      <w:bookmarkStart w:id="32" w:name="_Toc331410112"/>
      <w:bookmarkStart w:id="33"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2"/>
      <w:bookmarkEnd w:id="33"/>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0"/>
        <w:gridCol w:w="996"/>
        <w:gridCol w:w="1596"/>
        <w:gridCol w:w="1716"/>
        <w:gridCol w:w="1076"/>
        <w:gridCol w:w="189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w:t>
            </w:r>
            <w:proofErr w:type="gramStart"/>
            <w:r w:rsidRPr="00495552">
              <w:rPr>
                <w:sz w:val="24"/>
              </w:rPr>
              <w:t>人结构</w:t>
            </w:r>
            <w:proofErr w:type="gramEnd"/>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交银现金</w:t>
            </w:r>
            <w:proofErr w:type="gramStart"/>
            <w:r w:rsidRPr="00495552">
              <w:rPr>
                <w:bCs/>
                <w:sz w:val="24"/>
              </w:rPr>
              <w:t>宝货币</w:t>
            </w:r>
            <w:proofErr w:type="gramEnd"/>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244,758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12,239.80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5,949,790.04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0.20%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2,989,839,037.27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99.80%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交银现金</w:t>
            </w:r>
            <w:proofErr w:type="gramStart"/>
            <w:r w:rsidRPr="00495552">
              <w:rPr>
                <w:bCs/>
                <w:sz w:val="24"/>
              </w:rPr>
              <w:t>宝货币</w:t>
            </w:r>
            <w:proofErr w:type="gramEnd"/>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40,780,017.42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407,798,316.87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1,857.37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0.00%</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244,768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13,905.37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413,748,106.91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12.16%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2,989,840,894.64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87.84%</w:t>
            </w:r>
          </w:p>
        </w:tc>
      </w:tr>
    </w:tbl>
    <w:p w:rsidR="008531F2" w:rsidRPr="002E74C6" w:rsidRDefault="008531F2" w:rsidP="00792A69">
      <w:pPr>
        <w:spacing w:before="29" w:line="288" w:lineRule="auto"/>
        <w:rPr>
          <w:sz w:val="24"/>
        </w:rPr>
      </w:pPr>
    </w:p>
    <w:p w:rsidR="004A72D3" w:rsidRDefault="004A72D3" w:rsidP="00792A69">
      <w:pPr>
        <w:tabs>
          <w:tab w:val="left" w:pos="426"/>
        </w:tabs>
        <w:spacing w:before="29" w:line="288" w:lineRule="auto"/>
        <w:jc w:val="left"/>
        <w:rPr>
          <w:kern w:val="0"/>
          <w:sz w:val="24"/>
        </w:rPr>
      </w:pPr>
    </w:p>
    <w:p w:rsidR="0027759A" w:rsidRPr="005C0F38" w:rsidRDefault="0027759A" w:rsidP="0027759A">
      <w:pPr>
        <w:pStyle w:val="20"/>
        <w:spacing w:beforeLines="100" w:before="312" w:after="0"/>
        <w:rPr>
          <w:rFonts w:ascii="Times New Roman" w:eastAsiaTheme="minorEastAsia" w:hAnsi="Times New Roman"/>
          <w:color w:val="000000" w:themeColor="text1"/>
          <w:kern w:val="0"/>
          <w:sz w:val="21"/>
          <w:szCs w:val="21"/>
        </w:rPr>
      </w:pPr>
      <w:bookmarkStart w:id="34" w:name="OLE_LINK147"/>
      <w:bookmarkStart w:id="35" w:name="OLE_LINK148"/>
      <w:bookmarkStart w:id="36" w:name="OLE_LINK149"/>
      <w:bookmarkStart w:id="37" w:name="OLE_LINK160"/>
      <w:r w:rsidRPr="005C0F38">
        <w:rPr>
          <w:rFonts w:ascii="Times New Roman" w:eastAsiaTheme="minorEastAsia" w:hAnsi="Times New Roman"/>
          <w:color w:val="000000" w:themeColor="text1"/>
          <w:kern w:val="0"/>
          <w:sz w:val="21"/>
          <w:szCs w:val="21"/>
        </w:rPr>
        <w:t>8.</w:t>
      </w:r>
      <w:r w:rsidR="00FD69BE">
        <w:rPr>
          <w:rFonts w:ascii="Times New Roman" w:eastAsiaTheme="minorEastAsia" w:hAnsi="Times New Roman" w:hint="eastAsia"/>
          <w:color w:val="000000" w:themeColor="text1"/>
          <w:kern w:val="0"/>
          <w:sz w:val="21"/>
          <w:szCs w:val="21"/>
        </w:rPr>
        <w:t>2</w:t>
      </w:r>
      <w:r w:rsidRPr="005C0F38">
        <w:rPr>
          <w:rFonts w:ascii="Times New Roman" w:eastAsiaTheme="minorEastAsia" w:hAnsi="Times New Roman"/>
          <w:color w:val="000000" w:themeColor="text1"/>
          <w:kern w:val="0"/>
          <w:sz w:val="21"/>
          <w:szCs w:val="21"/>
        </w:rPr>
        <w:t xml:space="preserve">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27759A" w:rsidRPr="005C0F38" w:rsidTr="00B251C4">
        <w:tc>
          <w:tcPr>
            <w:tcW w:w="1560" w:type="dxa"/>
            <w:vAlign w:val="center"/>
          </w:tcPr>
          <w:p w:rsidR="0027759A" w:rsidRPr="005C0F38" w:rsidRDefault="0027759A" w:rsidP="00B251C4">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27759A" w:rsidRPr="005C0F38" w:rsidRDefault="0027759A" w:rsidP="00B251C4">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27759A" w:rsidRPr="005C0F38" w:rsidRDefault="0027759A" w:rsidP="00B251C4">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2693" w:type="dxa"/>
            <w:vAlign w:val="center"/>
          </w:tcPr>
          <w:p w:rsidR="0027759A" w:rsidRPr="005C0F38" w:rsidRDefault="0027759A" w:rsidP="00B251C4">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A242DE">
        <w:tc>
          <w:tcPr>
            <w:tcW w:w="1560" w:type="dxa"/>
            <w:vAlign w:val="center"/>
          </w:tcPr>
          <w:p w:rsidR="00A242DE" w:rsidRDefault="00292641">
            <w:pPr>
              <w:jc w:val="center"/>
            </w:pPr>
            <w:r>
              <w:rPr>
                <w:rFonts w:eastAsiaTheme="minorEastAsia"/>
                <w:color w:val="000000" w:themeColor="text1"/>
                <w:szCs w:val="21"/>
              </w:rPr>
              <w:t>1</w:t>
            </w:r>
          </w:p>
        </w:tc>
        <w:tc>
          <w:tcPr>
            <w:tcW w:w="2835" w:type="dxa"/>
            <w:vAlign w:val="center"/>
          </w:tcPr>
          <w:p w:rsidR="00A242DE" w:rsidRDefault="00292641">
            <w:pPr>
              <w:jc w:val="right"/>
            </w:pPr>
            <w:r>
              <w:rPr>
                <w:rFonts w:eastAsiaTheme="minorEastAsia"/>
                <w:color w:val="000000" w:themeColor="text1"/>
                <w:szCs w:val="21"/>
              </w:rPr>
              <w:t>银行类机构</w:t>
            </w:r>
          </w:p>
        </w:tc>
        <w:tc>
          <w:tcPr>
            <w:tcW w:w="2551" w:type="dxa"/>
            <w:vAlign w:val="center"/>
          </w:tcPr>
          <w:p w:rsidR="00A242DE" w:rsidRDefault="00292641">
            <w:pPr>
              <w:jc w:val="right"/>
            </w:pPr>
            <w:r>
              <w:rPr>
                <w:rFonts w:eastAsiaTheme="minorEastAsia"/>
                <w:color w:val="000000" w:themeColor="text1"/>
                <w:szCs w:val="21"/>
              </w:rPr>
              <w:t>401,186,992.26</w:t>
            </w:r>
          </w:p>
        </w:tc>
        <w:tc>
          <w:tcPr>
            <w:tcW w:w="2693" w:type="dxa"/>
            <w:vAlign w:val="center"/>
          </w:tcPr>
          <w:p w:rsidR="00A242DE" w:rsidRDefault="00292641">
            <w:pPr>
              <w:jc w:val="right"/>
            </w:pPr>
            <w:r>
              <w:rPr>
                <w:rFonts w:eastAsiaTheme="minorEastAsia"/>
                <w:color w:val="000000" w:themeColor="text1"/>
                <w:szCs w:val="21"/>
              </w:rPr>
              <w:t>11.79%</w:t>
            </w:r>
          </w:p>
        </w:tc>
      </w:tr>
      <w:tr w:rsidR="00A242DE">
        <w:tc>
          <w:tcPr>
            <w:tcW w:w="1560" w:type="dxa"/>
            <w:vAlign w:val="center"/>
          </w:tcPr>
          <w:p w:rsidR="00A242DE" w:rsidRDefault="00292641">
            <w:pPr>
              <w:jc w:val="center"/>
            </w:pPr>
            <w:r>
              <w:rPr>
                <w:rFonts w:eastAsiaTheme="minorEastAsia"/>
                <w:color w:val="000000" w:themeColor="text1"/>
                <w:szCs w:val="21"/>
              </w:rPr>
              <w:t>2</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21,058,527.81</w:t>
            </w:r>
          </w:p>
        </w:tc>
        <w:tc>
          <w:tcPr>
            <w:tcW w:w="2693" w:type="dxa"/>
            <w:vAlign w:val="center"/>
          </w:tcPr>
          <w:p w:rsidR="00A242DE" w:rsidRDefault="00292641">
            <w:pPr>
              <w:jc w:val="right"/>
            </w:pPr>
            <w:r>
              <w:rPr>
                <w:rFonts w:eastAsiaTheme="minorEastAsia"/>
                <w:color w:val="000000" w:themeColor="text1"/>
                <w:szCs w:val="21"/>
              </w:rPr>
              <w:t>0.62%</w:t>
            </w:r>
          </w:p>
        </w:tc>
      </w:tr>
      <w:tr w:rsidR="00A242DE">
        <w:tc>
          <w:tcPr>
            <w:tcW w:w="1560" w:type="dxa"/>
            <w:vAlign w:val="center"/>
          </w:tcPr>
          <w:p w:rsidR="00A242DE" w:rsidRDefault="00292641">
            <w:pPr>
              <w:jc w:val="center"/>
            </w:pPr>
            <w:r>
              <w:rPr>
                <w:rFonts w:eastAsiaTheme="minorEastAsia"/>
                <w:color w:val="000000" w:themeColor="text1"/>
                <w:szCs w:val="21"/>
              </w:rPr>
              <w:t>3</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9,549,495.86</w:t>
            </w:r>
          </w:p>
        </w:tc>
        <w:tc>
          <w:tcPr>
            <w:tcW w:w="2693" w:type="dxa"/>
            <w:vAlign w:val="center"/>
          </w:tcPr>
          <w:p w:rsidR="00A242DE" w:rsidRDefault="00292641">
            <w:pPr>
              <w:jc w:val="right"/>
            </w:pPr>
            <w:r>
              <w:rPr>
                <w:rFonts w:eastAsiaTheme="minorEastAsia"/>
                <w:color w:val="000000" w:themeColor="text1"/>
                <w:szCs w:val="21"/>
              </w:rPr>
              <w:t>0.28%</w:t>
            </w:r>
          </w:p>
        </w:tc>
      </w:tr>
      <w:tr w:rsidR="00A242DE">
        <w:tc>
          <w:tcPr>
            <w:tcW w:w="1560" w:type="dxa"/>
            <w:vAlign w:val="center"/>
          </w:tcPr>
          <w:p w:rsidR="00A242DE" w:rsidRDefault="00292641">
            <w:pPr>
              <w:jc w:val="center"/>
            </w:pPr>
            <w:r>
              <w:rPr>
                <w:rFonts w:eastAsiaTheme="minorEastAsia"/>
                <w:color w:val="000000" w:themeColor="text1"/>
                <w:szCs w:val="21"/>
              </w:rPr>
              <w:t>4</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8,290,593.78</w:t>
            </w:r>
          </w:p>
        </w:tc>
        <w:tc>
          <w:tcPr>
            <w:tcW w:w="2693" w:type="dxa"/>
            <w:vAlign w:val="center"/>
          </w:tcPr>
          <w:p w:rsidR="00A242DE" w:rsidRDefault="00292641">
            <w:pPr>
              <w:jc w:val="right"/>
            </w:pPr>
            <w:r>
              <w:rPr>
                <w:rFonts w:eastAsiaTheme="minorEastAsia"/>
                <w:color w:val="000000" w:themeColor="text1"/>
                <w:szCs w:val="21"/>
              </w:rPr>
              <w:t>0.24%</w:t>
            </w:r>
          </w:p>
        </w:tc>
      </w:tr>
      <w:tr w:rsidR="00A242DE">
        <w:tc>
          <w:tcPr>
            <w:tcW w:w="1560" w:type="dxa"/>
            <w:vAlign w:val="center"/>
          </w:tcPr>
          <w:p w:rsidR="00A242DE" w:rsidRDefault="00292641">
            <w:pPr>
              <w:jc w:val="center"/>
            </w:pPr>
            <w:r>
              <w:rPr>
                <w:rFonts w:eastAsiaTheme="minorEastAsia"/>
                <w:color w:val="000000" w:themeColor="text1"/>
                <w:szCs w:val="21"/>
              </w:rPr>
              <w:t>5</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8,249,791.65</w:t>
            </w:r>
          </w:p>
        </w:tc>
        <w:tc>
          <w:tcPr>
            <w:tcW w:w="2693" w:type="dxa"/>
            <w:vAlign w:val="center"/>
          </w:tcPr>
          <w:p w:rsidR="00A242DE" w:rsidRDefault="00292641">
            <w:pPr>
              <w:jc w:val="right"/>
            </w:pPr>
            <w:r>
              <w:rPr>
                <w:rFonts w:eastAsiaTheme="minorEastAsia"/>
                <w:color w:val="000000" w:themeColor="text1"/>
                <w:szCs w:val="21"/>
              </w:rPr>
              <w:t>0.24%</w:t>
            </w:r>
          </w:p>
        </w:tc>
      </w:tr>
      <w:tr w:rsidR="00A242DE">
        <w:tc>
          <w:tcPr>
            <w:tcW w:w="1560" w:type="dxa"/>
            <w:vAlign w:val="center"/>
          </w:tcPr>
          <w:p w:rsidR="00A242DE" w:rsidRDefault="00292641">
            <w:pPr>
              <w:jc w:val="center"/>
            </w:pPr>
            <w:r>
              <w:rPr>
                <w:rFonts w:eastAsiaTheme="minorEastAsia"/>
                <w:color w:val="000000" w:themeColor="text1"/>
                <w:szCs w:val="21"/>
              </w:rPr>
              <w:t>6</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7,476,369.10</w:t>
            </w:r>
          </w:p>
        </w:tc>
        <w:tc>
          <w:tcPr>
            <w:tcW w:w="2693" w:type="dxa"/>
            <w:vAlign w:val="center"/>
          </w:tcPr>
          <w:p w:rsidR="00A242DE" w:rsidRDefault="00292641">
            <w:pPr>
              <w:jc w:val="right"/>
            </w:pPr>
            <w:r>
              <w:rPr>
                <w:rFonts w:eastAsiaTheme="minorEastAsia"/>
                <w:color w:val="000000" w:themeColor="text1"/>
                <w:szCs w:val="21"/>
              </w:rPr>
              <w:t>0.22%</w:t>
            </w:r>
          </w:p>
        </w:tc>
      </w:tr>
      <w:tr w:rsidR="00A242DE">
        <w:tc>
          <w:tcPr>
            <w:tcW w:w="1560" w:type="dxa"/>
            <w:vAlign w:val="center"/>
          </w:tcPr>
          <w:p w:rsidR="00A242DE" w:rsidRDefault="00292641">
            <w:pPr>
              <w:jc w:val="center"/>
            </w:pPr>
            <w:r>
              <w:rPr>
                <w:rFonts w:eastAsiaTheme="minorEastAsia"/>
                <w:color w:val="000000" w:themeColor="text1"/>
                <w:szCs w:val="21"/>
              </w:rPr>
              <w:t>7</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7,270,646.33</w:t>
            </w:r>
          </w:p>
        </w:tc>
        <w:tc>
          <w:tcPr>
            <w:tcW w:w="2693" w:type="dxa"/>
            <w:vAlign w:val="center"/>
          </w:tcPr>
          <w:p w:rsidR="00A242DE" w:rsidRDefault="00292641">
            <w:pPr>
              <w:jc w:val="right"/>
            </w:pPr>
            <w:r>
              <w:rPr>
                <w:rFonts w:eastAsiaTheme="minorEastAsia"/>
                <w:color w:val="000000" w:themeColor="text1"/>
                <w:szCs w:val="21"/>
              </w:rPr>
              <w:t>0.21%</w:t>
            </w:r>
          </w:p>
        </w:tc>
      </w:tr>
      <w:tr w:rsidR="00A242DE">
        <w:tc>
          <w:tcPr>
            <w:tcW w:w="1560" w:type="dxa"/>
            <w:vAlign w:val="center"/>
          </w:tcPr>
          <w:p w:rsidR="00A242DE" w:rsidRDefault="00292641">
            <w:pPr>
              <w:jc w:val="center"/>
            </w:pPr>
            <w:r>
              <w:rPr>
                <w:rFonts w:eastAsiaTheme="minorEastAsia"/>
                <w:color w:val="000000" w:themeColor="text1"/>
                <w:szCs w:val="21"/>
              </w:rPr>
              <w:lastRenderedPageBreak/>
              <w:t>8</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7,115,475.17</w:t>
            </w:r>
          </w:p>
        </w:tc>
        <w:tc>
          <w:tcPr>
            <w:tcW w:w="2693" w:type="dxa"/>
            <w:vAlign w:val="center"/>
          </w:tcPr>
          <w:p w:rsidR="00A242DE" w:rsidRDefault="00292641">
            <w:pPr>
              <w:jc w:val="right"/>
            </w:pPr>
            <w:r>
              <w:rPr>
                <w:rFonts w:eastAsiaTheme="minorEastAsia"/>
                <w:color w:val="000000" w:themeColor="text1"/>
                <w:szCs w:val="21"/>
              </w:rPr>
              <w:t>0.21%</w:t>
            </w:r>
          </w:p>
        </w:tc>
      </w:tr>
      <w:tr w:rsidR="00A242DE">
        <w:tc>
          <w:tcPr>
            <w:tcW w:w="1560" w:type="dxa"/>
            <w:vAlign w:val="center"/>
          </w:tcPr>
          <w:p w:rsidR="00A242DE" w:rsidRDefault="00292641">
            <w:pPr>
              <w:jc w:val="center"/>
            </w:pPr>
            <w:r>
              <w:rPr>
                <w:rFonts w:eastAsiaTheme="minorEastAsia"/>
                <w:color w:val="000000" w:themeColor="text1"/>
                <w:szCs w:val="21"/>
              </w:rPr>
              <w:t>9</w:t>
            </w:r>
          </w:p>
        </w:tc>
        <w:tc>
          <w:tcPr>
            <w:tcW w:w="2835" w:type="dxa"/>
            <w:vAlign w:val="center"/>
          </w:tcPr>
          <w:p w:rsidR="00A242DE" w:rsidRDefault="00292641">
            <w:pPr>
              <w:jc w:val="right"/>
            </w:pPr>
            <w:r>
              <w:rPr>
                <w:rFonts w:eastAsiaTheme="minorEastAsia"/>
                <w:color w:val="000000" w:themeColor="text1"/>
                <w:szCs w:val="21"/>
              </w:rPr>
              <w:t>个人</w:t>
            </w:r>
          </w:p>
        </w:tc>
        <w:tc>
          <w:tcPr>
            <w:tcW w:w="2551" w:type="dxa"/>
            <w:vAlign w:val="center"/>
          </w:tcPr>
          <w:p w:rsidR="00A242DE" w:rsidRDefault="00292641">
            <w:pPr>
              <w:jc w:val="right"/>
            </w:pPr>
            <w:r>
              <w:rPr>
                <w:rFonts w:eastAsiaTheme="minorEastAsia"/>
                <w:color w:val="000000" w:themeColor="text1"/>
                <w:szCs w:val="21"/>
              </w:rPr>
              <w:t>6,851,225.62</w:t>
            </w:r>
          </w:p>
        </w:tc>
        <w:tc>
          <w:tcPr>
            <w:tcW w:w="2693" w:type="dxa"/>
            <w:vAlign w:val="center"/>
          </w:tcPr>
          <w:p w:rsidR="00A242DE" w:rsidRDefault="00292641">
            <w:pPr>
              <w:jc w:val="right"/>
            </w:pPr>
            <w:r>
              <w:rPr>
                <w:rFonts w:eastAsiaTheme="minorEastAsia"/>
                <w:color w:val="000000" w:themeColor="text1"/>
                <w:szCs w:val="21"/>
              </w:rPr>
              <w:t>0.20%</w:t>
            </w:r>
          </w:p>
        </w:tc>
      </w:tr>
      <w:tr w:rsidR="00A242DE">
        <w:tc>
          <w:tcPr>
            <w:tcW w:w="1560" w:type="dxa"/>
            <w:vAlign w:val="center"/>
          </w:tcPr>
          <w:p w:rsidR="00A242DE" w:rsidRDefault="00292641">
            <w:pPr>
              <w:jc w:val="center"/>
            </w:pPr>
            <w:r>
              <w:rPr>
                <w:rFonts w:eastAsiaTheme="minorEastAsia"/>
                <w:color w:val="000000" w:themeColor="text1"/>
                <w:szCs w:val="21"/>
              </w:rPr>
              <w:t>10</w:t>
            </w:r>
          </w:p>
        </w:tc>
        <w:tc>
          <w:tcPr>
            <w:tcW w:w="2835" w:type="dxa"/>
            <w:vAlign w:val="center"/>
          </w:tcPr>
          <w:p w:rsidR="00A242DE" w:rsidRDefault="00292641">
            <w:pPr>
              <w:jc w:val="right"/>
            </w:pPr>
            <w:r>
              <w:rPr>
                <w:rFonts w:eastAsiaTheme="minorEastAsia"/>
                <w:color w:val="000000" w:themeColor="text1"/>
                <w:szCs w:val="21"/>
              </w:rPr>
              <w:t>银行类机构</w:t>
            </w:r>
          </w:p>
        </w:tc>
        <w:tc>
          <w:tcPr>
            <w:tcW w:w="2551" w:type="dxa"/>
            <w:vAlign w:val="center"/>
          </w:tcPr>
          <w:p w:rsidR="00A242DE" w:rsidRDefault="00292641">
            <w:pPr>
              <w:jc w:val="right"/>
            </w:pPr>
            <w:r>
              <w:rPr>
                <w:rFonts w:eastAsiaTheme="minorEastAsia"/>
                <w:color w:val="000000" w:themeColor="text1"/>
                <w:szCs w:val="21"/>
              </w:rPr>
              <w:t>6,298,933.29</w:t>
            </w:r>
          </w:p>
        </w:tc>
        <w:tc>
          <w:tcPr>
            <w:tcW w:w="2693" w:type="dxa"/>
            <w:vAlign w:val="center"/>
          </w:tcPr>
          <w:p w:rsidR="00A242DE" w:rsidRDefault="00292641">
            <w:pPr>
              <w:jc w:val="right"/>
            </w:pPr>
            <w:r>
              <w:rPr>
                <w:rFonts w:eastAsiaTheme="minorEastAsia"/>
                <w:color w:val="000000" w:themeColor="text1"/>
                <w:szCs w:val="21"/>
              </w:rPr>
              <w:t>0.19%</w:t>
            </w:r>
          </w:p>
        </w:tc>
      </w:tr>
      <w:bookmarkEnd w:id="34"/>
      <w:bookmarkEnd w:id="35"/>
      <w:bookmarkEnd w:id="36"/>
      <w:bookmarkEnd w:id="37"/>
    </w:tbl>
    <w:p w:rsidR="0027759A" w:rsidRDefault="0027759A" w:rsidP="00792A69">
      <w:pPr>
        <w:tabs>
          <w:tab w:val="left" w:pos="426"/>
        </w:tabs>
        <w:spacing w:before="29" w:line="288" w:lineRule="auto"/>
        <w:jc w:val="left"/>
        <w:rPr>
          <w:kern w:val="0"/>
          <w:sz w:val="24"/>
        </w:rPr>
      </w:pPr>
    </w:p>
    <w:p w:rsidR="00FD69BE" w:rsidRPr="0061644B" w:rsidRDefault="00FD69BE" w:rsidP="00FD69BE">
      <w:pPr>
        <w:pStyle w:val="20"/>
        <w:spacing w:before="29" w:after="0" w:line="288" w:lineRule="auto"/>
        <w:rPr>
          <w:rFonts w:ascii="Times New Roman" w:hAnsi="Times New Roman" w:cs="Times New Roman"/>
          <w:kern w:val="0"/>
          <w:szCs w:val="24"/>
        </w:rPr>
      </w:pPr>
      <w:bookmarkStart w:id="38" w:name="_Toc331410113"/>
      <w:r w:rsidRPr="0061644B">
        <w:rPr>
          <w:rFonts w:ascii="Times New Roman" w:hAnsi="Times New Roman" w:cs="Times New Roman"/>
          <w:kern w:val="0"/>
          <w:szCs w:val="24"/>
        </w:rPr>
        <w:t>8.</w:t>
      </w:r>
      <w:r>
        <w:rPr>
          <w:rFonts w:ascii="Times New Roman" w:hAnsi="Times New Roman" w:cs="Times New Roman" w:hint="eastAsia"/>
          <w:kern w:val="0"/>
          <w:szCs w:val="24"/>
        </w:rPr>
        <w:t>3</w:t>
      </w:r>
      <w:r w:rsidRPr="0061644B">
        <w:rPr>
          <w:rFonts w:ascii="Times New Roman" w:hAnsi="Times New Roman" w:cs="Times New Roman"/>
          <w:kern w:val="0"/>
          <w:szCs w:val="24"/>
        </w:rPr>
        <w:t>期末基金管理人的从业人员持有本基金的情况</w:t>
      </w:r>
      <w:bookmarkEnd w:id="38"/>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FD69BE" w:rsidRPr="0061644B" w:rsidTr="00E93085">
        <w:tc>
          <w:tcPr>
            <w:tcW w:w="1560" w:type="dxa"/>
            <w:vAlign w:val="center"/>
          </w:tcPr>
          <w:p w:rsidR="00FD69BE" w:rsidRPr="0061644B" w:rsidRDefault="00FD69BE" w:rsidP="00E93085">
            <w:pPr>
              <w:pStyle w:val="a0"/>
              <w:spacing w:before="29" w:line="288" w:lineRule="auto"/>
              <w:ind w:firstLineChars="0" w:firstLine="0"/>
              <w:rPr>
                <w:sz w:val="24"/>
              </w:rPr>
            </w:pPr>
            <w:r w:rsidRPr="0061644B">
              <w:rPr>
                <w:kern w:val="0"/>
                <w:sz w:val="24"/>
              </w:rPr>
              <w:t>项目</w:t>
            </w:r>
          </w:p>
        </w:tc>
        <w:tc>
          <w:tcPr>
            <w:tcW w:w="2693" w:type="dxa"/>
            <w:vAlign w:val="center"/>
          </w:tcPr>
          <w:p w:rsidR="00FD69BE" w:rsidRPr="0061644B" w:rsidRDefault="00FD69BE" w:rsidP="00E93085">
            <w:pPr>
              <w:pStyle w:val="a0"/>
              <w:spacing w:before="29" w:line="288" w:lineRule="auto"/>
              <w:ind w:firstLineChars="0" w:firstLine="0"/>
              <w:rPr>
                <w:sz w:val="24"/>
              </w:rPr>
            </w:pPr>
            <w:r w:rsidRPr="0061644B">
              <w:rPr>
                <w:kern w:val="0"/>
                <w:sz w:val="24"/>
              </w:rPr>
              <w:t>份额级别</w:t>
            </w:r>
          </w:p>
        </w:tc>
        <w:tc>
          <w:tcPr>
            <w:tcW w:w="2977" w:type="dxa"/>
            <w:vAlign w:val="center"/>
          </w:tcPr>
          <w:p w:rsidR="00FD69BE" w:rsidRPr="0061644B" w:rsidRDefault="00FD69BE" w:rsidP="00E93085">
            <w:pPr>
              <w:pStyle w:val="a0"/>
              <w:spacing w:before="29" w:line="288" w:lineRule="auto"/>
              <w:ind w:firstLineChars="0" w:firstLine="0"/>
              <w:rPr>
                <w:sz w:val="24"/>
              </w:rPr>
            </w:pPr>
            <w:r w:rsidRPr="0061644B">
              <w:rPr>
                <w:kern w:val="0"/>
                <w:sz w:val="24"/>
              </w:rPr>
              <w:t>持有份额总数（份）</w:t>
            </w:r>
          </w:p>
        </w:tc>
        <w:tc>
          <w:tcPr>
            <w:tcW w:w="1768" w:type="dxa"/>
            <w:vAlign w:val="center"/>
          </w:tcPr>
          <w:p w:rsidR="00FD69BE" w:rsidRPr="0061644B" w:rsidRDefault="00FD69BE" w:rsidP="00E93085">
            <w:pPr>
              <w:pStyle w:val="a0"/>
              <w:spacing w:before="29" w:line="288" w:lineRule="auto"/>
              <w:ind w:firstLineChars="0" w:firstLine="0"/>
              <w:jc w:val="center"/>
              <w:rPr>
                <w:sz w:val="24"/>
              </w:rPr>
            </w:pPr>
            <w:r w:rsidRPr="0061644B">
              <w:rPr>
                <w:sz w:val="24"/>
              </w:rPr>
              <w:t>占基金总份额比例</w:t>
            </w:r>
          </w:p>
        </w:tc>
      </w:tr>
      <w:tr w:rsidR="00FD69BE" w:rsidRPr="0061644B" w:rsidTr="00E93085">
        <w:tc>
          <w:tcPr>
            <w:tcW w:w="1560" w:type="dxa"/>
            <w:vMerge w:val="restart"/>
            <w:vAlign w:val="center"/>
          </w:tcPr>
          <w:p w:rsidR="00FD69BE" w:rsidRPr="0061644B" w:rsidRDefault="00FD69BE" w:rsidP="00E93085">
            <w:pPr>
              <w:spacing w:before="29" w:line="288" w:lineRule="auto"/>
              <w:rPr>
                <w:sz w:val="24"/>
              </w:rPr>
            </w:pPr>
            <w:r w:rsidRPr="0061644B">
              <w:rPr>
                <w:sz w:val="24"/>
              </w:rPr>
              <w:t>基金管理人所有从业人员持有本基金</w:t>
            </w:r>
          </w:p>
        </w:tc>
        <w:tc>
          <w:tcPr>
            <w:tcW w:w="2693" w:type="dxa"/>
            <w:vAlign w:val="center"/>
          </w:tcPr>
          <w:p w:rsidR="00FD69BE" w:rsidRPr="0061644B" w:rsidRDefault="00FD69BE" w:rsidP="00E93085">
            <w:pPr>
              <w:spacing w:before="29" w:line="288" w:lineRule="auto"/>
              <w:jc w:val="right"/>
              <w:rPr>
                <w:kern w:val="0"/>
                <w:sz w:val="24"/>
              </w:rPr>
            </w:pPr>
            <w:r w:rsidRPr="0061644B">
              <w:rPr>
                <w:sz w:val="24"/>
              </w:rPr>
              <w:t>交银现金</w:t>
            </w:r>
            <w:proofErr w:type="gramStart"/>
            <w:r w:rsidRPr="0061644B">
              <w:rPr>
                <w:sz w:val="24"/>
              </w:rPr>
              <w:t>宝货币</w:t>
            </w:r>
            <w:proofErr w:type="gramEnd"/>
            <w:r w:rsidRPr="0061644B">
              <w:rPr>
                <w:sz w:val="24"/>
              </w:rPr>
              <w:t>A</w:t>
            </w:r>
          </w:p>
        </w:tc>
        <w:tc>
          <w:tcPr>
            <w:tcW w:w="2977" w:type="dxa"/>
            <w:vAlign w:val="center"/>
          </w:tcPr>
          <w:p w:rsidR="00FD69BE" w:rsidRPr="0061644B" w:rsidRDefault="00FD69BE" w:rsidP="00E93085">
            <w:pPr>
              <w:widowControl/>
              <w:spacing w:before="29" w:line="288" w:lineRule="auto"/>
              <w:jc w:val="right"/>
              <w:rPr>
                <w:kern w:val="0"/>
                <w:sz w:val="24"/>
              </w:rPr>
            </w:pPr>
            <w:r w:rsidRPr="0061644B">
              <w:rPr>
                <w:kern w:val="0"/>
                <w:sz w:val="24"/>
              </w:rPr>
              <w:t>408,301.62</w:t>
            </w:r>
          </w:p>
        </w:tc>
        <w:tc>
          <w:tcPr>
            <w:tcW w:w="1768" w:type="dxa"/>
            <w:vAlign w:val="center"/>
          </w:tcPr>
          <w:p w:rsidR="00FD69BE" w:rsidRPr="0061644B" w:rsidRDefault="00FD69BE" w:rsidP="00E93085">
            <w:pPr>
              <w:widowControl/>
              <w:spacing w:before="29" w:line="288" w:lineRule="auto"/>
              <w:jc w:val="right"/>
              <w:rPr>
                <w:kern w:val="0"/>
                <w:sz w:val="24"/>
              </w:rPr>
            </w:pPr>
            <w:r w:rsidRPr="0061644B">
              <w:rPr>
                <w:kern w:val="0"/>
                <w:sz w:val="24"/>
              </w:rPr>
              <w:t>0.01%</w:t>
            </w:r>
          </w:p>
        </w:tc>
      </w:tr>
      <w:tr w:rsidR="00FD69BE" w:rsidRPr="0061644B" w:rsidTr="00E93085">
        <w:tc>
          <w:tcPr>
            <w:tcW w:w="1560" w:type="dxa"/>
            <w:vMerge/>
            <w:vAlign w:val="center"/>
          </w:tcPr>
          <w:p w:rsidR="00FD69BE" w:rsidRPr="0061644B" w:rsidRDefault="00FD69BE" w:rsidP="00E93085">
            <w:pPr>
              <w:pStyle w:val="a0"/>
              <w:spacing w:before="29" w:line="288" w:lineRule="auto"/>
              <w:ind w:firstLineChars="0" w:firstLine="0"/>
              <w:rPr>
                <w:sz w:val="24"/>
              </w:rPr>
            </w:pPr>
          </w:p>
        </w:tc>
        <w:tc>
          <w:tcPr>
            <w:tcW w:w="2693" w:type="dxa"/>
            <w:vAlign w:val="center"/>
          </w:tcPr>
          <w:p w:rsidR="00FD69BE" w:rsidRPr="0061644B" w:rsidRDefault="00FD69BE" w:rsidP="00E93085">
            <w:pPr>
              <w:spacing w:before="29" w:line="288" w:lineRule="auto"/>
              <w:jc w:val="right"/>
              <w:rPr>
                <w:kern w:val="0"/>
                <w:sz w:val="24"/>
              </w:rPr>
            </w:pPr>
            <w:r w:rsidRPr="0061644B">
              <w:rPr>
                <w:sz w:val="24"/>
              </w:rPr>
              <w:t>交银现金</w:t>
            </w:r>
            <w:proofErr w:type="gramStart"/>
            <w:r w:rsidRPr="0061644B">
              <w:rPr>
                <w:sz w:val="24"/>
              </w:rPr>
              <w:t>宝货币</w:t>
            </w:r>
            <w:proofErr w:type="gramEnd"/>
            <w:r w:rsidRPr="0061644B">
              <w:rPr>
                <w:sz w:val="24"/>
              </w:rPr>
              <w:t>E</w:t>
            </w:r>
          </w:p>
        </w:tc>
        <w:tc>
          <w:tcPr>
            <w:tcW w:w="2977" w:type="dxa"/>
            <w:vAlign w:val="center"/>
          </w:tcPr>
          <w:p w:rsidR="00FD69BE" w:rsidRPr="0061644B" w:rsidRDefault="00FD69BE" w:rsidP="00E93085">
            <w:pPr>
              <w:widowControl/>
              <w:spacing w:before="29" w:line="288" w:lineRule="auto"/>
              <w:jc w:val="right"/>
              <w:rPr>
                <w:kern w:val="0"/>
                <w:sz w:val="24"/>
              </w:rPr>
            </w:pPr>
            <w:r w:rsidRPr="0061644B">
              <w:rPr>
                <w:kern w:val="0"/>
                <w:sz w:val="24"/>
              </w:rPr>
              <w:t>-</w:t>
            </w:r>
          </w:p>
        </w:tc>
        <w:tc>
          <w:tcPr>
            <w:tcW w:w="1768" w:type="dxa"/>
            <w:vAlign w:val="center"/>
          </w:tcPr>
          <w:p w:rsidR="00FD69BE" w:rsidRPr="0061644B" w:rsidRDefault="00FD69BE" w:rsidP="00E93085">
            <w:pPr>
              <w:widowControl/>
              <w:spacing w:before="29" w:line="288" w:lineRule="auto"/>
              <w:jc w:val="right"/>
              <w:rPr>
                <w:kern w:val="0"/>
                <w:sz w:val="24"/>
              </w:rPr>
            </w:pPr>
            <w:r w:rsidRPr="0061644B">
              <w:rPr>
                <w:kern w:val="0"/>
                <w:sz w:val="24"/>
              </w:rPr>
              <w:t>-</w:t>
            </w:r>
          </w:p>
        </w:tc>
      </w:tr>
      <w:tr w:rsidR="00FD69BE" w:rsidRPr="0061644B" w:rsidTr="00E93085">
        <w:tc>
          <w:tcPr>
            <w:tcW w:w="1560" w:type="dxa"/>
            <w:vMerge/>
            <w:vAlign w:val="center"/>
          </w:tcPr>
          <w:p w:rsidR="00FD69BE" w:rsidRPr="0061644B" w:rsidRDefault="00FD69BE" w:rsidP="00E93085">
            <w:pPr>
              <w:pStyle w:val="a0"/>
              <w:spacing w:before="29" w:line="288" w:lineRule="auto"/>
              <w:ind w:firstLineChars="0" w:firstLine="0"/>
              <w:rPr>
                <w:sz w:val="24"/>
              </w:rPr>
            </w:pPr>
          </w:p>
        </w:tc>
        <w:tc>
          <w:tcPr>
            <w:tcW w:w="2693" w:type="dxa"/>
            <w:vAlign w:val="center"/>
          </w:tcPr>
          <w:p w:rsidR="00FD69BE" w:rsidRPr="0061644B" w:rsidRDefault="00FD69BE" w:rsidP="00E93085">
            <w:pPr>
              <w:widowControl/>
              <w:spacing w:before="29" w:line="288" w:lineRule="auto"/>
              <w:jc w:val="center"/>
              <w:rPr>
                <w:kern w:val="0"/>
                <w:sz w:val="24"/>
              </w:rPr>
            </w:pPr>
            <w:r w:rsidRPr="0061644B">
              <w:rPr>
                <w:kern w:val="0"/>
                <w:sz w:val="24"/>
              </w:rPr>
              <w:t>合计</w:t>
            </w:r>
          </w:p>
        </w:tc>
        <w:tc>
          <w:tcPr>
            <w:tcW w:w="2977" w:type="dxa"/>
            <w:vAlign w:val="center"/>
          </w:tcPr>
          <w:p w:rsidR="00FD69BE" w:rsidRPr="0061644B" w:rsidRDefault="00FD69BE" w:rsidP="00E93085">
            <w:pPr>
              <w:widowControl/>
              <w:spacing w:before="29" w:line="288" w:lineRule="auto"/>
              <w:jc w:val="right"/>
              <w:rPr>
                <w:kern w:val="0"/>
                <w:sz w:val="24"/>
              </w:rPr>
            </w:pPr>
            <w:r w:rsidRPr="0061644B">
              <w:rPr>
                <w:kern w:val="0"/>
                <w:sz w:val="24"/>
              </w:rPr>
              <w:t>408,301.62</w:t>
            </w:r>
          </w:p>
        </w:tc>
        <w:tc>
          <w:tcPr>
            <w:tcW w:w="1768" w:type="dxa"/>
            <w:vAlign w:val="center"/>
          </w:tcPr>
          <w:p w:rsidR="00FD69BE" w:rsidRPr="0061644B" w:rsidRDefault="00FD69BE" w:rsidP="00E93085">
            <w:pPr>
              <w:widowControl/>
              <w:spacing w:before="29" w:line="288" w:lineRule="auto"/>
              <w:jc w:val="right"/>
              <w:rPr>
                <w:kern w:val="0"/>
                <w:sz w:val="24"/>
              </w:rPr>
            </w:pPr>
            <w:r w:rsidRPr="0061644B">
              <w:rPr>
                <w:kern w:val="0"/>
                <w:sz w:val="24"/>
              </w:rPr>
              <w:t>0.01%</w:t>
            </w:r>
          </w:p>
        </w:tc>
      </w:tr>
    </w:tbl>
    <w:p w:rsidR="00FD69BE" w:rsidRPr="0027759A" w:rsidRDefault="00FD69BE"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39" w:name="_Toc331410115"/>
      <w:bookmarkStart w:id="40" w:name="_Toc225500053"/>
      <w:r w:rsidRPr="0061644B">
        <w:rPr>
          <w:b/>
          <w:bCs/>
          <w:szCs w:val="24"/>
          <w:lang w:val="en-US"/>
        </w:rPr>
        <w:t>9</w:t>
      </w:r>
      <w:r w:rsidR="006D141C" w:rsidRPr="0061644B">
        <w:rPr>
          <w:b/>
          <w:bCs/>
          <w:szCs w:val="24"/>
          <w:lang w:val="en-US"/>
        </w:rPr>
        <w:t>开放式基金份额变动</w:t>
      </w:r>
      <w:bookmarkEnd w:id="39"/>
      <w:bookmarkEnd w:id="40"/>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交银现金</w:t>
            </w:r>
            <w:proofErr w:type="gramStart"/>
            <w:r w:rsidRPr="0061644B">
              <w:rPr>
                <w:sz w:val="24"/>
              </w:rPr>
              <w:t>宝货币</w:t>
            </w:r>
            <w:proofErr w:type="gramEnd"/>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交银现金</w:t>
            </w:r>
            <w:proofErr w:type="gramStart"/>
            <w:r w:rsidRPr="0061644B">
              <w:rPr>
                <w:sz w:val="24"/>
              </w:rPr>
              <w:t>宝货币</w:t>
            </w:r>
            <w:proofErr w:type="gramEnd"/>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2014</w:t>
            </w:r>
            <w:r w:rsidRPr="0061644B">
              <w:rPr>
                <w:sz w:val="24"/>
              </w:rPr>
              <w:t>年</w:t>
            </w:r>
            <w:r w:rsidRPr="0061644B">
              <w:rPr>
                <w:sz w:val="24"/>
              </w:rPr>
              <w:t>9</w:t>
            </w:r>
            <w:r w:rsidRPr="0061644B">
              <w:rPr>
                <w:sz w:val="24"/>
              </w:rPr>
              <w:t>月</w:t>
            </w:r>
            <w:r w:rsidRPr="0061644B">
              <w:rPr>
                <w:sz w:val="24"/>
              </w:rPr>
              <w:t>12</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375,122,844.83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w:t>
            </w:r>
            <w:proofErr w:type="gramStart"/>
            <w:r w:rsidRPr="0061644B">
              <w:rPr>
                <w:sz w:val="24"/>
              </w:rPr>
              <w:t>初基金</w:t>
            </w:r>
            <w:proofErr w:type="gramEnd"/>
            <w:r w:rsidRPr="0061644B">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3,256,032,336.15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46,813,694.95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55,564,178,294.13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4,696,156,858.15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w:t>
            </w:r>
            <w:proofErr w:type="gramStart"/>
            <w:r w:rsidRPr="0061644B">
              <w:rPr>
                <w:sz w:val="24"/>
              </w:rPr>
              <w:t>期基金</w:t>
            </w:r>
            <w:proofErr w:type="gramEnd"/>
            <w:r w:rsidRPr="0061644B">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55,824,421,802.97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4,335,170,378.86</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lastRenderedPageBreak/>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2,995,788,827.31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407,800,174.24</w:t>
            </w:r>
          </w:p>
        </w:tc>
      </w:tr>
    </w:tbl>
    <w:p w:rsidR="00A242DE" w:rsidRDefault="0029264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41" w:name="_Toc331410116"/>
      <w:bookmarkStart w:id="42" w:name="_Toc225500054"/>
      <w:r w:rsidRPr="00B54CAD">
        <w:rPr>
          <w:b/>
          <w:bCs/>
          <w:szCs w:val="24"/>
          <w:lang w:val="en-US"/>
        </w:rPr>
        <w:t>10</w:t>
      </w:r>
      <w:r w:rsidRPr="00B54CAD">
        <w:rPr>
          <w:b/>
          <w:bCs/>
          <w:szCs w:val="24"/>
          <w:lang w:val="en-US"/>
        </w:rPr>
        <w:t>重大事件揭示</w:t>
      </w:r>
      <w:bookmarkEnd w:id="41"/>
      <w:bookmarkEnd w:id="42"/>
    </w:p>
    <w:p w:rsidR="00B54CAD" w:rsidRPr="00B54CAD" w:rsidRDefault="00B54CAD" w:rsidP="00B54CAD">
      <w:pPr>
        <w:pStyle w:val="20"/>
        <w:spacing w:before="29" w:after="0" w:line="288" w:lineRule="auto"/>
        <w:rPr>
          <w:rFonts w:ascii="Times New Roman" w:hAnsi="Times New Roman"/>
          <w:kern w:val="0"/>
          <w:szCs w:val="24"/>
        </w:rPr>
      </w:pPr>
      <w:bookmarkStart w:id="43" w:name="_Toc374438161"/>
      <w:bookmarkStart w:id="44" w:name="_Toc361324894"/>
      <w:bookmarkStart w:id="45" w:name="OLE_LINK179"/>
      <w:bookmarkStart w:id="46" w:name="OLE_LINK178"/>
      <w:bookmarkStart w:id="47" w:name="OLE_LINK174"/>
      <w:bookmarkStart w:id="48" w:name="OLE_LINK165"/>
      <w:bookmarkStart w:id="49" w:name="OLE_LINK145"/>
      <w:bookmarkStart w:id="50" w:name="OLE_LINK135"/>
      <w:bookmarkStart w:id="51" w:name="OLE_LINK84"/>
      <w:bookmarkStart w:id="52" w:name="OLE_LINK75"/>
      <w:bookmarkStart w:id="53" w:name="OLE_LINK59"/>
      <w:bookmarkStart w:id="54" w:name="OLE_LINK34"/>
      <w:bookmarkStart w:id="55" w:name="OLE_LINK33"/>
      <w:bookmarkStart w:id="56" w:name="OLE_LINK28"/>
      <w:bookmarkStart w:id="57" w:name="OLE_LINK170"/>
      <w:bookmarkStart w:id="58" w:name="OLE_LINK159"/>
      <w:bookmarkStart w:id="59" w:name="OLE_LINK143"/>
      <w:bookmarkStart w:id="60" w:name="OLE_LINK130"/>
      <w:bookmarkStart w:id="61" w:name="OLE_LINK102"/>
      <w:bookmarkStart w:id="62" w:name="OLE_LINK101"/>
      <w:bookmarkStart w:id="63" w:name="OLE_LINK72"/>
      <w:bookmarkStart w:id="64" w:name="OLE_LINK50"/>
      <w:bookmarkStart w:id="65"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3"/>
      <w:bookmarkEnd w:id="44"/>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6" w:name="_Toc374438162"/>
      <w:bookmarkStart w:id="67"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6"/>
      <w:bookmarkEnd w:id="67"/>
    </w:p>
    <w:p w:rsidR="00A242DE" w:rsidRDefault="0029264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8" w:name="_Toc374438163"/>
      <w:bookmarkStart w:id="69"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8"/>
      <w:bookmarkEnd w:id="69"/>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0" w:name="_Toc374438164"/>
      <w:bookmarkStart w:id="71"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0"/>
      <w:bookmarkEnd w:id="71"/>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2" w:name="_Toc409100103"/>
      <w:bookmarkStart w:id="73"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2"/>
      <w:bookmarkEnd w:id="73"/>
    </w:p>
    <w:p w:rsidR="00B54CAD" w:rsidRPr="00B54CAD" w:rsidRDefault="00B54CAD" w:rsidP="00B54CAD">
      <w:pPr>
        <w:tabs>
          <w:tab w:val="left" w:pos="426"/>
        </w:tabs>
        <w:spacing w:before="29" w:line="288" w:lineRule="auto"/>
        <w:jc w:val="left"/>
        <w:rPr>
          <w:kern w:val="0"/>
          <w:sz w:val="24"/>
        </w:rPr>
      </w:pPr>
      <w:bookmarkStart w:id="74"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5" w:name="_Toc361324899"/>
      <w:bookmarkStart w:id="76" w:name="_Toc409100467"/>
      <w:bookmarkStart w:id="77" w:name="_Toc409100104"/>
      <w:bookmarkEnd w:id="74"/>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5"/>
      <w:bookmarkEnd w:id="76"/>
      <w:bookmarkEnd w:id="77"/>
    </w:p>
    <w:p w:rsidR="00A242DE" w:rsidRDefault="0029264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242DE" w:rsidRDefault="00292641">
      <w:pPr>
        <w:tabs>
          <w:tab w:val="left" w:pos="426"/>
        </w:tabs>
        <w:spacing w:before="29" w:line="288" w:lineRule="auto"/>
        <w:jc w:val="left"/>
        <w:rPr>
          <w:kern w:val="0"/>
          <w:sz w:val="24"/>
        </w:rPr>
      </w:pPr>
      <w:r>
        <w:rPr>
          <w:kern w:val="0"/>
          <w:sz w:val="24"/>
        </w:rPr>
        <w:t>基金管理人及其高级管理人员本报告期内未受监管部门稽查或处罚。</w:t>
      </w:r>
    </w:p>
    <w:p w:rsidR="00A242DE" w:rsidRDefault="0029264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lastRenderedPageBreak/>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8" w:name="_Toc409100105"/>
      <w:bookmarkStart w:id="79" w:name="_Toc409100468"/>
      <w:bookmarkStart w:id="80"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8"/>
      <w:bookmarkEnd w:id="79"/>
      <w:bookmarkEnd w:id="80"/>
    </w:p>
    <w:p w:rsidR="00B54CAD" w:rsidRPr="00B54CAD" w:rsidRDefault="00B54CAD" w:rsidP="00B54CAD">
      <w:pPr>
        <w:tabs>
          <w:tab w:val="left" w:pos="426"/>
        </w:tabs>
        <w:spacing w:before="29" w:line="288" w:lineRule="auto"/>
        <w:jc w:val="left"/>
        <w:rPr>
          <w:b/>
          <w:kern w:val="0"/>
          <w:sz w:val="24"/>
        </w:rPr>
      </w:pPr>
      <w:bookmarkStart w:id="81" w:name="_Toc249760070"/>
      <w:r w:rsidRPr="00B54CAD">
        <w:rPr>
          <w:b/>
          <w:kern w:val="0"/>
          <w:sz w:val="24"/>
        </w:rPr>
        <w:t>10.8.1</w:t>
      </w:r>
      <w:r w:rsidRPr="00B54CAD">
        <w:rPr>
          <w:rFonts w:hint="eastAsia"/>
          <w:b/>
          <w:kern w:val="0"/>
          <w:sz w:val="24"/>
        </w:rPr>
        <w:t>基金租用证券公司交易单元进行股票投资及佣金支付情况</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81"/>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2"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A242DE">
        <w:tc>
          <w:tcPr>
            <w:tcW w:w="1559" w:type="dxa"/>
            <w:vAlign w:val="center"/>
          </w:tcPr>
          <w:p w:rsidR="00A242DE" w:rsidRDefault="00292641">
            <w:pPr>
              <w:jc w:val="center"/>
            </w:pPr>
            <w:r>
              <w:rPr>
                <w:sz w:val="24"/>
              </w:rPr>
              <w:t>安信证券股份有限公司</w:t>
            </w:r>
          </w:p>
        </w:tc>
        <w:tc>
          <w:tcPr>
            <w:tcW w:w="779" w:type="dxa"/>
            <w:vAlign w:val="center"/>
          </w:tcPr>
          <w:p w:rsidR="00A242DE" w:rsidRDefault="00292641">
            <w:pPr>
              <w:jc w:val="right"/>
            </w:pPr>
            <w:r>
              <w:rPr>
                <w:sz w:val="24"/>
              </w:rPr>
              <w:t>2</w:t>
            </w:r>
          </w:p>
        </w:tc>
        <w:tc>
          <w:tcPr>
            <w:tcW w:w="1800"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w:t>
            </w:r>
          </w:p>
        </w:tc>
        <w:tc>
          <w:tcPr>
            <w:tcW w:w="1620"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w:t>
            </w:r>
          </w:p>
        </w:tc>
        <w:tc>
          <w:tcPr>
            <w:tcW w:w="1080" w:type="dxa"/>
            <w:vAlign w:val="center"/>
          </w:tcPr>
          <w:p w:rsidR="00A242DE" w:rsidRDefault="00292641">
            <w:pPr>
              <w:jc w:val="left"/>
            </w:pPr>
            <w:r>
              <w:rPr>
                <w:sz w:val="24"/>
              </w:rPr>
              <w:t>-</w:t>
            </w:r>
          </w:p>
        </w:tc>
      </w:tr>
      <w:tr w:rsidR="00A242DE">
        <w:tc>
          <w:tcPr>
            <w:tcW w:w="1559" w:type="dxa"/>
            <w:vAlign w:val="center"/>
          </w:tcPr>
          <w:p w:rsidR="00A242DE" w:rsidRDefault="00292641">
            <w:pPr>
              <w:jc w:val="center"/>
            </w:pPr>
            <w:r>
              <w:rPr>
                <w:sz w:val="24"/>
              </w:rPr>
              <w:t>国金证券股份有限公司</w:t>
            </w:r>
          </w:p>
        </w:tc>
        <w:tc>
          <w:tcPr>
            <w:tcW w:w="779" w:type="dxa"/>
            <w:vAlign w:val="center"/>
          </w:tcPr>
          <w:p w:rsidR="00A242DE" w:rsidRDefault="00292641">
            <w:pPr>
              <w:jc w:val="right"/>
            </w:pPr>
            <w:r>
              <w:rPr>
                <w:sz w:val="24"/>
              </w:rPr>
              <w:t>2</w:t>
            </w:r>
          </w:p>
        </w:tc>
        <w:tc>
          <w:tcPr>
            <w:tcW w:w="1800"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w:t>
            </w:r>
          </w:p>
        </w:tc>
        <w:tc>
          <w:tcPr>
            <w:tcW w:w="1620"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w:t>
            </w:r>
          </w:p>
        </w:tc>
        <w:tc>
          <w:tcPr>
            <w:tcW w:w="1080" w:type="dxa"/>
            <w:vAlign w:val="center"/>
          </w:tcPr>
          <w:p w:rsidR="00A242DE" w:rsidRDefault="00292641">
            <w:pPr>
              <w:jc w:val="left"/>
            </w:pPr>
            <w:r>
              <w:rPr>
                <w:sz w:val="24"/>
              </w:rPr>
              <w:t>-</w:t>
            </w:r>
          </w:p>
        </w:tc>
      </w:tr>
      <w:tr w:rsidR="00A242DE">
        <w:tc>
          <w:tcPr>
            <w:tcW w:w="1559" w:type="dxa"/>
            <w:vAlign w:val="center"/>
          </w:tcPr>
          <w:p w:rsidR="00A242DE" w:rsidRDefault="00292641">
            <w:pPr>
              <w:jc w:val="center"/>
            </w:pPr>
            <w:r>
              <w:rPr>
                <w:sz w:val="24"/>
              </w:rPr>
              <w:t>中泰证券股份有限公司</w:t>
            </w:r>
          </w:p>
        </w:tc>
        <w:tc>
          <w:tcPr>
            <w:tcW w:w="779" w:type="dxa"/>
            <w:vAlign w:val="center"/>
          </w:tcPr>
          <w:p w:rsidR="00A242DE" w:rsidRDefault="00292641">
            <w:pPr>
              <w:jc w:val="right"/>
            </w:pPr>
            <w:r>
              <w:rPr>
                <w:sz w:val="24"/>
              </w:rPr>
              <w:t>2</w:t>
            </w:r>
          </w:p>
        </w:tc>
        <w:tc>
          <w:tcPr>
            <w:tcW w:w="1800"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w:t>
            </w:r>
          </w:p>
        </w:tc>
        <w:tc>
          <w:tcPr>
            <w:tcW w:w="1620"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w:t>
            </w:r>
          </w:p>
        </w:tc>
        <w:tc>
          <w:tcPr>
            <w:tcW w:w="1080" w:type="dxa"/>
            <w:vAlign w:val="center"/>
          </w:tcPr>
          <w:p w:rsidR="00A242DE" w:rsidRDefault="00292641">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3" w:name="OLE_LINK177"/>
      <w:bookmarkStart w:id="84" w:name="OLE_LINK176"/>
      <w:bookmarkStart w:id="85" w:name="OLE_LINK175"/>
      <w:bookmarkStart w:id="86" w:name="OLE_LINK156"/>
      <w:bookmarkStart w:id="87" w:name="OLE_LINK146"/>
      <w:bookmarkStart w:id="88" w:name="OLE_LINK108"/>
      <w:bookmarkStart w:id="89" w:name="OLE_LINK37"/>
      <w:bookmarkStart w:id="90" w:name="OLE_LINK36"/>
      <w:bookmarkStart w:id="91" w:name="OLE_LINK35"/>
      <w:bookmarkStart w:id="92" w:name="OLE_LINK32"/>
      <w:bookmarkStart w:id="93" w:name="OLE_LINK31"/>
      <w:bookmarkStart w:id="94" w:name="OLE_LINK30"/>
      <w:bookmarkStart w:id="95" w:name="OLE_LINK29"/>
      <w:bookmarkStart w:id="96" w:name="_Toc249707408"/>
      <w:bookmarkEnd w:id="82"/>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3"/>
      <w:bookmarkEnd w:id="84"/>
      <w:bookmarkEnd w:id="85"/>
      <w:bookmarkEnd w:id="86"/>
      <w:bookmarkEnd w:id="87"/>
      <w:bookmarkEnd w:id="88"/>
      <w:bookmarkEnd w:id="89"/>
      <w:bookmarkEnd w:id="90"/>
      <w:bookmarkEnd w:id="91"/>
      <w:bookmarkEnd w:id="92"/>
      <w:bookmarkEnd w:id="93"/>
      <w:bookmarkEnd w:id="94"/>
      <w:bookmarkEnd w:id="95"/>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66651E">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39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66651E">
        <w:trPr>
          <w:trHeight w:val="1389"/>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w:t>
            </w:r>
            <w:proofErr w:type="gramStart"/>
            <w:r w:rsidRPr="0061644B">
              <w:rPr>
                <w:sz w:val="24"/>
              </w:rPr>
              <w:t>证成交</w:t>
            </w:r>
            <w:proofErr w:type="gramEnd"/>
            <w:r w:rsidRPr="0061644B">
              <w:rPr>
                <w:sz w:val="24"/>
              </w:rPr>
              <w:t>总额的比例</w:t>
            </w:r>
          </w:p>
        </w:tc>
      </w:tr>
      <w:tr w:rsidR="00A242DE">
        <w:tc>
          <w:tcPr>
            <w:tcW w:w="1559" w:type="dxa"/>
            <w:vAlign w:val="center"/>
          </w:tcPr>
          <w:p w:rsidR="00A242DE" w:rsidRDefault="00292641">
            <w:pPr>
              <w:jc w:val="left"/>
            </w:pPr>
            <w:r>
              <w:rPr>
                <w:sz w:val="24"/>
              </w:rPr>
              <w:t>安信证券股份有限公司</w:t>
            </w:r>
          </w:p>
        </w:tc>
        <w:tc>
          <w:tcPr>
            <w:tcW w:w="1319"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w:t>
            </w:r>
          </w:p>
        </w:tc>
        <w:tc>
          <w:tcPr>
            <w:tcW w:w="1080" w:type="dxa"/>
            <w:vAlign w:val="center"/>
          </w:tcPr>
          <w:p w:rsidR="00A242DE" w:rsidRDefault="00292641">
            <w:pPr>
              <w:jc w:val="right"/>
            </w:pPr>
            <w:r>
              <w:rPr>
                <w:sz w:val="24"/>
              </w:rPr>
              <w:t>4,150,000,000.00</w:t>
            </w:r>
          </w:p>
        </w:tc>
        <w:tc>
          <w:tcPr>
            <w:tcW w:w="1260" w:type="dxa"/>
            <w:vAlign w:val="center"/>
          </w:tcPr>
          <w:p w:rsidR="00A242DE" w:rsidRDefault="00292641">
            <w:pPr>
              <w:jc w:val="right"/>
            </w:pPr>
            <w:r>
              <w:rPr>
                <w:sz w:val="24"/>
              </w:rPr>
              <w:t>100.00%</w:t>
            </w:r>
          </w:p>
        </w:tc>
        <w:tc>
          <w:tcPr>
            <w:tcW w:w="1260" w:type="dxa"/>
            <w:vAlign w:val="center"/>
          </w:tcPr>
          <w:p w:rsidR="00A242DE" w:rsidRDefault="00292641">
            <w:pPr>
              <w:jc w:val="right"/>
            </w:pPr>
            <w:r>
              <w:rPr>
                <w:sz w:val="24"/>
              </w:rPr>
              <w:t>-</w:t>
            </w:r>
          </w:p>
        </w:tc>
        <w:tc>
          <w:tcPr>
            <w:tcW w:w="1440" w:type="dxa"/>
            <w:vAlign w:val="center"/>
          </w:tcPr>
          <w:p w:rsidR="00A242DE" w:rsidRDefault="00292641">
            <w:pPr>
              <w:jc w:val="right"/>
            </w:pPr>
            <w:r>
              <w:rPr>
                <w:sz w:val="24"/>
              </w:rPr>
              <w:t>-</w:t>
            </w:r>
          </w:p>
        </w:tc>
      </w:tr>
      <w:tr w:rsidR="0066651E">
        <w:tc>
          <w:tcPr>
            <w:tcW w:w="1559" w:type="dxa"/>
            <w:vAlign w:val="center"/>
          </w:tcPr>
          <w:p w:rsidR="0066651E" w:rsidRDefault="0066651E" w:rsidP="0066651E">
            <w:pPr>
              <w:jc w:val="center"/>
            </w:pPr>
            <w:bookmarkStart w:id="97" w:name="_GoBack" w:colFirst="1" w:colLast="6"/>
            <w:r>
              <w:rPr>
                <w:sz w:val="24"/>
              </w:rPr>
              <w:t>国金证券股份有限公司</w:t>
            </w:r>
          </w:p>
        </w:tc>
        <w:tc>
          <w:tcPr>
            <w:tcW w:w="1319" w:type="dxa"/>
            <w:vAlign w:val="center"/>
          </w:tcPr>
          <w:p w:rsidR="0066651E" w:rsidRDefault="0066651E" w:rsidP="0066651E">
            <w:pPr>
              <w:jc w:val="right"/>
            </w:pPr>
            <w:r>
              <w:rPr>
                <w:sz w:val="24"/>
              </w:rPr>
              <w:t>-</w:t>
            </w:r>
          </w:p>
        </w:tc>
        <w:tc>
          <w:tcPr>
            <w:tcW w:w="1080" w:type="dxa"/>
            <w:vAlign w:val="center"/>
          </w:tcPr>
          <w:p w:rsidR="0066651E" w:rsidRDefault="0066651E" w:rsidP="0066651E">
            <w:pPr>
              <w:jc w:val="right"/>
            </w:pPr>
            <w:r>
              <w:rPr>
                <w:sz w:val="24"/>
              </w:rPr>
              <w:t>-</w:t>
            </w:r>
          </w:p>
        </w:tc>
        <w:tc>
          <w:tcPr>
            <w:tcW w:w="1080" w:type="dxa"/>
            <w:vAlign w:val="center"/>
          </w:tcPr>
          <w:p w:rsidR="0066651E" w:rsidRDefault="0066651E" w:rsidP="0066651E">
            <w:pPr>
              <w:jc w:val="right"/>
            </w:pPr>
            <w:r>
              <w:rPr>
                <w:sz w:val="24"/>
              </w:rPr>
              <w:t>-</w:t>
            </w:r>
          </w:p>
        </w:tc>
        <w:tc>
          <w:tcPr>
            <w:tcW w:w="1260" w:type="dxa"/>
            <w:vAlign w:val="center"/>
          </w:tcPr>
          <w:p w:rsidR="0066651E" w:rsidRDefault="0066651E" w:rsidP="0066651E">
            <w:pPr>
              <w:jc w:val="right"/>
            </w:pPr>
            <w:r>
              <w:rPr>
                <w:sz w:val="24"/>
              </w:rPr>
              <w:t>-</w:t>
            </w:r>
          </w:p>
        </w:tc>
        <w:tc>
          <w:tcPr>
            <w:tcW w:w="1260" w:type="dxa"/>
            <w:vAlign w:val="center"/>
          </w:tcPr>
          <w:p w:rsidR="0066651E" w:rsidRDefault="0066651E" w:rsidP="0066651E">
            <w:pPr>
              <w:jc w:val="right"/>
            </w:pPr>
            <w:r>
              <w:rPr>
                <w:sz w:val="24"/>
              </w:rPr>
              <w:t>-</w:t>
            </w:r>
          </w:p>
        </w:tc>
        <w:tc>
          <w:tcPr>
            <w:tcW w:w="1440" w:type="dxa"/>
            <w:vAlign w:val="center"/>
          </w:tcPr>
          <w:p w:rsidR="0066651E" w:rsidRDefault="0066651E" w:rsidP="0066651E">
            <w:pPr>
              <w:jc w:val="right"/>
            </w:pPr>
            <w:r>
              <w:rPr>
                <w:sz w:val="24"/>
              </w:rPr>
              <w:t>-</w:t>
            </w:r>
          </w:p>
        </w:tc>
      </w:tr>
      <w:tr w:rsidR="0066651E">
        <w:tc>
          <w:tcPr>
            <w:tcW w:w="1559" w:type="dxa"/>
            <w:vAlign w:val="center"/>
          </w:tcPr>
          <w:p w:rsidR="0066651E" w:rsidRDefault="0066651E" w:rsidP="0066651E">
            <w:pPr>
              <w:jc w:val="center"/>
            </w:pPr>
            <w:r>
              <w:rPr>
                <w:sz w:val="24"/>
              </w:rPr>
              <w:t>中泰证券股份有限公司</w:t>
            </w:r>
          </w:p>
        </w:tc>
        <w:tc>
          <w:tcPr>
            <w:tcW w:w="1319" w:type="dxa"/>
            <w:vAlign w:val="center"/>
          </w:tcPr>
          <w:p w:rsidR="0066651E" w:rsidRDefault="0066651E" w:rsidP="0066651E">
            <w:pPr>
              <w:jc w:val="right"/>
            </w:pPr>
            <w:r>
              <w:rPr>
                <w:sz w:val="24"/>
              </w:rPr>
              <w:t>-</w:t>
            </w:r>
          </w:p>
        </w:tc>
        <w:tc>
          <w:tcPr>
            <w:tcW w:w="1080" w:type="dxa"/>
            <w:vAlign w:val="center"/>
          </w:tcPr>
          <w:p w:rsidR="0066651E" w:rsidRDefault="0066651E" w:rsidP="0066651E">
            <w:pPr>
              <w:jc w:val="right"/>
            </w:pPr>
            <w:r>
              <w:rPr>
                <w:sz w:val="24"/>
              </w:rPr>
              <w:t>-</w:t>
            </w:r>
          </w:p>
        </w:tc>
        <w:tc>
          <w:tcPr>
            <w:tcW w:w="1080" w:type="dxa"/>
            <w:vAlign w:val="center"/>
          </w:tcPr>
          <w:p w:rsidR="0066651E" w:rsidRDefault="0066651E" w:rsidP="0066651E">
            <w:pPr>
              <w:jc w:val="right"/>
            </w:pPr>
            <w:r>
              <w:rPr>
                <w:sz w:val="24"/>
              </w:rPr>
              <w:t>-</w:t>
            </w:r>
          </w:p>
        </w:tc>
        <w:tc>
          <w:tcPr>
            <w:tcW w:w="1260" w:type="dxa"/>
            <w:vAlign w:val="center"/>
          </w:tcPr>
          <w:p w:rsidR="0066651E" w:rsidRDefault="0066651E" w:rsidP="0066651E">
            <w:pPr>
              <w:jc w:val="right"/>
            </w:pPr>
            <w:r>
              <w:rPr>
                <w:sz w:val="24"/>
              </w:rPr>
              <w:t>-</w:t>
            </w:r>
          </w:p>
        </w:tc>
        <w:tc>
          <w:tcPr>
            <w:tcW w:w="1260" w:type="dxa"/>
            <w:vAlign w:val="center"/>
          </w:tcPr>
          <w:p w:rsidR="0066651E" w:rsidRDefault="0066651E" w:rsidP="0066651E">
            <w:pPr>
              <w:jc w:val="right"/>
            </w:pPr>
            <w:r>
              <w:rPr>
                <w:sz w:val="24"/>
              </w:rPr>
              <w:t>-</w:t>
            </w:r>
          </w:p>
        </w:tc>
        <w:tc>
          <w:tcPr>
            <w:tcW w:w="1440" w:type="dxa"/>
            <w:vAlign w:val="center"/>
          </w:tcPr>
          <w:p w:rsidR="0066651E" w:rsidRDefault="0066651E" w:rsidP="0066651E">
            <w:pPr>
              <w:jc w:val="right"/>
            </w:pPr>
            <w:r>
              <w:rPr>
                <w:sz w:val="24"/>
              </w:rPr>
              <w:t>-</w:t>
            </w:r>
          </w:p>
        </w:tc>
      </w:tr>
    </w:tbl>
    <w:bookmarkEnd w:id="97"/>
    <w:p w:rsidR="00A242DE" w:rsidRDefault="0029264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242DE" w:rsidRDefault="0029264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242DE" w:rsidRDefault="00292641">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lastRenderedPageBreak/>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242DE">
        <w:tc>
          <w:tcPr>
            <w:tcW w:w="993" w:type="dxa"/>
            <w:vMerge w:val="restart"/>
          </w:tcPr>
          <w:p w:rsidR="00A242DE" w:rsidRDefault="00A242DE"/>
          <w:p w:rsidR="00A242DE" w:rsidRDefault="00292641">
            <w:r>
              <w:rPr>
                <w:rFonts w:ascii="宋体" w:hAnsi="宋体" w:hint="eastAsia"/>
                <w:bCs/>
                <w:color w:val="000000"/>
                <w:kern w:val="0"/>
                <w:szCs w:val="21"/>
              </w:rPr>
              <w:t>机构</w:t>
            </w:r>
          </w:p>
        </w:tc>
        <w:tc>
          <w:tcPr>
            <w:tcW w:w="992" w:type="dxa"/>
            <w:vAlign w:val="center"/>
          </w:tcPr>
          <w:p w:rsidR="00A242DE" w:rsidRDefault="00292641">
            <w:pPr>
              <w:jc w:val="center"/>
            </w:pPr>
            <w:r>
              <w:rPr>
                <w:rFonts w:ascii="宋体" w:hAnsi="宋体"/>
                <w:color w:val="000000"/>
                <w:kern w:val="0"/>
                <w:szCs w:val="21"/>
              </w:rPr>
              <w:t>1</w:t>
            </w:r>
          </w:p>
        </w:tc>
        <w:tc>
          <w:tcPr>
            <w:tcW w:w="1843" w:type="dxa"/>
            <w:vAlign w:val="center"/>
          </w:tcPr>
          <w:p w:rsidR="00A242DE" w:rsidRDefault="00292641">
            <w:pPr>
              <w:jc w:val="center"/>
            </w:pPr>
            <w:r>
              <w:rPr>
                <w:rFonts w:ascii="宋体" w:hAnsi="宋体"/>
                <w:color w:val="000000"/>
                <w:kern w:val="0"/>
                <w:szCs w:val="21"/>
              </w:rPr>
              <w:t>2018/1/1-2018/6/30</w:t>
            </w:r>
          </w:p>
        </w:tc>
        <w:tc>
          <w:tcPr>
            <w:tcW w:w="851" w:type="dxa"/>
            <w:vAlign w:val="center"/>
          </w:tcPr>
          <w:p w:rsidR="00A242DE" w:rsidRDefault="00292641">
            <w:pPr>
              <w:jc w:val="center"/>
            </w:pPr>
            <w:r>
              <w:rPr>
                <w:rFonts w:ascii="宋体" w:hAnsi="宋体"/>
                <w:color w:val="000000"/>
                <w:kern w:val="0"/>
                <w:szCs w:val="21"/>
              </w:rPr>
              <w:t>-</w:t>
            </w:r>
          </w:p>
        </w:tc>
        <w:tc>
          <w:tcPr>
            <w:tcW w:w="850" w:type="dxa"/>
            <w:vAlign w:val="center"/>
          </w:tcPr>
          <w:p w:rsidR="00A242DE" w:rsidRDefault="00292641">
            <w:pPr>
              <w:jc w:val="center"/>
            </w:pPr>
            <w:r>
              <w:rPr>
                <w:rFonts w:ascii="宋体" w:hAnsi="宋体"/>
                <w:color w:val="000000"/>
                <w:kern w:val="0"/>
                <w:szCs w:val="21"/>
              </w:rPr>
              <w:t>2,909,539,566.30</w:t>
            </w:r>
          </w:p>
        </w:tc>
        <w:tc>
          <w:tcPr>
            <w:tcW w:w="1134" w:type="dxa"/>
            <w:vAlign w:val="center"/>
          </w:tcPr>
          <w:p w:rsidR="00A242DE" w:rsidRDefault="00292641">
            <w:pPr>
              <w:jc w:val="center"/>
            </w:pPr>
            <w:r>
              <w:rPr>
                <w:rFonts w:ascii="宋体" w:hAnsi="宋体"/>
                <w:color w:val="000000"/>
                <w:kern w:val="0"/>
                <w:szCs w:val="21"/>
              </w:rPr>
              <w:t>2,508,352,574.04</w:t>
            </w:r>
          </w:p>
        </w:tc>
        <w:tc>
          <w:tcPr>
            <w:tcW w:w="1419" w:type="dxa"/>
            <w:vAlign w:val="center"/>
          </w:tcPr>
          <w:p w:rsidR="00A242DE" w:rsidRDefault="00292641">
            <w:pPr>
              <w:jc w:val="center"/>
            </w:pPr>
            <w:r>
              <w:rPr>
                <w:rFonts w:ascii="宋体" w:hAnsi="宋体"/>
                <w:color w:val="000000"/>
                <w:kern w:val="0"/>
                <w:szCs w:val="21"/>
              </w:rPr>
              <w:t>401,186,992.26</w:t>
            </w:r>
          </w:p>
        </w:tc>
        <w:tc>
          <w:tcPr>
            <w:tcW w:w="1130" w:type="dxa"/>
            <w:vAlign w:val="center"/>
          </w:tcPr>
          <w:p w:rsidR="00A242DE" w:rsidRDefault="00292641">
            <w:pPr>
              <w:jc w:val="center"/>
            </w:pPr>
            <w:r>
              <w:rPr>
                <w:rFonts w:ascii="宋体" w:hAnsi="宋体"/>
                <w:color w:val="000000"/>
                <w:kern w:val="0"/>
                <w:szCs w:val="21"/>
              </w:rPr>
              <w:t>11.79%</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A242DE" w:rsidRDefault="00292641">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5D3C9D" w:rsidRPr="004F0662" w:rsidRDefault="005D3C9D" w:rsidP="00583BFE">
            <w:pPr>
              <w:autoSpaceDE w:val="0"/>
              <w:autoSpaceDN w:val="0"/>
              <w:adjustRightInd w:val="0"/>
              <w:jc w:val="left"/>
              <w:rPr>
                <w:rFonts w:ascii="宋体" w:hAnsi="宋体"/>
                <w:kern w:val="0"/>
                <w:szCs w:val="21"/>
              </w:rPr>
            </w:pP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A242DE" w:rsidRDefault="00292641">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242DE" w:rsidRDefault="00292641">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Pr>
          <w:rFonts w:ascii="宋体" w:hAnsi="宋体"/>
          <w:color w:val="000000"/>
          <w:szCs w:val="21"/>
        </w:rPr>
        <w:t>基金基金</w:t>
      </w:r>
      <w:proofErr w:type="gramEnd"/>
      <w:r>
        <w:rPr>
          <w:rFonts w:ascii="宋体" w:hAnsi="宋体"/>
          <w:color w:val="000000"/>
          <w:szCs w:val="21"/>
        </w:rPr>
        <w:t>合同等法律文件作相应修改。欲知详情请查阅本基金管理人于2018年3月22日发布的有关公告及法律文件。</w:t>
      </w:r>
    </w:p>
    <w:p w:rsidR="005D3C9D" w:rsidRPr="004F0662" w:rsidRDefault="005D3C9D" w:rsidP="005D3C9D">
      <w:pPr>
        <w:spacing w:line="360" w:lineRule="auto"/>
        <w:ind w:firstLineChars="200" w:firstLine="420"/>
        <w:rPr>
          <w:rFonts w:ascii="宋体" w:hAnsi="宋体"/>
          <w:color w:val="000000"/>
          <w:szCs w:val="21"/>
        </w:rPr>
      </w:pPr>
    </w:p>
    <w:p w:rsidR="009A5564" w:rsidRPr="0061644B" w:rsidRDefault="009A5564" w:rsidP="00792A69">
      <w:pPr>
        <w:spacing w:before="29" w:line="288" w:lineRule="auto"/>
        <w:rPr>
          <w:sz w:val="24"/>
        </w:rPr>
      </w:pPr>
    </w:p>
    <w:sectPr w:rsidR="009A5564"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36" w:rsidRDefault="00EC4336">
      <w:r>
        <w:separator/>
      </w:r>
    </w:p>
  </w:endnote>
  <w:endnote w:type="continuationSeparator" w:id="0">
    <w:p w:rsidR="00EC4336" w:rsidRDefault="00EC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D02DC3"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66651E">
      <w:rPr>
        <w:noProof/>
        <w:kern w:val="0"/>
        <w:szCs w:val="21"/>
      </w:rPr>
      <w:t>33</w:t>
    </w:r>
    <w:r w:rsidR="00D02DC3">
      <w:rPr>
        <w:kern w:val="0"/>
        <w:szCs w:val="21"/>
      </w:rPr>
      <w:fldChar w:fldCharType="end"/>
    </w:r>
    <w:proofErr w:type="gramStart"/>
    <w:r>
      <w:rPr>
        <w:rFonts w:hint="eastAsia"/>
        <w:kern w:val="0"/>
        <w:szCs w:val="21"/>
      </w:rPr>
      <w:t>页共</w:t>
    </w:r>
    <w:proofErr w:type="gramEnd"/>
    <w:r w:rsidR="00D02DC3">
      <w:rPr>
        <w:kern w:val="0"/>
        <w:szCs w:val="21"/>
      </w:rPr>
      <w:fldChar w:fldCharType="begin"/>
    </w:r>
    <w:r>
      <w:rPr>
        <w:kern w:val="0"/>
        <w:szCs w:val="21"/>
      </w:rPr>
      <w:instrText xml:space="preserve"> NUMPAGES </w:instrText>
    </w:r>
    <w:r w:rsidR="00D02DC3">
      <w:rPr>
        <w:kern w:val="0"/>
        <w:szCs w:val="21"/>
      </w:rPr>
      <w:fldChar w:fldCharType="separate"/>
    </w:r>
    <w:r w:rsidR="0066651E">
      <w:rPr>
        <w:noProof/>
        <w:kern w:val="0"/>
        <w:szCs w:val="21"/>
      </w:rPr>
      <w:t>34</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36" w:rsidRDefault="00EC4336">
      <w:r>
        <w:separator/>
      </w:r>
    </w:p>
  </w:footnote>
  <w:footnote w:type="continuationSeparator" w:id="0">
    <w:p w:rsidR="00EC4336" w:rsidRDefault="00EC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交银施罗德现金宝货币市场基金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11DD"/>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2641"/>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2D29"/>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51E"/>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5AD"/>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2DE"/>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9BE"/>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087D-F7E7-4755-BD45-ABC018D3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34</Pages>
  <Words>3558</Words>
  <Characters>20287</Characters>
  <Application>Microsoft Office Word</Application>
  <DocSecurity>0</DocSecurity>
  <Lines>169</Lines>
  <Paragraphs>47</Paragraphs>
  <ScaleCrop>false</ScaleCrop>
  <Company/>
  <LinksUpToDate>false</LinksUpToDate>
  <CharactersWithSpaces>23798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曹国良</cp:lastModifiedBy>
  <cp:revision>16</cp:revision>
  <cp:lastPrinted>2007-07-19T00:46:00Z</cp:lastPrinted>
  <dcterms:created xsi:type="dcterms:W3CDTF">2017-08-23T01:30:00Z</dcterms:created>
  <dcterms:modified xsi:type="dcterms:W3CDTF">2018-08-23T06:16:00Z</dcterms:modified>
</cp:coreProperties>
</file>