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842C4" w:rsidRDefault="000C562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487,315,134.82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C562E" w:rsidRPr="00414345" w:rsidTr="000C562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C562E" w:rsidRPr="00414345" w:rsidTr="000C562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11,784,282.33</w:t>
            </w:r>
          </w:p>
        </w:tc>
      </w:tr>
      <w:tr w:rsidR="000C562E" w:rsidRPr="00414345" w:rsidTr="000C562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541,483.32</w:t>
            </w:r>
          </w:p>
        </w:tc>
      </w:tr>
      <w:tr w:rsidR="000C562E" w:rsidRPr="00414345" w:rsidTr="000C562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0.0011</w:t>
            </w:r>
          </w:p>
        </w:tc>
      </w:tr>
      <w:tr w:rsidR="000C562E" w:rsidRPr="00414345" w:rsidTr="000C562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627,699,020.78</w:t>
            </w:r>
          </w:p>
        </w:tc>
      </w:tr>
      <w:tr w:rsidR="000C562E" w:rsidRPr="00414345" w:rsidTr="000C562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1.2881</w:t>
            </w:r>
          </w:p>
        </w:tc>
      </w:tr>
    </w:tbl>
    <w:p w:rsidR="00A842C4" w:rsidRDefault="000C56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0C562E">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842C4" w:rsidTr="000C562E">
        <w:trPr>
          <w:jc w:val="center"/>
        </w:trPr>
        <w:tc>
          <w:tcPr>
            <w:tcW w:w="1701" w:type="dxa"/>
            <w:vAlign w:val="center"/>
          </w:tcPr>
          <w:p w:rsidR="00A842C4" w:rsidRDefault="000C562E">
            <w:pPr>
              <w:jc w:val="left"/>
            </w:pPr>
            <w:r>
              <w:rPr>
                <w:color w:val="000000"/>
                <w:sz w:val="24"/>
                <w:szCs w:val="24"/>
              </w:rPr>
              <w:t>过去三个月</w:t>
            </w:r>
          </w:p>
        </w:tc>
        <w:tc>
          <w:tcPr>
            <w:tcW w:w="1045" w:type="dxa"/>
            <w:vAlign w:val="center"/>
          </w:tcPr>
          <w:p w:rsidR="00A842C4" w:rsidRDefault="000C562E">
            <w:pPr>
              <w:jc w:val="center"/>
            </w:pPr>
            <w:r>
              <w:rPr>
                <w:color w:val="000000"/>
                <w:sz w:val="24"/>
                <w:szCs w:val="24"/>
              </w:rPr>
              <w:t>0.33%</w:t>
            </w:r>
          </w:p>
        </w:tc>
        <w:tc>
          <w:tcPr>
            <w:tcW w:w="1344" w:type="dxa"/>
            <w:vAlign w:val="center"/>
          </w:tcPr>
          <w:p w:rsidR="00A842C4" w:rsidRDefault="000C562E">
            <w:pPr>
              <w:jc w:val="center"/>
            </w:pPr>
            <w:r>
              <w:rPr>
                <w:color w:val="000000"/>
                <w:sz w:val="24"/>
                <w:szCs w:val="24"/>
              </w:rPr>
              <w:t>1.29%</w:t>
            </w:r>
          </w:p>
        </w:tc>
        <w:tc>
          <w:tcPr>
            <w:tcW w:w="1194" w:type="dxa"/>
            <w:vAlign w:val="center"/>
          </w:tcPr>
          <w:p w:rsidR="00A842C4" w:rsidRDefault="000C562E">
            <w:pPr>
              <w:jc w:val="center"/>
            </w:pPr>
            <w:r>
              <w:rPr>
                <w:color w:val="000000"/>
                <w:sz w:val="24"/>
                <w:szCs w:val="24"/>
              </w:rPr>
              <w:t>-0.22%</w:t>
            </w:r>
          </w:p>
        </w:tc>
        <w:tc>
          <w:tcPr>
            <w:tcW w:w="1492" w:type="dxa"/>
            <w:vAlign w:val="center"/>
          </w:tcPr>
          <w:p w:rsidR="00A842C4" w:rsidRDefault="000C562E">
            <w:pPr>
              <w:jc w:val="center"/>
            </w:pPr>
            <w:r>
              <w:rPr>
                <w:color w:val="000000"/>
                <w:sz w:val="24"/>
                <w:szCs w:val="24"/>
              </w:rPr>
              <w:t>1.38%</w:t>
            </w:r>
          </w:p>
        </w:tc>
        <w:tc>
          <w:tcPr>
            <w:tcW w:w="1194" w:type="dxa"/>
            <w:vAlign w:val="center"/>
          </w:tcPr>
          <w:p w:rsidR="00A842C4" w:rsidRDefault="000C562E">
            <w:pPr>
              <w:jc w:val="center"/>
            </w:pPr>
            <w:r>
              <w:rPr>
                <w:color w:val="000000"/>
                <w:sz w:val="24"/>
                <w:szCs w:val="24"/>
              </w:rPr>
              <w:t>0.55%</w:t>
            </w:r>
          </w:p>
        </w:tc>
        <w:tc>
          <w:tcPr>
            <w:tcW w:w="1023" w:type="dxa"/>
            <w:vAlign w:val="center"/>
          </w:tcPr>
          <w:p w:rsidR="00A842C4" w:rsidRDefault="000C562E">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23</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842C4">
        <w:trPr>
          <w:jc w:val="center"/>
        </w:trPr>
        <w:tc>
          <w:tcPr>
            <w:tcW w:w="846" w:type="dxa"/>
            <w:vAlign w:val="center"/>
          </w:tcPr>
          <w:p w:rsidR="00A842C4" w:rsidRDefault="000C562E">
            <w:pPr>
              <w:jc w:val="center"/>
            </w:pPr>
            <w:r>
              <w:rPr>
                <w:color w:val="000000"/>
                <w:sz w:val="24"/>
                <w:szCs w:val="24"/>
              </w:rPr>
              <w:t>盖婷婷</w:t>
            </w:r>
          </w:p>
        </w:tc>
        <w:tc>
          <w:tcPr>
            <w:tcW w:w="845" w:type="dxa"/>
            <w:vAlign w:val="center"/>
          </w:tcPr>
          <w:p w:rsidR="00A842C4" w:rsidRDefault="000C562E">
            <w:pPr>
              <w:jc w:val="center"/>
            </w:pPr>
            <w:r>
              <w:rPr>
                <w:color w:val="000000"/>
                <w:sz w:val="24"/>
                <w:szCs w:val="24"/>
              </w:rPr>
              <w:t>交银消费新驱动股票、交银医药创新股票、交银恒益灵活配置混合的基金</w:t>
            </w:r>
            <w:r>
              <w:rPr>
                <w:color w:val="000000"/>
                <w:sz w:val="24"/>
                <w:szCs w:val="24"/>
              </w:rPr>
              <w:lastRenderedPageBreak/>
              <w:t>经理</w:t>
            </w:r>
          </w:p>
        </w:tc>
        <w:tc>
          <w:tcPr>
            <w:tcW w:w="1549" w:type="dxa"/>
            <w:vAlign w:val="center"/>
          </w:tcPr>
          <w:p w:rsidR="00A842C4" w:rsidRDefault="000C562E">
            <w:pPr>
              <w:jc w:val="center"/>
            </w:pPr>
            <w:r>
              <w:rPr>
                <w:color w:val="000000"/>
                <w:sz w:val="24"/>
                <w:szCs w:val="24"/>
              </w:rPr>
              <w:lastRenderedPageBreak/>
              <w:t>2017-03-23</w:t>
            </w:r>
          </w:p>
        </w:tc>
        <w:tc>
          <w:tcPr>
            <w:tcW w:w="1548" w:type="dxa"/>
            <w:vAlign w:val="center"/>
          </w:tcPr>
          <w:p w:rsidR="00A842C4" w:rsidRDefault="000C562E">
            <w:pPr>
              <w:jc w:val="center"/>
            </w:pPr>
            <w:r>
              <w:rPr>
                <w:color w:val="000000"/>
                <w:sz w:val="24"/>
                <w:szCs w:val="24"/>
              </w:rPr>
              <w:t>-</w:t>
            </w:r>
          </w:p>
        </w:tc>
        <w:tc>
          <w:tcPr>
            <w:tcW w:w="1407" w:type="dxa"/>
            <w:vAlign w:val="center"/>
          </w:tcPr>
          <w:p w:rsidR="00A842C4" w:rsidRDefault="000C562E">
            <w:pPr>
              <w:jc w:val="center"/>
            </w:pPr>
            <w:r>
              <w:rPr>
                <w:color w:val="000000"/>
                <w:sz w:val="24"/>
                <w:szCs w:val="24"/>
              </w:rPr>
              <w:t>12</w:t>
            </w:r>
            <w:r>
              <w:rPr>
                <w:color w:val="000000"/>
                <w:sz w:val="24"/>
                <w:szCs w:val="24"/>
              </w:rPr>
              <w:t>年</w:t>
            </w:r>
          </w:p>
        </w:tc>
        <w:tc>
          <w:tcPr>
            <w:tcW w:w="2673" w:type="dxa"/>
            <w:vAlign w:val="center"/>
          </w:tcPr>
          <w:p w:rsidR="00A842C4" w:rsidRDefault="000C562E">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842C4" w:rsidRDefault="000C562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842C4" w:rsidRDefault="000C562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842C4" w:rsidRDefault="000C562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医药行业在二季度上旬表现较好，六月份随着市场的调整而调整。由于受到市场对于现金流的担心，本基金配置较多的医药商业板块表现较差。医药行业中表现比较分化，创新药、疫苗行业估值偏高，医药商业估值较低，随着悲观预期的不断消化，医药商业</w:t>
      </w:r>
      <w:r w:rsidRPr="00414345">
        <w:rPr>
          <w:color w:val="000000"/>
          <w:sz w:val="24"/>
          <w:szCs w:val="24"/>
        </w:rPr>
        <w:lastRenderedPageBreak/>
        <w:t>后续有望实现估值修复。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06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1.2881</w:t>
      </w:r>
      <w:r w:rsidRPr="00414345">
        <w:rPr>
          <w:color w:val="000000"/>
          <w:sz w:val="24"/>
          <w:szCs w:val="24"/>
        </w:rPr>
        <w:t>元，本报告期份额净值增长率为</w:t>
      </w:r>
      <w:r w:rsidRPr="00414345">
        <w:rPr>
          <w:color w:val="000000"/>
          <w:sz w:val="24"/>
          <w:szCs w:val="24"/>
        </w:rPr>
        <w:t>0.33%</w:t>
      </w:r>
      <w:r w:rsidRPr="00414345">
        <w:rPr>
          <w:color w:val="000000"/>
          <w:sz w:val="24"/>
          <w:szCs w:val="24"/>
        </w:rPr>
        <w:t>，同期业绩比较基准增长率为</w:t>
      </w:r>
      <w:r w:rsidRPr="00414345">
        <w:rPr>
          <w:color w:val="000000"/>
          <w:sz w:val="24"/>
          <w:szCs w:val="24"/>
        </w:rPr>
        <w:t>-0.22%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517,984,254.24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517,984,254.24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117,128,007.70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1,214,890.59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636,327,152.53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216,613,787.44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220,646,552.73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20,185,180.89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35,012,008.40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25,373,938.79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517,984,254.24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82.52</w:t>
            </w:r>
          </w:p>
        </w:tc>
      </w:tr>
    </w:tbl>
    <w:p w:rsidR="00893657" w:rsidRDefault="0089365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842C4">
        <w:trPr>
          <w:jc w:val="center"/>
        </w:trPr>
        <w:tc>
          <w:tcPr>
            <w:tcW w:w="855" w:type="dxa"/>
            <w:vAlign w:val="center"/>
          </w:tcPr>
          <w:p w:rsidR="00A842C4" w:rsidRDefault="000C562E">
            <w:pPr>
              <w:jc w:val="center"/>
            </w:pPr>
            <w:r>
              <w:rPr>
                <w:color w:val="000000"/>
                <w:sz w:val="24"/>
                <w:szCs w:val="24"/>
              </w:rPr>
              <w:lastRenderedPageBreak/>
              <w:t>1</w:t>
            </w:r>
          </w:p>
        </w:tc>
        <w:tc>
          <w:tcPr>
            <w:tcW w:w="1334" w:type="dxa"/>
            <w:vAlign w:val="center"/>
          </w:tcPr>
          <w:p w:rsidR="00A842C4" w:rsidRDefault="000C562E">
            <w:pPr>
              <w:jc w:val="center"/>
            </w:pPr>
            <w:r>
              <w:rPr>
                <w:color w:val="000000"/>
                <w:sz w:val="24"/>
                <w:szCs w:val="24"/>
              </w:rPr>
              <w:t>601607</w:t>
            </w:r>
          </w:p>
        </w:tc>
        <w:tc>
          <w:tcPr>
            <w:tcW w:w="1777" w:type="dxa"/>
            <w:vAlign w:val="center"/>
          </w:tcPr>
          <w:p w:rsidR="00A842C4" w:rsidRDefault="000C562E">
            <w:pPr>
              <w:jc w:val="center"/>
            </w:pPr>
            <w:r>
              <w:rPr>
                <w:color w:val="000000"/>
                <w:sz w:val="24"/>
                <w:szCs w:val="24"/>
              </w:rPr>
              <w:t>上海医药</w:t>
            </w:r>
          </w:p>
        </w:tc>
        <w:tc>
          <w:tcPr>
            <w:tcW w:w="1334" w:type="dxa"/>
            <w:vAlign w:val="center"/>
          </w:tcPr>
          <w:p w:rsidR="00A842C4" w:rsidRDefault="000C562E">
            <w:pPr>
              <w:jc w:val="right"/>
            </w:pPr>
            <w:r>
              <w:rPr>
                <w:color w:val="000000"/>
                <w:sz w:val="24"/>
                <w:szCs w:val="24"/>
              </w:rPr>
              <w:t>2,439,537</w:t>
            </w:r>
          </w:p>
        </w:tc>
        <w:tc>
          <w:tcPr>
            <w:tcW w:w="1924" w:type="dxa"/>
            <w:vAlign w:val="center"/>
          </w:tcPr>
          <w:p w:rsidR="00A842C4" w:rsidRDefault="000C562E">
            <w:pPr>
              <w:jc w:val="right"/>
            </w:pPr>
            <w:r>
              <w:rPr>
                <w:color w:val="000000"/>
                <w:sz w:val="24"/>
                <w:szCs w:val="24"/>
              </w:rPr>
              <w:t>58,304,934.30</w:t>
            </w:r>
          </w:p>
        </w:tc>
        <w:tc>
          <w:tcPr>
            <w:tcW w:w="1644" w:type="dxa"/>
            <w:vAlign w:val="center"/>
          </w:tcPr>
          <w:p w:rsidR="00A842C4" w:rsidRDefault="000C562E">
            <w:pPr>
              <w:jc w:val="right"/>
            </w:pPr>
            <w:r>
              <w:rPr>
                <w:color w:val="000000"/>
                <w:sz w:val="24"/>
                <w:szCs w:val="24"/>
              </w:rPr>
              <w:t>9.29</w:t>
            </w:r>
          </w:p>
        </w:tc>
      </w:tr>
      <w:tr w:rsidR="00A842C4">
        <w:trPr>
          <w:jc w:val="center"/>
        </w:trPr>
        <w:tc>
          <w:tcPr>
            <w:tcW w:w="855" w:type="dxa"/>
            <w:vAlign w:val="center"/>
          </w:tcPr>
          <w:p w:rsidR="00A842C4" w:rsidRDefault="000C562E">
            <w:pPr>
              <w:jc w:val="center"/>
            </w:pPr>
            <w:r>
              <w:rPr>
                <w:color w:val="000000"/>
                <w:sz w:val="24"/>
                <w:szCs w:val="24"/>
              </w:rPr>
              <w:t>2</w:t>
            </w:r>
          </w:p>
        </w:tc>
        <w:tc>
          <w:tcPr>
            <w:tcW w:w="1334" w:type="dxa"/>
            <w:vAlign w:val="center"/>
          </w:tcPr>
          <w:p w:rsidR="00A842C4" w:rsidRDefault="000C562E">
            <w:pPr>
              <w:jc w:val="center"/>
            </w:pPr>
            <w:r>
              <w:rPr>
                <w:color w:val="000000"/>
                <w:sz w:val="24"/>
                <w:szCs w:val="24"/>
              </w:rPr>
              <w:t>603108</w:t>
            </w:r>
          </w:p>
        </w:tc>
        <w:tc>
          <w:tcPr>
            <w:tcW w:w="1777" w:type="dxa"/>
            <w:vAlign w:val="center"/>
          </w:tcPr>
          <w:p w:rsidR="00A842C4" w:rsidRDefault="000C562E">
            <w:pPr>
              <w:jc w:val="center"/>
            </w:pPr>
            <w:r>
              <w:rPr>
                <w:color w:val="000000"/>
                <w:sz w:val="24"/>
                <w:szCs w:val="24"/>
              </w:rPr>
              <w:t>润达医疗</w:t>
            </w:r>
          </w:p>
        </w:tc>
        <w:tc>
          <w:tcPr>
            <w:tcW w:w="1334" w:type="dxa"/>
            <w:vAlign w:val="center"/>
          </w:tcPr>
          <w:p w:rsidR="00A842C4" w:rsidRDefault="000C562E">
            <w:pPr>
              <w:jc w:val="right"/>
            </w:pPr>
            <w:r>
              <w:rPr>
                <w:color w:val="000000"/>
                <w:sz w:val="24"/>
                <w:szCs w:val="24"/>
              </w:rPr>
              <w:t>4,425,092</w:t>
            </w:r>
          </w:p>
        </w:tc>
        <w:tc>
          <w:tcPr>
            <w:tcW w:w="1924" w:type="dxa"/>
            <w:vAlign w:val="center"/>
          </w:tcPr>
          <w:p w:rsidR="00A842C4" w:rsidRDefault="000C562E">
            <w:pPr>
              <w:jc w:val="right"/>
            </w:pPr>
            <w:r>
              <w:rPr>
                <w:color w:val="000000"/>
                <w:sz w:val="24"/>
                <w:szCs w:val="24"/>
              </w:rPr>
              <w:t>49,649,532.24</w:t>
            </w:r>
          </w:p>
        </w:tc>
        <w:tc>
          <w:tcPr>
            <w:tcW w:w="1644" w:type="dxa"/>
            <w:vAlign w:val="center"/>
          </w:tcPr>
          <w:p w:rsidR="00A842C4" w:rsidRDefault="000C562E">
            <w:pPr>
              <w:jc w:val="right"/>
            </w:pPr>
            <w:r>
              <w:rPr>
                <w:color w:val="000000"/>
                <w:sz w:val="24"/>
                <w:szCs w:val="24"/>
              </w:rPr>
              <w:t>7.91</w:t>
            </w:r>
          </w:p>
        </w:tc>
      </w:tr>
      <w:tr w:rsidR="00A842C4">
        <w:trPr>
          <w:jc w:val="center"/>
        </w:trPr>
        <w:tc>
          <w:tcPr>
            <w:tcW w:w="855" w:type="dxa"/>
            <w:vAlign w:val="center"/>
          </w:tcPr>
          <w:p w:rsidR="00A842C4" w:rsidRDefault="000C562E">
            <w:pPr>
              <w:jc w:val="center"/>
            </w:pPr>
            <w:r>
              <w:rPr>
                <w:color w:val="000000"/>
                <w:sz w:val="24"/>
                <w:szCs w:val="24"/>
              </w:rPr>
              <w:t>3</w:t>
            </w:r>
          </w:p>
        </w:tc>
        <w:tc>
          <w:tcPr>
            <w:tcW w:w="1334" w:type="dxa"/>
            <w:vAlign w:val="center"/>
          </w:tcPr>
          <w:p w:rsidR="00A842C4" w:rsidRDefault="000C562E">
            <w:pPr>
              <w:jc w:val="center"/>
            </w:pPr>
            <w:r>
              <w:rPr>
                <w:color w:val="000000"/>
                <w:sz w:val="24"/>
                <w:szCs w:val="24"/>
              </w:rPr>
              <w:t>000538</w:t>
            </w:r>
          </w:p>
        </w:tc>
        <w:tc>
          <w:tcPr>
            <w:tcW w:w="1777" w:type="dxa"/>
            <w:vAlign w:val="center"/>
          </w:tcPr>
          <w:p w:rsidR="00A842C4" w:rsidRDefault="000C562E">
            <w:pPr>
              <w:jc w:val="center"/>
            </w:pPr>
            <w:r>
              <w:rPr>
                <w:color w:val="000000"/>
                <w:sz w:val="24"/>
                <w:szCs w:val="24"/>
              </w:rPr>
              <w:t>云南白药</w:t>
            </w:r>
          </w:p>
        </w:tc>
        <w:tc>
          <w:tcPr>
            <w:tcW w:w="1334" w:type="dxa"/>
            <w:vAlign w:val="center"/>
          </w:tcPr>
          <w:p w:rsidR="00A842C4" w:rsidRDefault="000C562E">
            <w:pPr>
              <w:jc w:val="right"/>
            </w:pPr>
            <w:r>
              <w:rPr>
                <w:color w:val="000000"/>
                <w:sz w:val="24"/>
                <w:szCs w:val="24"/>
              </w:rPr>
              <w:t>438,469</w:t>
            </w:r>
          </w:p>
        </w:tc>
        <w:tc>
          <w:tcPr>
            <w:tcW w:w="1924" w:type="dxa"/>
            <w:vAlign w:val="center"/>
          </w:tcPr>
          <w:p w:rsidR="00A842C4" w:rsidRDefault="000C562E">
            <w:pPr>
              <w:jc w:val="right"/>
            </w:pPr>
            <w:r>
              <w:rPr>
                <w:color w:val="000000"/>
                <w:sz w:val="24"/>
                <w:szCs w:val="24"/>
              </w:rPr>
              <w:t>46,898,644.24</w:t>
            </w:r>
          </w:p>
        </w:tc>
        <w:tc>
          <w:tcPr>
            <w:tcW w:w="1644" w:type="dxa"/>
            <w:vAlign w:val="center"/>
          </w:tcPr>
          <w:p w:rsidR="00A842C4" w:rsidRDefault="000C562E">
            <w:pPr>
              <w:jc w:val="right"/>
            </w:pPr>
            <w:r>
              <w:rPr>
                <w:color w:val="000000"/>
                <w:sz w:val="24"/>
                <w:szCs w:val="24"/>
              </w:rPr>
              <w:t>7.47</w:t>
            </w:r>
          </w:p>
        </w:tc>
      </w:tr>
      <w:tr w:rsidR="00A842C4">
        <w:trPr>
          <w:jc w:val="center"/>
        </w:trPr>
        <w:tc>
          <w:tcPr>
            <w:tcW w:w="855" w:type="dxa"/>
            <w:vAlign w:val="center"/>
          </w:tcPr>
          <w:p w:rsidR="00A842C4" w:rsidRDefault="000C562E">
            <w:pPr>
              <w:jc w:val="center"/>
            </w:pPr>
            <w:r>
              <w:rPr>
                <w:color w:val="000000"/>
                <w:sz w:val="24"/>
                <w:szCs w:val="24"/>
              </w:rPr>
              <w:t>4</w:t>
            </w:r>
          </w:p>
        </w:tc>
        <w:tc>
          <w:tcPr>
            <w:tcW w:w="1334" w:type="dxa"/>
            <w:vAlign w:val="center"/>
          </w:tcPr>
          <w:p w:rsidR="00A842C4" w:rsidRDefault="000C562E">
            <w:pPr>
              <w:jc w:val="center"/>
            </w:pPr>
            <w:r>
              <w:rPr>
                <w:color w:val="000000"/>
                <w:sz w:val="24"/>
                <w:szCs w:val="24"/>
              </w:rPr>
              <w:t>000963</w:t>
            </w:r>
          </w:p>
        </w:tc>
        <w:tc>
          <w:tcPr>
            <w:tcW w:w="1777" w:type="dxa"/>
            <w:vAlign w:val="center"/>
          </w:tcPr>
          <w:p w:rsidR="00A842C4" w:rsidRDefault="000C562E">
            <w:pPr>
              <w:jc w:val="center"/>
            </w:pPr>
            <w:r>
              <w:rPr>
                <w:color w:val="000000"/>
                <w:sz w:val="24"/>
                <w:szCs w:val="24"/>
              </w:rPr>
              <w:t>华东医药</w:t>
            </w:r>
          </w:p>
        </w:tc>
        <w:tc>
          <w:tcPr>
            <w:tcW w:w="1334" w:type="dxa"/>
            <w:vAlign w:val="center"/>
          </w:tcPr>
          <w:p w:rsidR="00A842C4" w:rsidRDefault="000C562E">
            <w:pPr>
              <w:jc w:val="right"/>
            </w:pPr>
            <w:r>
              <w:rPr>
                <w:color w:val="000000"/>
                <w:sz w:val="24"/>
                <w:szCs w:val="24"/>
              </w:rPr>
              <w:t>899,877</w:t>
            </w:r>
          </w:p>
        </w:tc>
        <w:tc>
          <w:tcPr>
            <w:tcW w:w="1924" w:type="dxa"/>
            <w:vAlign w:val="center"/>
          </w:tcPr>
          <w:p w:rsidR="00A842C4" w:rsidRDefault="000C562E">
            <w:pPr>
              <w:jc w:val="right"/>
            </w:pPr>
            <w:r>
              <w:rPr>
                <w:color w:val="000000"/>
                <w:sz w:val="24"/>
                <w:szCs w:val="24"/>
              </w:rPr>
              <w:t>43,419,065.25</w:t>
            </w:r>
          </w:p>
        </w:tc>
        <w:tc>
          <w:tcPr>
            <w:tcW w:w="1644" w:type="dxa"/>
            <w:vAlign w:val="center"/>
          </w:tcPr>
          <w:p w:rsidR="00A842C4" w:rsidRDefault="000C562E">
            <w:pPr>
              <w:jc w:val="right"/>
            </w:pPr>
            <w:r>
              <w:rPr>
                <w:color w:val="000000"/>
                <w:sz w:val="24"/>
                <w:szCs w:val="24"/>
              </w:rPr>
              <w:t>6.92</w:t>
            </w:r>
          </w:p>
        </w:tc>
      </w:tr>
      <w:tr w:rsidR="00A842C4">
        <w:trPr>
          <w:jc w:val="center"/>
        </w:trPr>
        <w:tc>
          <w:tcPr>
            <w:tcW w:w="855" w:type="dxa"/>
            <w:vAlign w:val="center"/>
          </w:tcPr>
          <w:p w:rsidR="00A842C4" w:rsidRDefault="000C562E">
            <w:pPr>
              <w:jc w:val="center"/>
            </w:pPr>
            <w:r>
              <w:rPr>
                <w:color w:val="000000"/>
                <w:sz w:val="24"/>
                <w:szCs w:val="24"/>
              </w:rPr>
              <w:t>5</w:t>
            </w:r>
          </w:p>
        </w:tc>
        <w:tc>
          <w:tcPr>
            <w:tcW w:w="1334" w:type="dxa"/>
            <w:vAlign w:val="center"/>
          </w:tcPr>
          <w:p w:rsidR="00A842C4" w:rsidRDefault="000C562E">
            <w:pPr>
              <w:jc w:val="center"/>
            </w:pPr>
            <w:r>
              <w:rPr>
                <w:color w:val="000000"/>
                <w:sz w:val="24"/>
                <w:szCs w:val="24"/>
              </w:rPr>
              <w:t>600036</w:t>
            </w:r>
          </w:p>
        </w:tc>
        <w:tc>
          <w:tcPr>
            <w:tcW w:w="1777" w:type="dxa"/>
            <w:vAlign w:val="center"/>
          </w:tcPr>
          <w:p w:rsidR="00A842C4" w:rsidRDefault="000C562E">
            <w:pPr>
              <w:jc w:val="center"/>
            </w:pPr>
            <w:r>
              <w:rPr>
                <w:color w:val="000000"/>
                <w:sz w:val="24"/>
                <w:szCs w:val="24"/>
              </w:rPr>
              <w:t>招商银行</w:t>
            </w:r>
          </w:p>
        </w:tc>
        <w:tc>
          <w:tcPr>
            <w:tcW w:w="1334" w:type="dxa"/>
            <w:vAlign w:val="center"/>
          </w:tcPr>
          <w:p w:rsidR="00A842C4" w:rsidRDefault="000C562E">
            <w:pPr>
              <w:jc w:val="right"/>
            </w:pPr>
            <w:r>
              <w:rPr>
                <w:color w:val="000000"/>
                <w:sz w:val="24"/>
                <w:szCs w:val="24"/>
              </w:rPr>
              <w:t>1,316,600</w:t>
            </w:r>
          </w:p>
        </w:tc>
        <w:tc>
          <w:tcPr>
            <w:tcW w:w="1924" w:type="dxa"/>
            <w:vAlign w:val="center"/>
          </w:tcPr>
          <w:p w:rsidR="00A842C4" w:rsidRDefault="000C562E">
            <w:pPr>
              <w:jc w:val="right"/>
            </w:pPr>
            <w:r>
              <w:rPr>
                <w:color w:val="000000"/>
                <w:sz w:val="24"/>
                <w:szCs w:val="24"/>
              </w:rPr>
              <w:t>34,810,904.00</w:t>
            </w:r>
          </w:p>
        </w:tc>
        <w:tc>
          <w:tcPr>
            <w:tcW w:w="1644" w:type="dxa"/>
            <w:vAlign w:val="center"/>
          </w:tcPr>
          <w:p w:rsidR="00A842C4" w:rsidRDefault="000C562E">
            <w:pPr>
              <w:jc w:val="right"/>
            </w:pPr>
            <w:r>
              <w:rPr>
                <w:color w:val="000000"/>
                <w:sz w:val="24"/>
                <w:szCs w:val="24"/>
              </w:rPr>
              <w:t>5.55</w:t>
            </w:r>
          </w:p>
        </w:tc>
      </w:tr>
      <w:tr w:rsidR="00A842C4">
        <w:trPr>
          <w:jc w:val="center"/>
        </w:trPr>
        <w:tc>
          <w:tcPr>
            <w:tcW w:w="855" w:type="dxa"/>
            <w:vAlign w:val="center"/>
          </w:tcPr>
          <w:p w:rsidR="00A842C4" w:rsidRDefault="000C562E">
            <w:pPr>
              <w:jc w:val="center"/>
            </w:pPr>
            <w:r>
              <w:rPr>
                <w:color w:val="000000"/>
                <w:sz w:val="24"/>
                <w:szCs w:val="24"/>
              </w:rPr>
              <w:t>6</w:t>
            </w:r>
          </w:p>
        </w:tc>
        <w:tc>
          <w:tcPr>
            <w:tcW w:w="1334" w:type="dxa"/>
            <w:vAlign w:val="center"/>
          </w:tcPr>
          <w:p w:rsidR="00A842C4" w:rsidRDefault="000C562E">
            <w:pPr>
              <w:jc w:val="center"/>
            </w:pPr>
            <w:r>
              <w:rPr>
                <w:color w:val="000000"/>
                <w:sz w:val="24"/>
                <w:szCs w:val="24"/>
              </w:rPr>
              <w:t>300529</w:t>
            </w:r>
          </w:p>
        </w:tc>
        <w:tc>
          <w:tcPr>
            <w:tcW w:w="1777" w:type="dxa"/>
            <w:vAlign w:val="center"/>
          </w:tcPr>
          <w:p w:rsidR="00A842C4" w:rsidRDefault="000C562E">
            <w:pPr>
              <w:jc w:val="center"/>
            </w:pPr>
            <w:r>
              <w:rPr>
                <w:color w:val="000000"/>
                <w:sz w:val="24"/>
                <w:szCs w:val="24"/>
              </w:rPr>
              <w:t>健帆生物</w:t>
            </w:r>
          </w:p>
        </w:tc>
        <w:tc>
          <w:tcPr>
            <w:tcW w:w="1334" w:type="dxa"/>
            <w:vAlign w:val="center"/>
          </w:tcPr>
          <w:p w:rsidR="00A842C4" w:rsidRDefault="000C562E">
            <w:pPr>
              <w:jc w:val="right"/>
            </w:pPr>
            <w:r>
              <w:rPr>
                <w:color w:val="000000"/>
                <w:sz w:val="24"/>
                <w:szCs w:val="24"/>
              </w:rPr>
              <w:t>740,138</w:t>
            </w:r>
          </w:p>
        </w:tc>
        <w:tc>
          <w:tcPr>
            <w:tcW w:w="1924" w:type="dxa"/>
            <w:vAlign w:val="center"/>
          </w:tcPr>
          <w:p w:rsidR="00A842C4" w:rsidRDefault="000C562E">
            <w:pPr>
              <w:jc w:val="right"/>
            </w:pPr>
            <w:r>
              <w:rPr>
                <w:color w:val="000000"/>
                <w:sz w:val="24"/>
                <w:szCs w:val="24"/>
              </w:rPr>
              <w:t>31,744,518.82</w:t>
            </w:r>
          </w:p>
        </w:tc>
        <w:tc>
          <w:tcPr>
            <w:tcW w:w="1644" w:type="dxa"/>
            <w:vAlign w:val="center"/>
          </w:tcPr>
          <w:p w:rsidR="00A842C4" w:rsidRDefault="000C562E">
            <w:pPr>
              <w:jc w:val="right"/>
            </w:pPr>
            <w:r>
              <w:rPr>
                <w:color w:val="000000"/>
                <w:sz w:val="24"/>
                <w:szCs w:val="24"/>
              </w:rPr>
              <w:t>5.06</w:t>
            </w:r>
          </w:p>
        </w:tc>
      </w:tr>
      <w:tr w:rsidR="00A842C4">
        <w:trPr>
          <w:jc w:val="center"/>
        </w:trPr>
        <w:tc>
          <w:tcPr>
            <w:tcW w:w="855" w:type="dxa"/>
            <w:vAlign w:val="center"/>
          </w:tcPr>
          <w:p w:rsidR="00A842C4" w:rsidRDefault="000C562E">
            <w:pPr>
              <w:jc w:val="center"/>
            </w:pPr>
            <w:r>
              <w:rPr>
                <w:color w:val="000000"/>
                <w:sz w:val="24"/>
                <w:szCs w:val="24"/>
              </w:rPr>
              <w:t>7</w:t>
            </w:r>
          </w:p>
        </w:tc>
        <w:tc>
          <w:tcPr>
            <w:tcW w:w="1334" w:type="dxa"/>
            <w:vAlign w:val="center"/>
          </w:tcPr>
          <w:p w:rsidR="00A842C4" w:rsidRDefault="000C562E">
            <w:pPr>
              <w:jc w:val="center"/>
            </w:pPr>
            <w:r>
              <w:rPr>
                <w:color w:val="000000"/>
                <w:sz w:val="24"/>
                <w:szCs w:val="24"/>
              </w:rPr>
              <w:t>300003</w:t>
            </w:r>
          </w:p>
        </w:tc>
        <w:tc>
          <w:tcPr>
            <w:tcW w:w="1777" w:type="dxa"/>
            <w:vAlign w:val="center"/>
          </w:tcPr>
          <w:p w:rsidR="00A842C4" w:rsidRDefault="000C562E">
            <w:pPr>
              <w:jc w:val="center"/>
            </w:pPr>
            <w:r>
              <w:rPr>
                <w:color w:val="000000"/>
                <w:sz w:val="24"/>
                <w:szCs w:val="24"/>
              </w:rPr>
              <w:t>乐普医疗</w:t>
            </w:r>
          </w:p>
        </w:tc>
        <w:tc>
          <w:tcPr>
            <w:tcW w:w="1334" w:type="dxa"/>
            <w:vAlign w:val="center"/>
          </w:tcPr>
          <w:p w:rsidR="00A842C4" w:rsidRDefault="000C562E">
            <w:pPr>
              <w:jc w:val="right"/>
            </w:pPr>
            <w:r>
              <w:rPr>
                <w:color w:val="000000"/>
                <w:sz w:val="24"/>
                <w:szCs w:val="24"/>
              </w:rPr>
              <w:t>861,997</w:t>
            </w:r>
          </w:p>
        </w:tc>
        <w:tc>
          <w:tcPr>
            <w:tcW w:w="1924" w:type="dxa"/>
            <w:vAlign w:val="center"/>
          </w:tcPr>
          <w:p w:rsidR="00A842C4" w:rsidRDefault="000C562E">
            <w:pPr>
              <w:jc w:val="right"/>
            </w:pPr>
            <w:r>
              <w:rPr>
                <w:color w:val="000000"/>
                <w:sz w:val="24"/>
                <w:szCs w:val="24"/>
              </w:rPr>
              <w:t>31,618,049.96</w:t>
            </w:r>
          </w:p>
        </w:tc>
        <w:tc>
          <w:tcPr>
            <w:tcW w:w="1644" w:type="dxa"/>
            <w:vAlign w:val="center"/>
          </w:tcPr>
          <w:p w:rsidR="00A842C4" w:rsidRDefault="000C562E">
            <w:pPr>
              <w:jc w:val="right"/>
            </w:pPr>
            <w:r>
              <w:rPr>
                <w:color w:val="000000"/>
                <w:sz w:val="24"/>
                <w:szCs w:val="24"/>
              </w:rPr>
              <w:t>5.04</w:t>
            </w:r>
          </w:p>
        </w:tc>
      </w:tr>
      <w:tr w:rsidR="00A842C4">
        <w:trPr>
          <w:jc w:val="center"/>
        </w:trPr>
        <w:tc>
          <w:tcPr>
            <w:tcW w:w="855" w:type="dxa"/>
            <w:vAlign w:val="center"/>
          </w:tcPr>
          <w:p w:rsidR="00A842C4" w:rsidRDefault="000C562E">
            <w:pPr>
              <w:jc w:val="center"/>
            </w:pPr>
            <w:r>
              <w:rPr>
                <w:color w:val="000000"/>
                <w:sz w:val="24"/>
                <w:szCs w:val="24"/>
              </w:rPr>
              <w:t>8</w:t>
            </w:r>
          </w:p>
        </w:tc>
        <w:tc>
          <w:tcPr>
            <w:tcW w:w="1334" w:type="dxa"/>
            <w:vAlign w:val="center"/>
          </w:tcPr>
          <w:p w:rsidR="00A842C4" w:rsidRDefault="000C562E">
            <w:pPr>
              <w:jc w:val="center"/>
            </w:pPr>
            <w:r>
              <w:rPr>
                <w:color w:val="000000"/>
                <w:sz w:val="24"/>
                <w:szCs w:val="24"/>
              </w:rPr>
              <w:t>300347</w:t>
            </w:r>
          </w:p>
        </w:tc>
        <w:tc>
          <w:tcPr>
            <w:tcW w:w="1777" w:type="dxa"/>
            <w:vAlign w:val="center"/>
          </w:tcPr>
          <w:p w:rsidR="00A842C4" w:rsidRDefault="000C562E">
            <w:pPr>
              <w:jc w:val="center"/>
            </w:pPr>
            <w:r>
              <w:rPr>
                <w:color w:val="000000"/>
                <w:sz w:val="24"/>
                <w:szCs w:val="24"/>
              </w:rPr>
              <w:t>泰格医药</w:t>
            </w:r>
          </w:p>
        </w:tc>
        <w:tc>
          <w:tcPr>
            <w:tcW w:w="1334" w:type="dxa"/>
            <w:vAlign w:val="center"/>
          </w:tcPr>
          <w:p w:rsidR="00A842C4" w:rsidRDefault="000C562E">
            <w:pPr>
              <w:jc w:val="right"/>
            </w:pPr>
            <w:r>
              <w:rPr>
                <w:color w:val="000000"/>
                <w:sz w:val="24"/>
                <w:szCs w:val="24"/>
              </w:rPr>
              <w:t>410,117</w:t>
            </w:r>
          </w:p>
        </w:tc>
        <w:tc>
          <w:tcPr>
            <w:tcW w:w="1924" w:type="dxa"/>
            <w:vAlign w:val="center"/>
          </w:tcPr>
          <w:p w:rsidR="00A842C4" w:rsidRDefault="000C562E">
            <w:pPr>
              <w:jc w:val="right"/>
            </w:pPr>
            <w:r>
              <w:rPr>
                <w:color w:val="000000"/>
                <w:sz w:val="24"/>
                <w:szCs w:val="24"/>
              </w:rPr>
              <w:t>25,373,938.79</w:t>
            </w:r>
          </w:p>
        </w:tc>
        <w:tc>
          <w:tcPr>
            <w:tcW w:w="1644" w:type="dxa"/>
            <w:vAlign w:val="center"/>
          </w:tcPr>
          <w:p w:rsidR="00A842C4" w:rsidRDefault="000C562E">
            <w:pPr>
              <w:jc w:val="right"/>
            </w:pPr>
            <w:r>
              <w:rPr>
                <w:color w:val="000000"/>
                <w:sz w:val="24"/>
                <w:szCs w:val="24"/>
              </w:rPr>
              <w:t>4.04</w:t>
            </w:r>
          </w:p>
        </w:tc>
      </w:tr>
      <w:tr w:rsidR="00A842C4">
        <w:trPr>
          <w:jc w:val="center"/>
        </w:trPr>
        <w:tc>
          <w:tcPr>
            <w:tcW w:w="855" w:type="dxa"/>
            <w:vAlign w:val="center"/>
          </w:tcPr>
          <w:p w:rsidR="00A842C4" w:rsidRDefault="000C562E">
            <w:pPr>
              <w:jc w:val="center"/>
            </w:pPr>
            <w:r>
              <w:rPr>
                <w:color w:val="000000"/>
                <w:sz w:val="24"/>
                <w:szCs w:val="24"/>
              </w:rPr>
              <w:t>9</w:t>
            </w:r>
          </w:p>
        </w:tc>
        <w:tc>
          <w:tcPr>
            <w:tcW w:w="1334" w:type="dxa"/>
            <w:vAlign w:val="center"/>
          </w:tcPr>
          <w:p w:rsidR="00A842C4" w:rsidRDefault="000C562E">
            <w:pPr>
              <w:jc w:val="center"/>
            </w:pPr>
            <w:r>
              <w:rPr>
                <w:color w:val="000000"/>
                <w:sz w:val="24"/>
                <w:szCs w:val="24"/>
              </w:rPr>
              <w:t>600998</w:t>
            </w:r>
          </w:p>
        </w:tc>
        <w:tc>
          <w:tcPr>
            <w:tcW w:w="1777" w:type="dxa"/>
            <w:vAlign w:val="center"/>
          </w:tcPr>
          <w:p w:rsidR="00A842C4" w:rsidRDefault="000C562E">
            <w:pPr>
              <w:jc w:val="center"/>
            </w:pPr>
            <w:r>
              <w:rPr>
                <w:color w:val="000000"/>
                <w:sz w:val="24"/>
                <w:szCs w:val="24"/>
              </w:rPr>
              <w:t>九州通</w:t>
            </w:r>
          </w:p>
        </w:tc>
        <w:tc>
          <w:tcPr>
            <w:tcW w:w="1334" w:type="dxa"/>
            <w:vAlign w:val="center"/>
          </w:tcPr>
          <w:p w:rsidR="00A842C4" w:rsidRDefault="000C562E">
            <w:pPr>
              <w:jc w:val="right"/>
            </w:pPr>
            <w:r>
              <w:rPr>
                <w:color w:val="000000"/>
                <w:sz w:val="24"/>
                <w:szCs w:val="24"/>
              </w:rPr>
              <w:t>1,469,691</w:t>
            </w:r>
          </w:p>
        </w:tc>
        <w:tc>
          <w:tcPr>
            <w:tcW w:w="1924" w:type="dxa"/>
            <w:vAlign w:val="center"/>
          </w:tcPr>
          <w:p w:rsidR="00A842C4" w:rsidRDefault="000C562E">
            <w:pPr>
              <w:jc w:val="right"/>
            </w:pPr>
            <w:r>
              <w:rPr>
                <w:color w:val="000000"/>
                <w:sz w:val="24"/>
                <w:szCs w:val="24"/>
              </w:rPr>
              <w:t>24,925,959.36</w:t>
            </w:r>
          </w:p>
        </w:tc>
        <w:tc>
          <w:tcPr>
            <w:tcW w:w="1644" w:type="dxa"/>
            <w:vAlign w:val="center"/>
          </w:tcPr>
          <w:p w:rsidR="00A842C4" w:rsidRDefault="000C562E">
            <w:pPr>
              <w:jc w:val="right"/>
            </w:pPr>
            <w:r>
              <w:rPr>
                <w:color w:val="000000"/>
                <w:sz w:val="24"/>
                <w:szCs w:val="24"/>
              </w:rPr>
              <w:t>3.97</w:t>
            </w:r>
          </w:p>
        </w:tc>
      </w:tr>
      <w:tr w:rsidR="00A842C4">
        <w:trPr>
          <w:jc w:val="center"/>
        </w:trPr>
        <w:tc>
          <w:tcPr>
            <w:tcW w:w="855" w:type="dxa"/>
            <w:vAlign w:val="center"/>
          </w:tcPr>
          <w:p w:rsidR="00A842C4" w:rsidRDefault="000C562E">
            <w:pPr>
              <w:jc w:val="center"/>
            </w:pPr>
            <w:r>
              <w:rPr>
                <w:color w:val="000000"/>
                <w:sz w:val="24"/>
                <w:szCs w:val="24"/>
              </w:rPr>
              <w:t>10</w:t>
            </w:r>
          </w:p>
        </w:tc>
        <w:tc>
          <w:tcPr>
            <w:tcW w:w="1334" w:type="dxa"/>
            <w:vAlign w:val="center"/>
          </w:tcPr>
          <w:p w:rsidR="00A842C4" w:rsidRDefault="000C562E">
            <w:pPr>
              <w:jc w:val="center"/>
            </w:pPr>
            <w:r>
              <w:rPr>
                <w:color w:val="000000"/>
                <w:sz w:val="24"/>
                <w:szCs w:val="24"/>
              </w:rPr>
              <w:t>300253</w:t>
            </w:r>
          </w:p>
        </w:tc>
        <w:tc>
          <w:tcPr>
            <w:tcW w:w="1777" w:type="dxa"/>
            <w:vAlign w:val="center"/>
          </w:tcPr>
          <w:p w:rsidR="00A842C4" w:rsidRDefault="000C562E">
            <w:pPr>
              <w:jc w:val="center"/>
            </w:pPr>
            <w:r>
              <w:rPr>
                <w:color w:val="000000"/>
                <w:sz w:val="24"/>
                <w:szCs w:val="24"/>
              </w:rPr>
              <w:t>卫宁健康</w:t>
            </w:r>
          </w:p>
        </w:tc>
        <w:tc>
          <w:tcPr>
            <w:tcW w:w="1334" w:type="dxa"/>
            <w:vAlign w:val="center"/>
          </w:tcPr>
          <w:p w:rsidR="00A842C4" w:rsidRDefault="000C562E">
            <w:pPr>
              <w:jc w:val="right"/>
            </w:pPr>
            <w:r>
              <w:rPr>
                <w:color w:val="000000"/>
                <w:sz w:val="24"/>
                <w:szCs w:val="24"/>
              </w:rPr>
              <w:t>1,629,151</w:t>
            </w:r>
          </w:p>
        </w:tc>
        <w:tc>
          <w:tcPr>
            <w:tcW w:w="1924" w:type="dxa"/>
            <w:vAlign w:val="center"/>
          </w:tcPr>
          <w:p w:rsidR="00A842C4" w:rsidRDefault="000C562E">
            <w:pPr>
              <w:jc w:val="right"/>
            </w:pPr>
            <w:r>
              <w:rPr>
                <w:color w:val="000000"/>
                <w:sz w:val="24"/>
                <w:szCs w:val="24"/>
              </w:rPr>
              <w:t>20,185,180.89</w:t>
            </w:r>
          </w:p>
        </w:tc>
        <w:tc>
          <w:tcPr>
            <w:tcW w:w="1644" w:type="dxa"/>
            <w:vAlign w:val="center"/>
          </w:tcPr>
          <w:p w:rsidR="00A842C4" w:rsidRDefault="000C562E">
            <w:pPr>
              <w:jc w:val="right"/>
            </w:pPr>
            <w:r>
              <w:rPr>
                <w:color w:val="000000"/>
                <w:sz w:val="24"/>
                <w:szCs w:val="24"/>
              </w:rPr>
              <w:t>3.22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127,210.91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23,447.01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1,064,232.67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1,214,890.59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D0739C" w:rsidP="00C15CAC">
      <w:pPr>
        <w:spacing w:before="29" w:line="288" w:lineRule="auto"/>
        <w:ind w:firstLineChars="200" w:firstLine="480"/>
        <w:rPr>
          <w:color w:val="000000"/>
          <w:sz w:val="24"/>
          <w:szCs w:val="24"/>
        </w:rPr>
      </w:pPr>
      <w:r>
        <w:rPr>
          <w:rFonts w:hint="eastAsia"/>
          <w:color w:val="000000"/>
          <w:sz w:val="24"/>
          <w:szCs w:val="24"/>
        </w:rPr>
        <w:lastRenderedPageBreak/>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333,538,435.52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343,315,859.78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189,539,160.48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487,315,134.82</w:t>
            </w:r>
          </w:p>
        </w:tc>
      </w:tr>
    </w:tbl>
    <w:p w:rsidR="00A842C4" w:rsidRDefault="000C56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842C4" w:rsidRDefault="000C562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842C4" w:rsidRDefault="000C562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842C4" w:rsidRDefault="000C562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A7" w:rsidRDefault="00BF7EA7" w:rsidP="00876D65">
      <w:r>
        <w:separator/>
      </w:r>
    </w:p>
  </w:endnote>
  <w:endnote w:type="continuationSeparator" w:id="0">
    <w:p w:rsidR="00BF7EA7" w:rsidRDefault="00BF7EA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893657">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893657">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A7" w:rsidRDefault="00BF7EA7" w:rsidP="00876D65">
      <w:r>
        <w:separator/>
      </w:r>
    </w:p>
  </w:footnote>
  <w:footnote w:type="continuationSeparator" w:id="0">
    <w:p w:rsidR="00BF7EA7" w:rsidRDefault="00BF7EA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562E"/>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3657"/>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1CA7"/>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42C4"/>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BF7EA7"/>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739C"/>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A8FE-0031-4643-A147-2F10E8C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2018-07-16T08:54:00Z</dcterms:modified>
</cp:coreProperties>
</file>