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交银施罗德卓越回报灵活配置混合型证券投资基金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二〇一八年七月十八日</w:t>
      </w:r>
    </w:p>
    <w:p w:rsidR="009238DB" w:rsidRPr="007F52FA" w:rsidRDefault="009238DB" w:rsidP="00F103C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20989" w:rsidRDefault="0087548B">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20989" w:rsidRDefault="0087548B">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20989" w:rsidRDefault="0087548B">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20989" w:rsidRDefault="0087548B">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20989" w:rsidRDefault="0087548B">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F103C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交银卓越回报灵活配置混合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519764</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2</w:t>
            </w:r>
            <w:r w:rsidRPr="007F52FA">
              <w:rPr>
                <w:color w:val="000000"/>
                <w:kern w:val="0"/>
                <w:sz w:val="24"/>
              </w:rPr>
              <w:t>月</w:t>
            </w:r>
            <w:r w:rsidRPr="007F52FA">
              <w:rPr>
                <w:color w:val="000000"/>
                <w:kern w:val="0"/>
                <w:sz w:val="24"/>
              </w:rPr>
              <w:t>17</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27,592,352.13</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本基金在控制风险并保持基金资产良好的流动性的前提下，力争实现基金资产的长期稳定增值。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确定债券组合久期和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交银卓越回报灵活配置混合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交银卓越回报灵活配置混合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519764</w:t>
            </w:r>
          </w:p>
        </w:tc>
        <w:tc>
          <w:tcPr>
            <w:tcW w:w="3048" w:type="dxa"/>
            <w:vAlign w:val="center"/>
          </w:tcPr>
          <w:p w:rsidR="00C23B30" w:rsidRPr="000E4C40" w:rsidRDefault="00C23B30" w:rsidP="00A52A9E">
            <w:pPr>
              <w:spacing w:before="29" w:line="288" w:lineRule="auto"/>
              <w:jc w:val="left"/>
              <w:rPr>
                <w:sz w:val="24"/>
              </w:rPr>
            </w:pPr>
            <w:r w:rsidRPr="000E4C40">
              <w:rPr>
                <w:sz w:val="24"/>
              </w:rPr>
              <w:t>519765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27,544,777.40</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47,574.73</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F103C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交银卓越回报灵活配置混合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交银卓越回报灵活配置混合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-719,606.74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-3,248,662.71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461,302.47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1,164,516.50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0.0154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0.0125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29,201,179.77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49,863.83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1.060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1.048</w:t>
            </w:r>
          </w:p>
        </w:tc>
      </w:tr>
    </w:tbl>
    <w:p w:rsidR="00B20989" w:rsidRDefault="0087548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交银卓越回报灵活配置混合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20989">
        <w:trPr>
          <w:jc w:val="center"/>
        </w:trPr>
        <w:tc>
          <w:tcPr>
            <w:tcW w:w="1266" w:type="dxa"/>
            <w:vAlign w:val="center"/>
          </w:tcPr>
          <w:p w:rsidR="00B20989" w:rsidRDefault="0087548B">
            <w:pPr>
              <w:jc w:val="left"/>
            </w:pPr>
            <w:r>
              <w:rPr>
                <w:color w:val="000000"/>
                <w:sz w:val="24"/>
              </w:rPr>
              <w:lastRenderedPageBreak/>
              <w:t>过去三个月</w:t>
            </w:r>
          </w:p>
        </w:tc>
        <w:tc>
          <w:tcPr>
            <w:tcW w:w="1267" w:type="dxa"/>
            <w:vAlign w:val="center"/>
          </w:tcPr>
          <w:p w:rsidR="00B20989" w:rsidRDefault="0087548B">
            <w:pPr>
              <w:jc w:val="center"/>
            </w:pPr>
            <w:r>
              <w:rPr>
                <w:color w:val="000000"/>
                <w:sz w:val="24"/>
              </w:rPr>
              <w:t>1.63%</w:t>
            </w:r>
          </w:p>
        </w:tc>
        <w:tc>
          <w:tcPr>
            <w:tcW w:w="1267" w:type="dxa"/>
            <w:vAlign w:val="center"/>
          </w:tcPr>
          <w:p w:rsidR="00B20989" w:rsidRDefault="0087548B">
            <w:pPr>
              <w:jc w:val="center"/>
            </w:pPr>
            <w:r>
              <w:rPr>
                <w:color w:val="000000"/>
                <w:sz w:val="24"/>
              </w:rPr>
              <w:t>0.58%</w:t>
            </w:r>
          </w:p>
        </w:tc>
        <w:tc>
          <w:tcPr>
            <w:tcW w:w="1267" w:type="dxa"/>
            <w:vAlign w:val="center"/>
          </w:tcPr>
          <w:p w:rsidR="00B20989" w:rsidRDefault="0087548B">
            <w:pPr>
              <w:jc w:val="center"/>
            </w:pPr>
            <w:r>
              <w:rPr>
                <w:color w:val="000000"/>
                <w:sz w:val="24"/>
              </w:rPr>
              <w:t>-4.52%</w:t>
            </w:r>
          </w:p>
        </w:tc>
        <w:tc>
          <w:tcPr>
            <w:tcW w:w="1267" w:type="dxa"/>
            <w:vAlign w:val="center"/>
          </w:tcPr>
          <w:p w:rsidR="00B20989" w:rsidRDefault="0087548B">
            <w:pPr>
              <w:jc w:val="center"/>
            </w:pPr>
            <w:r>
              <w:rPr>
                <w:color w:val="000000"/>
                <w:sz w:val="24"/>
              </w:rPr>
              <w:t>0.57%</w:t>
            </w:r>
          </w:p>
        </w:tc>
        <w:tc>
          <w:tcPr>
            <w:tcW w:w="1267" w:type="dxa"/>
            <w:vAlign w:val="center"/>
          </w:tcPr>
          <w:p w:rsidR="00B20989" w:rsidRDefault="0087548B">
            <w:pPr>
              <w:jc w:val="center"/>
            </w:pPr>
            <w:r>
              <w:rPr>
                <w:color w:val="000000"/>
                <w:sz w:val="24"/>
              </w:rPr>
              <w:t>6.15%</w:t>
            </w:r>
          </w:p>
        </w:tc>
        <w:tc>
          <w:tcPr>
            <w:tcW w:w="1267" w:type="dxa"/>
            <w:vAlign w:val="center"/>
          </w:tcPr>
          <w:p w:rsidR="00B20989" w:rsidRDefault="0087548B">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交银卓越回报灵活配置混合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20989">
        <w:trPr>
          <w:jc w:val="center"/>
        </w:trPr>
        <w:tc>
          <w:tcPr>
            <w:tcW w:w="1266" w:type="dxa"/>
            <w:vAlign w:val="center"/>
          </w:tcPr>
          <w:p w:rsidR="00B20989" w:rsidRDefault="0087548B">
            <w:pPr>
              <w:jc w:val="left"/>
            </w:pPr>
            <w:r>
              <w:rPr>
                <w:color w:val="000000"/>
                <w:sz w:val="24"/>
              </w:rPr>
              <w:t>过去三个月</w:t>
            </w:r>
          </w:p>
        </w:tc>
        <w:tc>
          <w:tcPr>
            <w:tcW w:w="1267" w:type="dxa"/>
            <w:vAlign w:val="center"/>
          </w:tcPr>
          <w:p w:rsidR="00B20989" w:rsidRDefault="0087548B">
            <w:pPr>
              <w:jc w:val="center"/>
            </w:pPr>
            <w:r>
              <w:rPr>
                <w:color w:val="000000"/>
                <w:sz w:val="24"/>
              </w:rPr>
              <w:t>0.77%</w:t>
            </w:r>
          </w:p>
        </w:tc>
        <w:tc>
          <w:tcPr>
            <w:tcW w:w="1267" w:type="dxa"/>
            <w:vAlign w:val="center"/>
          </w:tcPr>
          <w:p w:rsidR="00B20989" w:rsidRDefault="0087548B">
            <w:pPr>
              <w:jc w:val="center"/>
            </w:pPr>
            <w:r>
              <w:rPr>
                <w:color w:val="000000"/>
                <w:sz w:val="24"/>
              </w:rPr>
              <w:t>0.59%</w:t>
            </w:r>
          </w:p>
        </w:tc>
        <w:tc>
          <w:tcPr>
            <w:tcW w:w="1267" w:type="dxa"/>
            <w:vAlign w:val="center"/>
          </w:tcPr>
          <w:p w:rsidR="00B20989" w:rsidRDefault="0087548B">
            <w:pPr>
              <w:jc w:val="center"/>
            </w:pPr>
            <w:r>
              <w:rPr>
                <w:color w:val="000000"/>
                <w:sz w:val="24"/>
              </w:rPr>
              <w:t>-4.52%</w:t>
            </w:r>
          </w:p>
        </w:tc>
        <w:tc>
          <w:tcPr>
            <w:tcW w:w="1267" w:type="dxa"/>
            <w:vAlign w:val="center"/>
          </w:tcPr>
          <w:p w:rsidR="00B20989" w:rsidRDefault="0087548B">
            <w:pPr>
              <w:jc w:val="center"/>
            </w:pPr>
            <w:r>
              <w:rPr>
                <w:color w:val="000000"/>
                <w:sz w:val="24"/>
              </w:rPr>
              <w:t>0.57%</w:t>
            </w:r>
          </w:p>
        </w:tc>
        <w:tc>
          <w:tcPr>
            <w:tcW w:w="1267" w:type="dxa"/>
            <w:vAlign w:val="center"/>
          </w:tcPr>
          <w:p w:rsidR="00B20989" w:rsidRDefault="0087548B">
            <w:pPr>
              <w:jc w:val="center"/>
            </w:pPr>
            <w:r>
              <w:rPr>
                <w:color w:val="000000"/>
                <w:sz w:val="24"/>
              </w:rPr>
              <w:t>5.29%</w:t>
            </w:r>
          </w:p>
        </w:tc>
        <w:tc>
          <w:tcPr>
            <w:tcW w:w="1267" w:type="dxa"/>
            <w:vAlign w:val="center"/>
          </w:tcPr>
          <w:p w:rsidR="00B20989" w:rsidRDefault="0087548B">
            <w:pPr>
              <w:jc w:val="center"/>
            </w:pPr>
            <w:r>
              <w:rPr>
                <w:color w:val="000000"/>
                <w:sz w:val="24"/>
              </w:rPr>
              <w:t>0.02%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交银施罗德卓越回报灵活配置混合型证券投资基金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2</w:t>
      </w:r>
      <w:r w:rsidR="00D04410" w:rsidRPr="007F52FA">
        <w:rPr>
          <w:rFonts w:ascii="Times New Roman" w:hAnsi="Times New Roman"/>
          <w:sz w:val="24"/>
          <w:szCs w:val="24"/>
        </w:rPr>
        <w:t>月</w:t>
      </w:r>
      <w:r w:rsidR="00D04410" w:rsidRPr="007F52FA">
        <w:rPr>
          <w:rFonts w:ascii="Times New Roman" w:hAnsi="Times New Roman"/>
          <w:sz w:val="24"/>
          <w:szCs w:val="24"/>
        </w:rPr>
        <w:t>17</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交银卓越回报灵活配置混合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2016</w:t>
      </w:r>
      <w:r w:rsidRPr="007F52FA">
        <w:rPr>
          <w:color w:val="000000"/>
          <w:sz w:val="24"/>
        </w:rPr>
        <w:t>年</w:t>
      </w:r>
      <w:r w:rsidRPr="007F52FA">
        <w:rPr>
          <w:color w:val="000000"/>
          <w:sz w:val="24"/>
        </w:rPr>
        <w:t>2</w:t>
      </w:r>
      <w:r w:rsidRPr="007F52FA">
        <w:rPr>
          <w:color w:val="000000"/>
          <w:sz w:val="24"/>
        </w:rPr>
        <w:t>月</w:t>
      </w:r>
      <w:r w:rsidRPr="007F52FA">
        <w:rPr>
          <w:color w:val="000000"/>
          <w:sz w:val="24"/>
        </w:rPr>
        <w:t>17</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lastRenderedPageBreak/>
        <w:t>2</w:t>
      </w:r>
      <w:r w:rsidRPr="007F52FA">
        <w:rPr>
          <w:color w:val="000000"/>
          <w:sz w:val="24"/>
        </w:rPr>
        <w:t>．</w:t>
      </w:r>
      <w:r w:rsidR="00FE7FBD" w:rsidRPr="007F52FA">
        <w:rPr>
          <w:color w:val="000000"/>
          <w:sz w:val="24"/>
        </w:rPr>
        <w:t>交银卓越回报灵活配置混合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27</w:t>
      </w:r>
      <w:r w:rsidRPr="007F52FA">
        <w:rPr>
          <w:color w:val="000000"/>
          <w:sz w:val="24"/>
        </w:rPr>
        <w:t>日起增加</w:t>
      </w:r>
      <w:r w:rsidRPr="007F52FA">
        <w:rPr>
          <w:color w:val="000000"/>
          <w:sz w:val="24"/>
        </w:rPr>
        <w:t>C</w:t>
      </w:r>
      <w:r w:rsidRPr="007F52FA">
        <w:rPr>
          <w:color w:val="000000"/>
          <w:sz w:val="24"/>
        </w:rPr>
        <w:t>类份额，投资者提交的申购申请于</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29</w:t>
      </w:r>
      <w:r w:rsidRPr="007F52FA">
        <w:rPr>
          <w:color w:val="000000"/>
          <w:sz w:val="24"/>
        </w:rPr>
        <w:t>日被确认并将有效份额登记在册。图示日期为</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29</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p>
    <w:p w:rsidR="006C5BC9" w:rsidRPr="007F52FA" w:rsidRDefault="006C5BC9" w:rsidP="007C14DF">
      <w:pPr>
        <w:tabs>
          <w:tab w:val="left" w:pos="1800"/>
        </w:tabs>
        <w:spacing w:before="29" w:line="288" w:lineRule="auto"/>
        <w:rPr>
          <w:rFonts w:eastAsiaTheme="minorEastAsia" w:hint="eastAsia"/>
          <w:color w:val="000000"/>
          <w:sz w:val="24"/>
        </w:rPr>
      </w:pPr>
    </w:p>
    <w:p w:rsidR="009238DB" w:rsidRPr="007F52FA" w:rsidRDefault="009238DB" w:rsidP="00F103C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20989">
        <w:trPr>
          <w:jc w:val="center"/>
        </w:trPr>
        <w:tc>
          <w:tcPr>
            <w:tcW w:w="946" w:type="dxa"/>
            <w:vAlign w:val="center"/>
          </w:tcPr>
          <w:p w:rsidR="00B20989" w:rsidRDefault="0087548B">
            <w:pPr>
              <w:jc w:val="center"/>
            </w:pPr>
            <w:r>
              <w:rPr>
                <w:color w:val="000000"/>
                <w:sz w:val="24"/>
              </w:rPr>
              <w:t>李娜</w:t>
            </w:r>
          </w:p>
        </w:tc>
        <w:tc>
          <w:tcPr>
            <w:tcW w:w="924" w:type="dxa"/>
            <w:vAlign w:val="center"/>
          </w:tcPr>
          <w:p w:rsidR="00B20989" w:rsidRDefault="0087548B">
            <w:pPr>
              <w:jc w:val="center"/>
            </w:pPr>
            <w:r>
              <w:rPr>
                <w:color w:val="000000"/>
                <w:sz w:val="24"/>
              </w:rPr>
              <w:t>交银周期回报灵活配置混合、交银新回报灵活配置混合、交</w:t>
            </w:r>
            <w:r>
              <w:rPr>
                <w:color w:val="000000"/>
                <w:sz w:val="24"/>
              </w:rPr>
              <w:lastRenderedPageBreak/>
              <w:t>银多策略回报灵活配置混合、交银卓越回报灵活配置混合、交银优选回报灵活配置混合、交银优择回报灵活配置混合、交银领先回报灵活配置混合、交银瑞鑫定期开放灵活配置混合、交银瑞景定期开放灵活配置混合、</w:t>
            </w:r>
            <w:r>
              <w:rPr>
                <w:color w:val="000000"/>
                <w:sz w:val="24"/>
              </w:rPr>
              <w:lastRenderedPageBreak/>
              <w:t>交银启通灵活配置混合、交银瑞利定期开放灵活配置混合的基金经理</w:t>
            </w:r>
          </w:p>
        </w:tc>
        <w:tc>
          <w:tcPr>
            <w:tcW w:w="1202" w:type="dxa"/>
            <w:vAlign w:val="center"/>
          </w:tcPr>
          <w:p w:rsidR="00B20989" w:rsidRDefault="0087548B">
            <w:pPr>
              <w:jc w:val="center"/>
            </w:pPr>
            <w:r>
              <w:rPr>
                <w:color w:val="000000"/>
                <w:sz w:val="24"/>
              </w:rPr>
              <w:lastRenderedPageBreak/>
              <w:t>2016-02-17</w:t>
            </w:r>
          </w:p>
        </w:tc>
        <w:tc>
          <w:tcPr>
            <w:tcW w:w="1300" w:type="dxa"/>
            <w:vAlign w:val="center"/>
          </w:tcPr>
          <w:p w:rsidR="00B20989" w:rsidRDefault="0087548B">
            <w:pPr>
              <w:jc w:val="center"/>
            </w:pPr>
            <w:r>
              <w:rPr>
                <w:color w:val="000000"/>
                <w:sz w:val="24"/>
              </w:rPr>
              <w:t>-</w:t>
            </w:r>
          </w:p>
        </w:tc>
        <w:tc>
          <w:tcPr>
            <w:tcW w:w="1245" w:type="dxa"/>
            <w:vAlign w:val="center"/>
          </w:tcPr>
          <w:p w:rsidR="00B20989" w:rsidRDefault="0087548B">
            <w:pPr>
              <w:jc w:val="center"/>
            </w:pPr>
            <w:r>
              <w:rPr>
                <w:color w:val="000000"/>
                <w:sz w:val="24"/>
              </w:rPr>
              <w:t>8</w:t>
            </w:r>
            <w:r>
              <w:rPr>
                <w:color w:val="000000"/>
                <w:sz w:val="24"/>
              </w:rPr>
              <w:t>年</w:t>
            </w:r>
          </w:p>
        </w:tc>
        <w:tc>
          <w:tcPr>
            <w:tcW w:w="3251" w:type="dxa"/>
            <w:vAlign w:val="center"/>
          </w:tcPr>
          <w:p w:rsidR="00B20989" w:rsidRDefault="0087548B">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B20989" w:rsidRDefault="0087548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20989" w:rsidRDefault="0087548B">
      <w:pPr>
        <w:spacing w:before="29" w:line="288" w:lineRule="auto"/>
        <w:ind w:firstLineChars="200" w:firstLine="480"/>
        <w:rPr>
          <w:color w:val="000000"/>
          <w:sz w:val="24"/>
        </w:rPr>
      </w:pPr>
      <w:r>
        <w:rPr>
          <w:color w:val="000000"/>
          <w:sz w:val="24"/>
        </w:rPr>
        <w:t>公司建立资源共享的投资研究信息平台，确保各投资组合在获得</w:t>
      </w:r>
      <w:r>
        <w:rPr>
          <w:color w:val="000000"/>
          <w:sz w:val="24"/>
        </w:rPr>
        <w:t>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20989" w:rsidRDefault="0087548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w:t>
      </w:r>
      <w:r>
        <w:rPr>
          <w:color w:val="000000"/>
          <w:sz w:val="24"/>
        </w:rPr>
        <w:t>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lastRenderedPageBreak/>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B20989" w:rsidRDefault="0087548B">
      <w:pPr>
        <w:spacing w:before="29" w:line="288" w:lineRule="auto"/>
        <w:ind w:firstLineChars="200" w:firstLine="480"/>
        <w:rPr>
          <w:color w:val="000000"/>
          <w:sz w:val="24"/>
        </w:rPr>
      </w:pPr>
      <w:r>
        <w:rPr>
          <w:color w:val="000000"/>
          <w:sz w:val="24"/>
        </w:rPr>
        <w:t>本报告期内，经济增长以及市场预期在内部去杠杆进程和外部中美贸易摩擦的双重影响下呈现趋缓态势。固定资产投资逐步走低，增速从二月份的</w:t>
      </w:r>
      <w:r>
        <w:rPr>
          <w:color w:val="000000"/>
          <w:sz w:val="24"/>
        </w:rPr>
        <w:t>7.9%</w:t>
      </w:r>
      <w:r>
        <w:rPr>
          <w:color w:val="000000"/>
          <w:sz w:val="24"/>
        </w:rPr>
        <w:t>回落至五月的</w:t>
      </w:r>
      <w:r>
        <w:rPr>
          <w:color w:val="000000"/>
          <w:sz w:val="24"/>
        </w:rPr>
        <w:t>6.1%</w:t>
      </w:r>
      <w:r>
        <w:rPr>
          <w:color w:val="000000"/>
          <w:sz w:val="24"/>
        </w:rPr>
        <w:t>。社会融资总量同比增速更是在五月份创出新低，表外融资在资管新规正式发布后基本停滞，金融信贷数据的走弱使得市场隐含了对未来基本面走弱的部分预期。然而中国经济的韧性仍有些许表征，一方面是工业品价格企稳回升带动</w:t>
      </w:r>
      <w:r>
        <w:rPr>
          <w:color w:val="000000"/>
          <w:sz w:val="24"/>
        </w:rPr>
        <w:t>PPI</w:t>
      </w:r>
      <w:r>
        <w:rPr>
          <w:color w:val="000000"/>
          <w:sz w:val="24"/>
        </w:rPr>
        <w:t>增速上行至</w:t>
      </w:r>
      <w:r>
        <w:rPr>
          <w:color w:val="000000"/>
          <w:sz w:val="24"/>
        </w:rPr>
        <w:t>4.1%</w:t>
      </w:r>
      <w:r>
        <w:rPr>
          <w:color w:val="000000"/>
          <w:sz w:val="24"/>
        </w:rPr>
        <w:t>的水平，另一方面出口增速和贸易顺差在中美贸易摩擦发酵中继续保持稳步增长。货币政策方面，央行在稳</w:t>
      </w:r>
      <w:r>
        <w:rPr>
          <w:color w:val="000000"/>
          <w:sz w:val="24"/>
        </w:rPr>
        <w:t>健中性的基调中呈现结构性特点，六月美联储加息后并未上调公开市场操作利率，并在四月、六月相继下调存款准备金率，或意在缓解紧信用格局下实体部门的结构性问题。银行间流动性在六月份边际宽松，除了受到降准的影响外，短端的资金供需格局有所变化，资金价格持续走低。股票市场则在资管新规开始落地、独角兽回归和中美贸易摩擦超预期发酵下，风险偏好出现走弱。同期债券收益率继续下行，其中经济增长预期放缓、央行超预期降准、狭义流动性边际宽松等因素成为债券市场收益率变动的主要原因。报告期内，上证综指和创业板指分别下行</w:t>
      </w:r>
      <w:r>
        <w:rPr>
          <w:color w:val="000000"/>
          <w:sz w:val="24"/>
        </w:rPr>
        <w:t>10.1%</w:t>
      </w:r>
      <w:r>
        <w:rPr>
          <w:color w:val="000000"/>
          <w:sz w:val="24"/>
        </w:rPr>
        <w:t>和</w:t>
      </w:r>
      <w:r>
        <w:rPr>
          <w:color w:val="000000"/>
          <w:sz w:val="24"/>
        </w:rPr>
        <w:t>15.5</w:t>
      </w:r>
      <w:r>
        <w:rPr>
          <w:color w:val="000000"/>
          <w:sz w:val="24"/>
        </w:rPr>
        <w:t>%</w:t>
      </w:r>
      <w:r>
        <w:rPr>
          <w:color w:val="000000"/>
          <w:sz w:val="24"/>
        </w:rPr>
        <w:t>，</w:t>
      </w:r>
      <w:r>
        <w:rPr>
          <w:color w:val="000000"/>
          <w:sz w:val="24"/>
        </w:rPr>
        <w:t>10</w:t>
      </w:r>
      <w:r>
        <w:rPr>
          <w:color w:val="000000"/>
          <w:sz w:val="24"/>
        </w:rPr>
        <w:t>年期国债收益率下行</w:t>
      </w:r>
      <w:r>
        <w:rPr>
          <w:color w:val="000000"/>
          <w:sz w:val="24"/>
        </w:rPr>
        <w:t>27BP</w:t>
      </w:r>
      <w:r>
        <w:rPr>
          <w:color w:val="000000"/>
          <w:sz w:val="24"/>
        </w:rPr>
        <w:t>至</w:t>
      </w:r>
      <w:r>
        <w:rPr>
          <w:color w:val="000000"/>
          <w:sz w:val="24"/>
        </w:rPr>
        <w:t>3.48%</w:t>
      </w:r>
      <w:r>
        <w:rPr>
          <w:color w:val="000000"/>
          <w:sz w:val="24"/>
        </w:rPr>
        <w:t>，</w:t>
      </w:r>
      <w:r>
        <w:rPr>
          <w:color w:val="000000"/>
          <w:sz w:val="24"/>
        </w:rPr>
        <w:t>10</w:t>
      </w:r>
      <w:r>
        <w:rPr>
          <w:color w:val="000000"/>
          <w:sz w:val="24"/>
        </w:rPr>
        <w:t>年期国开债收益率下行</w:t>
      </w:r>
      <w:r>
        <w:rPr>
          <w:color w:val="000000"/>
          <w:sz w:val="24"/>
        </w:rPr>
        <w:t>39BP</w:t>
      </w:r>
      <w:r>
        <w:rPr>
          <w:color w:val="000000"/>
          <w:sz w:val="24"/>
        </w:rPr>
        <w:t>到</w:t>
      </w:r>
      <w:r>
        <w:rPr>
          <w:color w:val="000000"/>
          <w:sz w:val="24"/>
        </w:rPr>
        <w:t>4.25%</w:t>
      </w:r>
      <w:r>
        <w:rPr>
          <w:color w:val="000000"/>
          <w:sz w:val="24"/>
        </w:rPr>
        <w:t>。</w:t>
      </w:r>
    </w:p>
    <w:p w:rsidR="00B20989" w:rsidRDefault="0087548B">
      <w:pPr>
        <w:spacing w:before="29" w:line="288" w:lineRule="auto"/>
        <w:ind w:firstLineChars="200" w:firstLine="480"/>
        <w:rPr>
          <w:color w:val="000000"/>
          <w:sz w:val="24"/>
        </w:rPr>
      </w:pPr>
      <w:r>
        <w:rPr>
          <w:color w:val="00000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三季度，经济增长在二季度末的放缓需要继续观察，中美贸易摩擦引发人民币持续贬值的担忧，同时国际原油价格在美伊核协议的不确定性下高位波动，关注下半年可能的输入性通胀风险。在货币政策结构性宽松的变化下，长端债券有望继续获得基本面和政策面双重支撑，但行情的纵深可能仍受到资管新规落地节奏等因素的影响。此外，我们还将密切关注低评级信用债风险的演化、中美贸易战摩擦的政策应对、内外货币政策变化等因素对市场的影响。股票方面，力争继续保持稳健、审慎投资，积极关注一级市场动态。债券方面，在保持组合流动性的前提下关注交易窗口，把握适度久期，同时特别关注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lastRenderedPageBreak/>
        <w:t>截至</w:t>
      </w:r>
      <w:r w:rsidRPr="007F52FA">
        <w:rPr>
          <w:color w:val="000000"/>
          <w:sz w:val="24"/>
        </w:rPr>
        <w:t>2018</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日，交银卓越回报</w:t>
      </w:r>
      <w:r w:rsidRPr="007F52FA">
        <w:rPr>
          <w:color w:val="000000"/>
          <w:sz w:val="24"/>
        </w:rPr>
        <w:t>A</w:t>
      </w:r>
      <w:r w:rsidRPr="007F52FA">
        <w:rPr>
          <w:color w:val="000000"/>
          <w:sz w:val="24"/>
        </w:rPr>
        <w:t>份额净值为</w:t>
      </w:r>
      <w:r w:rsidRPr="007F52FA">
        <w:rPr>
          <w:color w:val="000000"/>
          <w:sz w:val="24"/>
        </w:rPr>
        <w:t>1.060</w:t>
      </w:r>
      <w:r w:rsidRPr="007F52FA">
        <w:rPr>
          <w:color w:val="000000"/>
          <w:sz w:val="24"/>
        </w:rPr>
        <w:t>元，本报告期份额净值增长率为</w:t>
      </w:r>
      <w:r w:rsidRPr="007F52FA">
        <w:rPr>
          <w:color w:val="000000"/>
          <w:sz w:val="24"/>
        </w:rPr>
        <w:t>1.63%</w:t>
      </w:r>
      <w:r w:rsidRPr="007F52FA">
        <w:rPr>
          <w:color w:val="000000"/>
          <w:sz w:val="24"/>
        </w:rPr>
        <w:t>，同期业绩比较基准增长率为</w:t>
      </w:r>
      <w:r w:rsidRPr="007F52FA">
        <w:rPr>
          <w:color w:val="000000"/>
          <w:sz w:val="24"/>
        </w:rPr>
        <w:t>-4.52%</w:t>
      </w:r>
      <w:r w:rsidRPr="007F52FA">
        <w:rPr>
          <w:color w:val="000000"/>
          <w:sz w:val="24"/>
        </w:rPr>
        <w:t>；交银卓越回报</w:t>
      </w:r>
      <w:r w:rsidRPr="007F52FA">
        <w:rPr>
          <w:color w:val="000000"/>
          <w:sz w:val="24"/>
        </w:rPr>
        <w:t>C</w:t>
      </w:r>
      <w:r w:rsidRPr="007F52FA">
        <w:rPr>
          <w:color w:val="000000"/>
          <w:sz w:val="24"/>
        </w:rPr>
        <w:t>份额净值为</w:t>
      </w:r>
      <w:r w:rsidRPr="007F52FA">
        <w:rPr>
          <w:color w:val="000000"/>
          <w:sz w:val="24"/>
        </w:rPr>
        <w:t>1.048</w:t>
      </w:r>
      <w:r w:rsidRPr="007F52FA">
        <w:rPr>
          <w:color w:val="000000"/>
          <w:sz w:val="24"/>
        </w:rPr>
        <w:t>元，本报告期份额净值增长率为</w:t>
      </w:r>
      <w:r w:rsidRPr="007F52FA">
        <w:rPr>
          <w:color w:val="000000"/>
          <w:sz w:val="24"/>
        </w:rPr>
        <w:t>0.77%</w:t>
      </w:r>
      <w:r w:rsidRPr="007F52FA">
        <w:rPr>
          <w:color w:val="000000"/>
          <w:sz w:val="24"/>
        </w:rPr>
        <w:t>，同期业绩比较基准增长率为</w:t>
      </w:r>
      <w:r w:rsidRPr="007F52FA">
        <w:rPr>
          <w:color w:val="000000"/>
          <w:sz w:val="24"/>
        </w:rPr>
        <w:t>-4.52%</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F103C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220,245.25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0.73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220,245.25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0.73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28,072,400.00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93.51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28,072,400.00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93.51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962,320.96</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3.21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766,399.65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2.55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30,021,365.86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w:t>
            </w:r>
            <w:r w:rsidRPr="007F52FA">
              <w:rPr>
                <w:sz w:val="24"/>
              </w:rPr>
              <w:lastRenderedPageBreak/>
              <w:t>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lastRenderedPageBreak/>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67,459.26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71,559.85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81,226.14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220,245.25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0.75</w:t>
            </w:r>
          </w:p>
        </w:tc>
      </w:tr>
    </w:tbl>
    <w:p w:rsidR="00CB1FEE" w:rsidRDefault="00CB1FEE"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B20989">
        <w:trPr>
          <w:jc w:val="center"/>
        </w:trPr>
        <w:tc>
          <w:tcPr>
            <w:tcW w:w="850" w:type="dxa"/>
            <w:vAlign w:val="center"/>
          </w:tcPr>
          <w:p w:rsidR="00B20989" w:rsidRDefault="0087548B">
            <w:pPr>
              <w:jc w:val="center"/>
            </w:pPr>
            <w:r>
              <w:rPr>
                <w:color w:val="000000"/>
                <w:sz w:val="24"/>
              </w:rPr>
              <w:t>1</w:t>
            </w:r>
          </w:p>
        </w:tc>
        <w:tc>
          <w:tcPr>
            <w:tcW w:w="1327" w:type="dxa"/>
            <w:vAlign w:val="center"/>
          </w:tcPr>
          <w:p w:rsidR="00B20989" w:rsidRDefault="0087548B">
            <w:pPr>
              <w:jc w:val="center"/>
            </w:pPr>
            <w:r>
              <w:rPr>
                <w:color w:val="000000"/>
                <w:sz w:val="24"/>
              </w:rPr>
              <w:t>601330</w:t>
            </w:r>
          </w:p>
        </w:tc>
        <w:tc>
          <w:tcPr>
            <w:tcW w:w="1769" w:type="dxa"/>
            <w:vAlign w:val="center"/>
          </w:tcPr>
          <w:p w:rsidR="00B20989" w:rsidRDefault="0087548B">
            <w:pPr>
              <w:jc w:val="center"/>
            </w:pPr>
            <w:r>
              <w:rPr>
                <w:color w:val="000000"/>
                <w:sz w:val="24"/>
              </w:rPr>
              <w:t>绿色动力</w:t>
            </w:r>
          </w:p>
        </w:tc>
        <w:tc>
          <w:tcPr>
            <w:tcW w:w="1327" w:type="dxa"/>
            <w:vAlign w:val="center"/>
          </w:tcPr>
          <w:p w:rsidR="00B20989" w:rsidRDefault="0087548B">
            <w:pPr>
              <w:jc w:val="right"/>
            </w:pPr>
            <w:r>
              <w:rPr>
                <w:color w:val="000000"/>
                <w:sz w:val="24"/>
              </w:rPr>
              <w:t>4,971</w:t>
            </w:r>
          </w:p>
        </w:tc>
        <w:tc>
          <w:tcPr>
            <w:tcW w:w="1915" w:type="dxa"/>
            <w:vAlign w:val="center"/>
          </w:tcPr>
          <w:p w:rsidR="00B20989" w:rsidRDefault="0087548B">
            <w:pPr>
              <w:jc w:val="right"/>
            </w:pPr>
            <w:r>
              <w:rPr>
                <w:color w:val="000000"/>
                <w:sz w:val="24"/>
              </w:rPr>
              <w:t>81,226.14</w:t>
            </w:r>
          </w:p>
        </w:tc>
        <w:tc>
          <w:tcPr>
            <w:tcW w:w="1680" w:type="dxa"/>
            <w:vAlign w:val="center"/>
          </w:tcPr>
          <w:p w:rsidR="00B20989" w:rsidRDefault="0087548B">
            <w:pPr>
              <w:jc w:val="right"/>
            </w:pPr>
            <w:r>
              <w:rPr>
                <w:color w:val="000000"/>
                <w:sz w:val="24"/>
              </w:rPr>
              <w:t>0.28</w:t>
            </w:r>
          </w:p>
        </w:tc>
      </w:tr>
      <w:tr w:rsidR="00B20989">
        <w:trPr>
          <w:jc w:val="center"/>
        </w:trPr>
        <w:tc>
          <w:tcPr>
            <w:tcW w:w="850" w:type="dxa"/>
            <w:vAlign w:val="center"/>
          </w:tcPr>
          <w:p w:rsidR="00B20989" w:rsidRDefault="0087548B">
            <w:pPr>
              <w:jc w:val="center"/>
            </w:pPr>
            <w:r>
              <w:rPr>
                <w:color w:val="000000"/>
                <w:sz w:val="24"/>
              </w:rPr>
              <w:t>2</w:t>
            </w:r>
          </w:p>
        </w:tc>
        <w:tc>
          <w:tcPr>
            <w:tcW w:w="1327" w:type="dxa"/>
            <w:vAlign w:val="center"/>
          </w:tcPr>
          <w:p w:rsidR="00B20989" w:rsidRDefault="0087548B">
            <w:pPr>
              <w:jc w:val="center"/>
            </w:pPr>
            <w:r>
              <w:rPr>
                <w:color w:val="000000"/>
                <w:sz w:val="24"/>
              </w:rPr>
              <w:t>603650</w:t>
            </w:r>
          </w:p>
        </w:tc>
        <w:tc>
          <w:tcPr>
            <w:tcW w:w="1769" w:type="dxa"/>
            <w:vAlign w:val="center"/>
          </w:tcPr>
          <w:p w:rsidR="00B20989" w:rsidRDefault="0087548B">
            <w:pPr>
              <w:jc w:val="center"/>
            </w:pPr>
            <w:r>
              <w:rPr>
                <w:color w:val="000000"/>
                <w:sz w:val="24"/>
              </w:rPr>
              <w:t>彤程新材</w:t>
            </w:r>
          </w:p>
        </w:tc>
        <w:tc>
          <w:tcPr>
            <w:tcW w:w="1327" w:type="dxa"/>
            <w:vAlign w:val="center"/>
          </w:tcPr>
          <w:p w:rsidR="00B20989" w:rsidRDefault="0087548B">
            <w:pPr>
              <w:jc w:val="right"/>
            </w:pPr>
            <w:r>
              <w:rPr>
                <w:color w:val="000000"/>
                <w:sz w:val="24"/>
              </w:rPr>
              <w:t>2,376</w:t>
            </w:r>
          </w:p>
        </w:tc>
        <w:tc>
          <w:tcPr>
            <w:tcW w:w="1915" w:type="dxa"/>
            <w:vAlign w:val="center"/>
          </w:tcPr>
          <w:p w:rsidR="00B20989" w:rsidRDefault="0087548B">
            <w:pPr>
              <w:jc w:val="right"/>
            </w:pPr>
            <w:r>
              <w:rPr>
                <w:color w:val="000000"/>
                <w:sz w:val="24"/>
              </w:rPr>
              <w:t>50,988.96</w:t>
            </w:r>
          </w:p>
        </w:tc>
        <w:tc>
          <w:tcPr>
            <w:tcW w:w="1680" w:type="dxa"/>
            <w:vAlign w:val="center"/>
          </w:tcPr>
          <w:p w:rsidR="00B20989" w:rsidRDefault="0087548B">
            <w:pPr>
              <w:jc w:val="right"/>
            </w:pPr>
            <w:r>
              <w:rPr>
                <w:color w:val="000000"/>
                <w:sz w:val="24"/>
              </w:rPr>
              <w:t>0.17</w:t>
            </w:r>
          </w:p>
        </w:tc>
      </w:tr>
      <w:tr w:rsidR="00B20989">
        <w:trPr>
          <w:jc w:val="center"/>
        </w:trPr>
        <w:tc>
          <w:tcPr>
            <w:tcW w:w="850" w:type="dxa"/>
            <w:vAlign w:val="center"/>
          </w:tcPr>
          <w:p w:rsidR="00B20989" w:rsidRDefault="0087548B">
            <w:pPr>
              <w:jc w:val="center"/>
            </w:pPr>
            <w:r>
              <w:rPr>
                <w:color w:val="000000"/>
                <w:sz w:val="24"/>
              </w:rPr>
              <w:t>3</w:t>
            </w:r>
          </w:p>
        </w:tc>
        <w:tc>
          <w:tcPr>
            <w:tcW w:w="1327" w:type="dxa"/>
            <w:vAlign w:val="center"/>
          </w:tcPr>
          <w:p w:rsidR="00B20989" w:rsidRDefault="0087548B">
            <w:pPr>
              <w:jc w:val="center"/>
            </w:pPr>
            <w:r>
              <w:rPr>
                <w:color w:val="000000"/>
                <w:sz w:val="24"/>
              </w:rPr>
              <w:t>603693</w:t>
            </w:r>
          </w:p>
        </w:tc>
        <w:tc>
          <w:tcPr>
            <w:tcW w:w="1769" w:type="dxa"/>
            <w:vAlign w:val="center"/>
          </w:tcPr>
          <w:p w:rsidR="00B20989" w:rsidRDefault="0087548B">
            <w:pPr>
              <w:jc w:val="center"/>
            </w:pPr>
            <w:r>
              <w:rPr>
                <w:color w:val="000000"/>
                <w:sz w:val="24"/>
              </w:rPr>
              <w:t>江苏新能</w:t>
            </w:r>
          </w:p>
        </w:tc>
        <w:tc>
          <w:tcPr>
            <w:tcW w:w="1327" w:type="dxa"/>
            <w:vAlign w:val="center"/>
          </w:tcPr>
          <w:p w:rsidR="00B20989" w:rsidRDefault="0087548B">
            <w:pPr>
              <w:jc w:val="right"/>
            </w:pPr>
            <w:r>
              <w:rPr>
                <w:color w:val="000000"/>
                <w:sz w:val="24"/>
              </w:rPr>
              <w:t>5,384</w:t>
            </w:r>
          </w:p>
        </w:tc>
        <w:tc>
          <w:tcPr>
            <w:tcW w:w="1915" w:type="dxa"/>
            <w:vAlign w:val="center"/>
          </w:tcPr>
          <w:p w:rsidR="00B20989" w:rsidRDefault="0087548B">
            <w:pPr>
              <w:jc w:val="right"/>
            </w:pPr>
            <w:r>
              <w:rPr>
                <w:color w:val="000000"/>
                <w:sz w:val="24"/>
              </w:rPr>
              <w:t>48,456.00</w:t>
            </w:r>
          </w:p>
        </w:tc>
        <w:tc>
          <w:tcPr>
            <w:tcW w:w="1680" w:type="dxa"/>
            <w:vAlign w:val="center"/>
          </w:tcPr>
          <w:p w:rsidR="00B20989" w:rsidRDefault="0087548B">
            <w:pPr>
              <w:jc w:val="right"/>
            </w:pPr>
            <w:r>
              <w:rPr>
                <w:color w:val="000000"/>
                <w:sz w:val="24"/>
              </w:rPr>
              <w:t>0.17</w:t>
            </w:r>
          </w:p>
        </w:tc>
      </w:tr>
      <w:tr w:rsidR="00B20989">
        <w:trPr>
          <w:jc w:val="center"/>
        </w:trPr>
        <w:tc>
          <w:tcPr>
            <w:tcW w:w="850" w:type="dxa"/>
            <w:vAlign w:val="center"/>
          </w:tcPr>
          <w:p w:rsidR="00B20989" w:rsidRDefault="0087548B">
            <w:pPr>
              <w:jc w:val="center"/>
            </w:pPr>
            <w:r>
              <w:rPr>
                <w:color w:val="000000"/>
                <w:sz w:val="24"/>
              </w:rPr>
              <w:lastRenderedPageBreak/>
              <w:t>4</w:t>
            </w:r>
          </w:p>
        </w:tc>
        <w:tc>
          <w:tcPr>
            <w:tcW w:w="1327" w:type="dxa"/>
            <w:vAlign w:val="center"/>
          </w:tcPr>
          <w:p w:rsidR="00B20989" w:rsidRDefault="0087548B">
            <w:pPr>
              <w:jc w:val="center"/>
            </w:pPr>
            <w:r>
              <w:rPr>
                <w:color w:val="000000"/>
                <w:sz w:val="24"/>
              </w:rPr>
              <w:t>603706</w:t>
            </w:r>
          </w:p>
        </w:tc>
        <w:tc>
          <w:tcPr>
            <w:tcW w:w="1769" w:type="dxa"/>
            <w:vAlign w:val="center"/>
          </w:tcPr>
          <w:p w:rsidR="00B20989" w:rsidRDefault="0087548B">
            <w:pPr>
              <w:jc w:val="center"/>
            </w:pPr>
            <w:r>
              <w:rPr>
                <w:color w:val="000000"/>
                <w:sz w:val="24"/>
              </w:rPr>
              <w:t>东方环宇</w:t>
            </w:r>
          </w:p>
        </w:tc>
        <w:tc>
          <w:tcPr>
            <w:tcW w:w="1327" w:type="dxa"/>
            <w:vAlign w:val="center"/>
          </w:tcPr>
          <w:p w:rsidR="00B20989" w:rsidRDefault="0087548B">
            <w:pPr>
              <w:jc w:val="right"/>
            </w:pPr>
            <w:r>
              <w:rPr>
                <w:color w:val="000000"/>
                <w:sz w:val="24"/>
              </w:rPr>
              <w:t>1,765</w:t>
            </w:r>
          </w:p>
        </w:tc>
        <w:tc>
          <w:tcPr>
            <w:tcW w:w="1915" w:type="dxa"/>
            <w:vAlign w:val="center"/>
          </w:tcPr>
          <w:p w:rsidR="00B20989" w:rsidRDefault="0087548B">
            <w:pPr>
              <w:jc w:val="right"/>
            </w:pPr>
            <w:r>
              <w:rPr>
                <w:color w:val="000000"/>
                <w:sz w:val="24"/>
              </w:rPr>
              <w:t>23,103.85</w:t>
            </w:r>
          </w:p>
        </w:tc>
        <w:tc>
          <w:tcPr>
            <w:tcW w:w="1680" w:type="dxa"/>
            <w:vAlign w:val="center"/>
          </w:tcPr>
          <w:p w:rsidR="00B20989" w:rsidRDefault="0087548B">
            <w:pPr>
              <w:jc w:val="right"/>
            </w:pPr>
            <w:r>
              <w:rPr>
                <w:color w:val="000000"/>
                <w:sz w:val="24"/>
              </w:rPr>
              <w:t>0.08</w:t>
            </w:r>
          </w:p>
        </w:tc>
      </w:tr>
      <w:tr w:rsidR="00B20989">
        <w:trPr>
          <w:jc w:val="center"/>
        </w:trPr>
        <w:tc>
          <w:tcPr>
            <w:tcW w:w="850" w:type="dxa"/>
            <w:vAlign w:val="center"/>
          </w:tcPr>
          <w:p w:rsidR="00B20989" w:rsidRDefault="0087548B">
            <w:pPr>
              <w:jc w:val="center"/>
            </w:pPr>
            <w:r>
              <w:rPr>
                <w:color w:val="000000"/>
                <w:sz w:val="24"/>
              </w:rPr>
              <w:t>5</w:t>
            </w:r>
          </w:p>
        </w:tc>
        <w:tc>
          <w:tcPr>
            <w:tcW w:w="1327" w:type="dxa"/>
            <w:vAlign w:val="center"/>
          </w:tcPr>
          <w:p w:rsidR="00B20989" w:rsidRDefault="0087548B">
            <w:pPr>
              <w:jc w:val="center"/>
            </w:pPr>
            <w:r>
              <w:rPr>
                <w:color w:val="000000"/>
                <w:sz w:val="24"/>
              </w:rPr>
              <w:t>603105</w:t>
            </w:r>
          </w:p>
        </w:tc>
        <w:tc>
          <w:tcPr>
            <w:tcW w:w="1769" w:type="dxa"/>
            <w:vAlign w:val="center"/>
          </w:tcPr>
          <w:p w:rsidR="00B20989" w:rsidRDefault="0087548B">
            <w:pPr>
              <w:jc w:val="center"/>
            </w:pPr>
            <w:r>
              <w:rPr>
                <w:color w:val="000000"/>
                <w:sz w:val="24"/>
              </w:rPr>
              <w:t>芯能科技</w:t>
            </w:r>
          </w:p>
        </w:tc>
        <w:tc>
          <w:tcPr>
            <w:tcW w:w="1327" w:type="dxa"/>
            <w:vAlign w:val="center"/>
          </w:tcPr>
          <w:p w:rsidR="00B20989" w:rsidRDefault="0087548B">
            <w:pPr>
              <w:jc w:val="right"/>
            </w:pPr>
            <w:r>
              <w:rPr>
                <w:color w:val="000000"/>
                <w:sz w:val="24"/>
              </w:rPr>
              <w:t>3,410</w:t>
            </w:r>
          </w:p>
        </w:tc>
        <w:tc>
          <w:tcPr>
            <w:tcW w:w="1915" w:type="dxa"/>
            <w:vAlign w:val="center"/>
          </w:tcPr>
          <w:p w:rsidR="00B20989" w:rsidRDefault="0087548B">
            <w:pPr>
              <w:jc w:val="right"/>
            </w:pPr>
            <w:r>
              <w:rPr>
                <w:color w:val="000000"/>
                <w:sz w:val="24"/>
              </w:rPr>
              <w:t>16,470.30</w:t>
            </w:r>
          </w:p>
        </w:tc>
        <w:tc>
          <w:tcPr>
            <w:tcW w:w="1680" w:type="dxa"/>
            <w:vAlign w:val="center"/>
          </w:tcPr>
          <w:p w:rsidR="00B20989" w:rsidRDefault="0087548B">
            <w:pPr>
              <w:jc w:val="right"/>
            </w:pPr>
            <w:r>
              <w:rPr>
                <w:color w:val="000000"/>
                <w:sz w:val="24"/>
              </w:rPr>
              <w:t>0.06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28,072,400.00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95.97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28,072,400.00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95.97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28,072,400.00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95.97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20989">
        <w:trPr>
          <w:jc w:val="center"/>
        </w:trPr>
        <w:tc>
          <w:tcPr>
            <w:tcW w:w="1075" w:type="dxa"/>
            <w:vAlign w:val="center"/>
          </w:tcPr>
          <w:p w:rsidR="00B20989" w:rsidRDefault="0087548B">
            <w:pPr>
              <w:jc w:val="center"/>
            </w:pPr>
            <w:r>
              <w:rPr>
                <w:color w:val="000000"/>
                <w:sz w:val="24"/>
              </w:rPr>
              <w:t>1</w:t>
            </w:r>
          </w:p>
        </w:tc>
        <w:tc>
          <w:tcPr>
            <w:tcW w:w="1533" w:type="dxa"/>
            <w:vAlign w:val="center"/>
          </w:tcPr>
          <w:p w:rsidR="00B20989" w:rsidRDefault="0087548B">
            <w:pPr>
              <w:jc w:val="center"/>
            </w:pPr>
            <w:r>
              <w:rPr>
                <w:color w:val="000000"/>
                <w:sz w:val="24"/>
              </w:rPr>
              <w:t>170209</w:t>
            </w:r>
          </w:p>
        </w:tc>
        <w:tc>
          <w:tcPr>
            <w:tcW w:w="1533" w:type="dxa"/>
            <w:vAlign w:val="center"/>
          </w:tcPr>
          <w:p w:rsidR="00B20989" w:rsidRDefault="0087548B">
            <w:pPr>
              <w:jc w:val="center"/>
            </w:pPr>
            <w:r>
              <w:rPr>
                <w:color w:val="000000"/>
                <w:sz w:val="24"/>
              </w:rPr>
              <w:t>17</w:t>
            </w:r>
            <w:r>
              <w:rPr>
                <w:color w:val="000000"/>
                <w:sz w:val="24"/>
              </w:rPr>
              <w:t>国开</w:t>
            </w:r>
            <w:r>
              <w:rPr>
                <w:color w:val="000000"/>
                <w:sz w:val="24"/>
              </w:rPr>
              <w:t>09</w:t>
            </w:r>
          </w:p>
        </w:tc>
        <w:tc>
          <w:tcPr>
            <w:tcW w:w="1394" w:type="dxa"/>
            <w:vAlign w:val="center"/>
          </w:tcPr>
          <w:p w:rsidR="00B20989" w:rsidRDefault="0087548B">
            <w:pPr>
              <w:jc w:val="right"/>
            </w:pPr>
            <w:r>
              <w:rPr>
                <w:color w:val="000000"/>
                <w:sz w:val="24"/>
              </w:rPr>
              <w:t>200,000</w:t>
            </w:r>
          </w:p>
        </w:tc>
        <w:tc>
          <w:tcPr>
            <w:tcW w:w="1944" w:type="dxa"/>
            <w:vAlign w:val="center"/>
          </w:tcPr>
          <w:p w:rsidR="00B20989" w:rsidRDefault="0087548B">
            <w:pPr>
              <w:jc w:val="right"/>
            </w:pPr>
            <w:r>
              <w:rPr>
                <w:color w:val="000000"/>
                <w:sz w:val="24"/>
              </w:rPr>
              <w:t>20,042,000.00</w:t>
            </w:r>
          </w:p>
        </w:tc>
        <w:tc>
          <w:tcPr>
            <w:tcW w:w="1389" w:type="dxa"/>
            <w:vAlign w:val="center"/>
          </w:tcPr>
          <w:p w:rsidR="00B20989" w:rsidRDefault="0087548B">
            <w:pPr>
              <w:jc w:val="right"/>
            </w:pPr>
            <w:r>
              <w:rPr>
                <w:color w:val="000000"/>
                <w:sz w:val="24"/>
              </w:rPr>
              <w:t>68.52</w:t>
            </w:r>
          </w:p>
        </w:tc>
      </w:tr>
      <w:tr w:rsidR="00B20989">
        <w:trPr>
          <w:jc w:val="center"/>
        </w:trPr>
        <w:tc>
          <w:tcPr>
            <w:tcW w:w="1075" w:type="dxa"/>
            <w:vAlign w:val="center"/>
          </w:tcPr>
          <w:p w:rsidR="00B20989" w:rsidRDefault="0087548B">
            <w:pPr>
              <w:jc w:val="center"/>
            </w:pPr>
            <w:r>
              <w:rPr>
                <w:color w:val="000000"/>
                <w:sz w:val="24"/>
              </w:rPr>
              <w:t>2</w:t>
            </w:r>
          </w:p>
        </w:tc>
        <w:tc>
          <w:tcPr>
            <w:tcW w:w="1533" w:type="dxa"/>
            <w:vAlign w:val="center"/>
          </w:tcPr>
          <w:p w:rsidR="00B20989" w:rsidRDefault="0087548B">
            <w:pPr>
              <w:jc w:val="center"/>
            </w:pPr>
            <w:r>
              <w:rPr>
                <w:color w:val="000000"/>
                <w:sz w:val="24"/>
              </w:rPr>
              <w:t>018005</w:t>
            </w:r>
          </w:p>
        </w:tc>
        <w:tc>
          <w:tcPr>
            <w:tcW w:w="1533" w:type="dxa"/>
            <w:vAlign w:val="center"/>
          </w:tcPr>
          <w:p w:rsidR="00B20989" w:rsidRDefault="0087548B">
            <w:pPr>
              <w:jc w:val="center"/>
            </w:pPr>
            <w:r>
              <w:rPr>
                <w:color w:val="000000"/>
                <w:sz w:val="24"/>
              </w:rPr>
              <w:t>国开</w:t>
            </w:r>
            <w:r>
              <w:rPr>
                <w:color w:val="000000"/>
                <w:sz w:val="24"/>
              </w:rPr>
              <w:t>1701</w:t>
            </w:r>
          </w:p>
        </w:tc>
        <w:tc>
          <w:tcPr>
            <w:tcW w:w="1394" w:type="dxa"/>
            <w:vAlign w:val="center"/>
          </w:tcPr>
          <w:p w:rsidR="00B20989" w:rsidRDefault="0087548B">
            <w:pPr>
              <w:jc w:val="right"/>
            </w:pPr>
            <w:r>
              <w:rPr>
                <w:color w:val="000000"/>
                <w:sz w:val="24"/>
              </w:rPr>
              <w:t>80,000</w:t>
            </w:r>
          </w:p>
        </w:tc>
        <w:tc>
          <w:tcPr>
            <w:tcW w:w="1944" w:type="dxa"/>
            <w:vAlign w:val="center"/>
          </w:tcPr>
          <w:p w:rsidR="00B20989" w:rsidRDefault="0087548B">
            <w:pPr>
              <w:jc w:val="right"/>
            </w:pPr>
            <w:r>
              <w:rPr>
                <w:color w:val="000000"/>
                <w:sz w:val="24"/>
              </w:rPr>
              <w:t>8,030,400.00</w:t>
            </w:r>
          </w:p>
        </w:tc>
        <w:tc>
          <w:tcPr>
            <w:tcW w:w="1389" w:type="dxa"/>
            <w:vAlign w:val="center"/>
          </w:tcPr>
          <w:p w:rsidR="00B20989" w:rsidRDefault="0087548B">
            <w:pPr>
              <w:jc w:val="right"/>
            </w:pPr>
            <w:r>
              <w:rPr>
                <w:color w:val="000000"/>
                <w:sz w:val="24"/>
              </w:rPr>
              <w:t>27.45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CB1FEE">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lastRenderedPageBreak/>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19,119.76</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746,483.31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796.58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766,399.65</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837861">
        <w:trPr>
          <w:jc w:val="center"/>
        </w:trPr>
        <w:tc>
          <w:tcPr>
            <w:tcW w:w="1083"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6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36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B20989">
        <w:trPr>
          <w:jc w:val="center"/>
        </w:trPr>
        <w:tc>
          <w:tcPr>
            <w:tcW w:w="1129" w:type="dxa"/>
            <w:vAlign w:val="center"/>
          </w:tcPr>
          <w:p w:rsidR="00B20989" w:rsidRDefault="0087548B">
            <w:pPr>
              <w:jc w:val="center"/>
            </w:pPr>
            <w:r>
              <w:rPr>
                <w:rFonts w:eastAsiaTheme="minorEastAsia"/>
                <w:color w:val="000000"/>
                <w:sz w:val="24"/>
              </w:rPr>
              <w:t>1</w:t>
            </w:r>
          </w:p>
        </w:tc>
        <w:tc>
          <w:tcPr>
            <w:tcW w:w="1356" w:type="dxa"/>
            <w:vAlign w:val="center"/>
          </w:tcPr>
          <w:p w:rsidR="00B20989" w:rsidRDefault="0087548B">
            <w:pPr>
              <w:jc w:val="center"/>
            </w:pPr>
            <w:r>
              <w:rPr>
                <w:rFonts w:eastAsiaTheme="minorEastAsia"/>
                <w:color w:val="000000"/>
                <w:sz w:val="24"/>
              </w:rPr>
              <w:t>603693</w:t>
            </w:r>
          </w:p>
        </w:tc>
        <w:tc>
          <w:tcPr>
            <w:tcW w:w="1355" w:type="dxa"/>
            <w:vAlign w:val="center"/>
          </w:tcPr>
          <w:p w:rsidR="00B20989" w:rsidRDefault="0087548B">
            <w:pPr>
              <w:jc w:val="center"/>
            </w:pPr>
            <w:r>
              <w:rPr>
                <w:rFonts w:eastAsiaTheme="minorEastAsia"/>
                <w:color w:val="000000"/>
                <w:sz w:val="24"/>
              </w:rPr>
              <w:t>江苏新能</w:t>
            </w:r>
          </w:p>
        </w:tc>
        <w:tc>
          <w:tcPr>
            <w:tcW w:w="1880" w:type="dxa"/>
            <w:vAlign w:val="center"/>
          </w:tcPr>
          <w:p w:rsidR="00B20989" w:rsidRDefault="0087548B">
            <w:pPr>
              <w:jc w:val="right"/>
            </w:pPr>
            <w:r>
              <w:rPr>
                <w:rFonts w:eastAsiaTheme="minorEastAsia"/>
                <w:color w:val="000000"/>
                <w:sz w:val="24"/>
              </w:rPr>
              <w:t>48,456.00</w:t>
            </w:r>
          </w:p>
        </w:tc>
        <w:tc>
          <w:tcPr>
            <w:tcW w:w="1724" w:type="dxa"/>
            <w:vAlign w:val="center"/>
          </w:tcPr>
          <w:p w:rsidR="00B20989" w:rsidRDefault="0087548B">
            <w:pPr>
              <w:jc w:val="right"/>
            </w:pPr>
            <w:r>
              <w:rPr>
                <w:rFonts w:eastAsiaTheme="minorEastAsia"/>
                <w:color w:val="000000"/>
                <w:sz w:val="24"/>
              </w:rPr>
              <w:t>0.17</w:t>
            </w:r>
          </w:p>
        </w:tc>
        <w:tc>
          <w:tcPr>
            <w:tcW w:w="1424" w:type="dxa"/>
            <w:vAlign w:val="center"/>
          </w:tcPr>
          <w:p w:rsidR="00B20989" w:rsidRDefault="0087548B">
            <w:pPr>
              <w:jc w:val="right"/>
            </w:pPr>
            <w:r>
              <w:rPr>
                <w:rFonts w:eastAsiaTheme="minorEastAsia"/>
                <w:color w:val="000000"/>
                <w:sz w:val="24"/>
              </w:rPr>
              <w:t>新股申购</w:t>
            </w:r>
          </w:p>
        </w:tc>
      </w:tr>
      <w:tr w:rsidR="00B20989">
        <w:trPr>
          <w:jc w:val="center"/>
        </w:trPr>
        <w:tc>
          <w:tcPr>
            <w:tcW w:w="1129" w:type="dxa"/>
            <w:vAlign w:val="center"/>
          </w:tcPr>
          <w:p w:rsidR="00B20989" w:rsidRDefault="0087548B">
            <w:pPr>
              <w:jc w:val="center"/>
            </w:pPr>
            <w:r>
              <w:rPr>
                <w:rFonts w:eastAsiaTheme="minorEastAsia"/>
                <w:color w:val="000000"/>
                <w:sz w:val="24"/>
              </w:rPr>
              <w:lastRenderedPageBreak/>
              <w:t>2</w:t>
            </w:r>
          </w:p>
        </w:tc>
        <w:tc>
          <w:tcPr>
            <w:tcW w:w="1356" w:type="dxa"/>
            <w:vAlign w:val="center"/>
          </w:tcPr>
          <w:p w:rsidR="00B20989" w:rsidRDefault="0087548B">
            <w:pPr>
              <w:jc w:val="center"/>
            </w:pPr>
            <w:r>
              <w:rPr>
                <w:rFonts w:eastAsiaTheme="minorEastAsia"/>
                <w:color w:val="000000"/>
                <w:sz w:val="24"/>
              </w:rPr>
              <w:t>603706</w:t>
            </w:r>
          </w:p>
        </w:tc>
        <w:tc>
          <w:tcPr>
            <w:tcW w:w="1355" w:type="dxa"/>
            <w:vAlign w:val="center"/>
          </w:tcPr>
          <w:p w:rsidR="00B20989" w:rsidRDefault="0087548B">
            <w:pPr>
              <w:jc w:val="center"/>
            </w:pPr>
            <w:r>
              <w:rPr>
                <w:rFonts w:eastAsiaTheme="minorEastAsia"/>
                <w:color w:val="000000"/>
                <w:sz w:val="24"/>
              </w:rPr>
              <w:t>东方环宇</w:t>
            </w:r>
          </w:p>
        </w:tc>
        <w:tc>
          <w:tcPr>
            <w:tcW w:w="1880" w:type="dxa"/>
            <w:vAlign w:val="center"/>
          </w:tcPr>
          <w:p w:rsidR="00B20989" w:rsidRDefault="0087548B">
            <w:pPr>
              <w:jc w:val="right"/>
            </w:pPr>
            <w:r>
              <w:rPr>
                <w:rFonts w:eastAsiaTheme="minorEastAsia"/>
                <w:color w:val="000000"/>
                <w:sz w:val="24"/>
              </w:rPr>
              <w:t>23,103.85</w:t>
            </w:r>
          </w:p>
        </w:tc>
        <w:tc>
          <w:tcPr>
            <w:tcW w:w="1724" w:type="dxa"/>
            <w:vAlign w:val="center"/>
          </w:tcPr>
          <w:p w:rsidR="00B20989" w:rsidRDefault="0087548B">
            <w:pPr>
              <w:jc w:val="right"/>
            </w:pPr>
            <w:r>
              <w:rPr>
                <w:rFonts w:eastAsiaTheme="minorEastAsia"/>
                <w:color w:val="000000"/>
                <w:sz w:val="24"/>
              </w:rPr>
              <w:t>0.08</w:t>
            </w:r>
          </w:p>
        </w:tc>
        <w:tc>
          <w:tcPr>
            <w:tcW w:w="1424" w:type="dxa"/>
            <w:vAlign w:val="center"/>
          </w:tcPr>
          <w:p w:rsidR="00B20989" w:rsidRDefault="0087548B">
            <w:pPr>
              <w:jc w:val="right"/>
            </w:pPr>
            <w:r>
              <w:rPr>
                <w:rFonts w:eastAsiaTheme="minorEastAsia"/>
                <w:color w:val="000000"/>
                <w:sz w:val="24"/>
              </w:rPr>
              <w:t>新股申购</w:t>
            </w:r>
          </w:p>
        </w:tc>
      </w:tr>
      <w:tr w:rsidR="00B20989">
        <w:trPr>
          <w:jc w:val="center"/>
        </w:trPr>
        <w:tc>
          <w:tcPr>
            <w:tcW w:w="1129" w:type="dxa"/>
            <w:vAlign w:val="center"/>
          </w:tcPr>
          <w:p w:rsidR="00B20989" w:rsidRDefault="0087548B">
            <w:pPr>
              <w:jc w:val="center"/>
            </w:pPr>
            <w:r>
              <w:rPr>
                <w:rFonts w:eastAsiaTheme="minorEastAsia"/>
                <w:color w:val="000000"/>
                <w:sz w:val="24"/>
              </w:rPr>
              <w:t>3</w:t>
            </w:r>
          </w:p>
        </w:tc>
        <w:tc>
          <w:tcPr>
            <w:tcW w:w="1356" w:type="dxa"/>
            <w:vAlign w:val="center"/>
          </w:tcPr>
          <w:p w:rsidR="00B20989" w:rsidRDefault="0087548B">
            <w:pPr>
              <w:jc w:val="center"/>
            </w:pPr>
            <w:r>
              <w:rPr>
                <w:rFonts w:eastAsiaTheme="minorEastAsia"/>
                <w:color w:val="000000"/>
                <w:sz w:val="24"/>
              </w:rPr>
              <w:t>603105</w:t>
            </w:r>
          </w:p>
        </w:tc>
        <w:tc>
          <w:tcPr>
            <w:tcW w:w="1355" w:type="dxa"/>
            <w:vAlign w:val="center"/>
          </w:tcPr>
          <w:p w:rsidR="00B20989" w:rsidRDefault="0087548B">
            <w:pPr>
              <w:jc w:val="center"/>
            </w:pPr>
            <w:r>
              <w:rPr>
                <w:rFonts w:eastAsiaTheme="minorEastAsia"/>
                <w:color w:val="000000"/>
                <w:sz w:val="24"/>
              </w:rPr>
              <w:t>芯能科技</w:t>
            </w:r>
          </w:p>
        </w:tc>
        <w:tc>
          <w:tcPr>
            <w:tcW w:w="1880" w:type="dxa"/>
            <w:vAlign w:val="center"/>
          </w:tcPr>
          <w:p w:rsidR="00B20989" w:rsidRDefault="0087548B">
            <w:pPr>
              <w:jc w:val="right"/>
            </w:pPr>
            <w:r>
              <w:rPr>
                <w:rFonts w:eastAsiaTheme="minorEastAsia"/>
                <w:color w:val="000000"/>
                <w:sz w:val="24"/>
              </w:rPr>
              <w:t>16,470.30</w:t>
            </w:r>
          </w:p>
        </w:tc>
        <w:tc>
          <w:tcPr>
            <w:tcW w:w="1724" w:type="dxa"/>
            <w:vAlign w:val="center"/>
          </w:tcPr>
          <w:p w:rsidR="00B20989" w:rsidRDefault="0087548B">
            <w:pPr>
              <w:jc w:val="right"/>
            </w:pPr>
            <w:r>
              <w:rPr>
                <w:rFonts w:eastAsiaTheme="minorEastAsia"/>
                <w:color w:val="000000"/>
                <w:sz w:val="24"/>
              </w:rPr>
              <w:t>0.06</w:t>
            </w:r>
          </w:p>
        </w:tc>
        <w:tc>
          <w:tcPr>
            <w:tcW w:w="1424" w:type="dxa"/>
            <w:vAlign w:val="center"/>
          </w:tcPr>
          <w:p w:rsidR="00B20989" w:rsidRDefault="0087548B">
            <w:pPr>
              <w:jc w:val="right"/>
            </w:pPr>
            <w:r>
              <w:rPr>
                <w:rFonts w:eastAsiaTheme="minorEastAsia"/>
                <w:color w:val="000000"/>
                <w:sz w:val="24"/>
              </w:rPr>
              <w:t>新股申购</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B1FEE" w:rsidRDefault="00C51B4E" w:rsidP="00F103C8">
      <w:pPr>
        <w:pStyle w:val="1"/>
        <w:spacing w:beforeLines="100" w:before="312" w:afterLines="100" w:after="312" w:line="360" w:lineRule="auto"/>
        <w:jc w:val="center"/>
        <w:rPr>
          <w:rFonts w:eastAsiaTheme="minorEastAsia"/>
          <w:color w:val="000000" w:themeColor="text1"/>
          <w:kern w:val="0"/>
          <w:sz w:val="24"/>
          <w:szCs w:val="24"/>
        </w:rPr>
      </w:pPr>
      <w:bookmarkStart w:id="0" w:name="_GoBack"/>
      <w:r w:rsidRPr="00CB1FEE">
        <w:rPr>
          <w:rFonts w:eastAsiaTheme="minorEastAsia"/>
          <w:color w:val="000000" w:themeColor="text1"/>
          <w:kern w:val="0"/>
          <w:sz w:val="24"/>
          <w:szCs w:val="24"/>
        </w:rPr>
        <w:t>§6</w:t>
      </w:r>
      <w:r w:rsidRPr="00CB1FEE">
        <w:rPr>
          <w:rFonts w:eastAsiaTheme="minorEastAsia" w:hint="eastAsia"/>
          <w:color w:val="000000" w:themeColor="text1"/>
          <w:kern w:val="0"/>
          <w:sz w:val="24"/>
          <w:szCs w:val="24"/>
        </w:rPr>
        <w:t xml:space="preserve">  </w:t>
      </w:r>
      <w:r w:rsidRPr="00CB1FEE">
        <w:rPr>
          <w:rFonts w:eastAsiaTheme="minorEastAsia" w:hint="eastAsia"/>
          <w:color w:val="000000" w:themeColor="text1"/>
          <w:kern w:val="0"/>
          <w:sz w:val="24"/>
          <w:szCs w:val="24"/>
        </w:rPr>
        <w:t>基金中基金</w:t>
      </w:r>
    </w:p>
    <w:p w:rsidR="00C51B4E" w:rsidRPr="00CB1FEE" w:rsidRDefault="00C51B4E" w:rsidP="00C51B4E">
      <w:pPr>
        <w:adjustRightInd w:val="0"/>
        <w:snapToGrid w:val="0"/>
        <w:spacing w:line="360" w:lineRule="auto"/>
        <w:rPr>
          <w:rFonts w:eastAsiaTheme="minorEastAsia"/>
          <w:b/>
          <w:color w:val="000000" w:themeColor="text1"/>
          <w:kern w:val="0"/>
          <w:sz w:val="24"/>
        </w:rPr>
      </w:pPr>
      <w:r w:rsidRPr="00CB1FEE">
        <w:rPr>
          <w:rFonts w:eastAsiaTheme="minorEastAsia"/>
          <w:b/>
          <w:color w:val="000000" w:themeColor="text1"/>
          <w:kern w:val="0"/>
          <w:sz w:val="24"/>
        </w:rPr>
        <w:t>6.1</w:t>
      </w:r>
      <w:r w:rsidRPr="00CB1FEE">
        <w:rPr>
          <w:rFonts w:eastAsiaTheme="minorEastAsia" w:hint="eastAsia"/>
          <w:b/>
          <w:color w:val="000000" w:themeColor="text1"/>
          <w:kern w:val="0"/>
          <w:sz w:val="24"/>
        </w:rPr>
        <w:t xml:space="preserve"> </w:t>
      </w:r>
      <w:r w:rsidRPr="00CB1FEE">
        <w:rPr>
          <w:rFonts w:eastAsiaTheme="minorEastAsia" w:hint="eastAsia"/>
          <w:b/>
          <w:color w:val="000000" w:themeColor="text1"/>
          <w:kern w:val="0"/>
          <w:sz w:val="24"/>
        </w:rPr>
        <w:t>报告期末按公允价值占基金资产净值比例大小排序的前十名基金投资明细</w:t>
      </w:r>
    </w:p>
    <w:p w:rsidR="00C51B4E" w:rsidRPr="00CB1FEE"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CB1FEE">
        <w:rPr>
          <w:rFonts w:eastAsiaTheme="minorEastAsia"/>
          <w:color w:val="000000" w:themeColor="text1"/>
          <w:sz w:val="24"/>
        </w:rPr>
        <w:t>本基金本报告期末未持有基金。</w:t>
      </w:r>
    </w:p>
    <w:p w:rsidR="00C51B4E" w:rsidRPr="00CB1FEE" w:rsidRDefault="00C51B4E" w:rsidP="00F103C8">
      <w:pPr>
        <w:adjustRightInd w:val="0"/>
        <w:snapToGrid w:val="0"/>
        <w:spacing w:beforeLines="50" w:before="156" w:line="360" w:lineRule="auto"/>
        <w:rPr>
          <w:rFonts w:eastAsiaTheme="minorEastAsia"/>
          <w:b/>
          <w:color w:val="000000" w:themeColor="text1"/>
          <w:kern w:val="0"/>
          <w:sz w:val="24"/>
        </w:rPr>
      </w:pPr>
      <w:r w:rsidRPr="00CB1FEE">
        <w:rPr>
          <w:rFonts w:eastAsiaTheme="minorEastAsia"/>
          <w:b/>
          <w:color w:val="000000" w:themeColor="text1"/>
          <w:kern w:val="0"/>
          <w:sz w:val="24"/>
        </w:rPr>
        <w:t>6.2</w:t>
      </w:r>
      <w:r w:rsidRPr="00CB1FEE">
        <w:rPr>
          <w:rFonts w:eastAsiaTheme="minorEastAsia" w:hint="eastAsia"/>
          <w:b/>
          <w:color w:val="000000" w:themeColor="text1"/>
          <w:kern w:val="0"/>
          <w:sz w:val="24"/>
        </w:rPr>
        <w:t xml:space="preserve"> </w:t>
      </w:r>
      <w:r w:rsidRPr="00CB1FEE">
        <w:rPr>
          <w:rFonts w:eastAsiaTheme="minorEastAsia" w:hint="eastAsia"/>
          <w:b/>
          <w:color w:val="000000" w:themeColor="text1"/>
          <w:kern w:val="0"/>
          <w:sz w:val="24"/>
        </w:rPr>
        <w:t>当期交易及持有基金产生的费用</w:t>
      </w:r>
    </w:p>
    <w:p w:rsidR="00C51B4E" w:rsidRPr="00CB1FEE"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CB1FEE">
        <w:rPr>
          <w:rFonts w:eastAsiaTheme="minorEastAsia"/>
          <w:color w:val="000000" w:themeColor="text1"/>
          <w:sz w:val="24"/>
        </w:rPr>
        <w:t>本基金本报告期内未交易或持有基金。</w:t>
      </w:r>
    </w:p>
    <w:p w:rsidR="00C51B4E" w:rsidRPr="00CB1FEE" w:rsidRDefault="00C51B4E" w:rsidP="00F103C8">
      <w:pPr>
        <w:adjustRightInd w:val="0"/>
        <w:snapToGrid w:val="0"/>
        <w:spacing w:beforeLines="50" w:before="156" w:line="360" w:lineRule="auto"/>
        <w:rPr>
          <w:rFonts w:eastAsiaTheme="minorEastAsia"/>
          <w:b/>
          <w:color w:val="000000" w:themeColor="text1"/>
          <w:kern w:val="0"/>
          <w:sz w:val="24"/>
        </w:rPr>
      </w:pPr>
      <w:r w:rsidRPr="00CB1FEE">
        <w:rPr>
          <w:rFonts w:eastAsiaTheme="minorEastAsia"/>
          <w:b/>
          <w:color w:val="000000" w:themeColor="text1"/>
          <w:kern w:val="0"/>
          <w:sz w:val="24"/>
        </w:rPr>
        <w:t>6.3</w:t>
      </w:r>
      <w:r w:rsidRPr="00CB1FEE">
        <w:rPr>
          <w:rFonts w:eastAsiaTheme="minorEastAsia" w:hint="eastAsia"/>
          <w:b/>
          <w:color w:val="000000" w:themeColor="text1"/>
          <w:kern w:val="0"/>
          <w:sz w:val="24"/>
        </w:rPr>
        <w:t xml:space="preserve"> </w:t>
      </w:r>
      <w:r w:rsidRPr="00CB1FEE">
        <w:rPr>
          <w:rFonts w:eastAsiaTheme="minorEastAsia" w:hint="eastAsia"/>
          <w:b/>
          <w:color w:val="000000" w:themeColor="text1"/>
          <w:kern w:val="0"/>
          <w:sz w:val="24"/>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B1FEE" w:rsidTr="00F103C8">
        <w:tc>
          <w:tcPr>
            <w:tcW w:w="9036" w:type="dxa"/>
          </w:tcPr>
          <w:p w:rsidR="00C51B4E" w:rsidRPr="00CB1FEE"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CB1FEE">
              <w:rPr>
                <w:rFonts w:eastAsiaTheme="minorEastAsia" w:hint="eastAsia"/>
                <w:color w:val="000000" w:themeColor="text1"/>
                <w:sz w:val="24"/>
              </w:rPr>
              <w:t>无。</w:t>
            </w:r>
          </w:p>
        </w:tc>
      </w:tr>
    </w:tbl>
    <w:bookmarkEnd w:id="0"/>
    <w:p w:rsidR="009238DB" w:rsidRPr="007F52FA" w:rsidRDefault="00C51B4E" w:rsidP="00F103C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交银卓越回报灵活配置混合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交银卓越回报灵活配置混合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33,441,142.07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99,750,249.75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46,230.92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47,574.73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5,942,595.59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99,750,249.75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27,544,777.40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47,574.73</w:t>
            </w:r>
          </w:p>
        </w:tc>
      </w:tr>
    </w:tbl>
    <w:p w:rsidR="00B20989" w:rsidRDefault="0087548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w:t>
      </w: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F103C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lastRenderedPageBreak/>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F103C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B20989" w:rsidRDefault="0087548B">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、中国证监会准予交银施罗德卓越回报灵活配置混合型证券投资基金募集注册的文件；</w:t>
      </w:r>
      <w:r>
        <w:rPr>
          <w:rFonts w:eastAsiaTheme="minorEastAsia"/>
          <w:color w:val="000000"/>
          <w:sz w:val="24"/>
        </w:rPr>
        <w:t xml:space="preserve"> </w:t>
      </w:r>
    </w:p>
    <w:p w:rsidR="00B20989" w:rsidRDefault="0087548B">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、《交银施罗德卓越回报灵活配置混合型证券投资基金基金合同》；</w:t>
      </w:r>
      <w:r>
        <w:rPr>
          <w:rFonts w:eastAsiaTheme="minorEastAsia"/>
          <w:color w:val="000000"/>
          <w:sz w:val="24"/>
        </w:rPr>
        <w:t xml:space="preserve"> </w:t>
      </w:r>
    </w:p>
    <w:p w:rsidR="00B20989" w:rsidRDefault="0087548B">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、《交银施罗德卓越回报灵活配置混合型证券投资基金招募说明书》；</w:t>
      </w:r>
      <w:r>
        <w:rPr>
          <w:rFonts w:eastAsiaTheme="minorEastAsia"/>
          <w:color w:val="000000"/>
          <w:sz w:val="24"/>
        </w:rPr>
        <w:t xml:space="preserve"> </w:t>
      </w:r>
    </w:p>
    <w:p w:rsidR="00B20989" w:rsidRDefault="0087548B">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、《交银施罗德卓越回报灵活配置混合型证券投资基金托管协议》；</w:t>
      </w:r>
      <w:r>
        <w:rPr>
          <w:rFonts w:eastAsiaTheme="minorEastAsia"/>
          <w:color w:val="000000"/>
          <w:sz w:val="24"/>
        </w:rPr>
        <w:t xml:space="preserve"> </w:t>
      </w:r>
    </w:p>
    <w:p w:rsidR="00B20989" w:rsidRDefault="0087548B">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、关于申请募集注册交银施罗德卓越回报灵活配置混合型证券投资基金的法律意见书；</w:t>
      </w:r>
      <w:r>
        <w:rPr>
          <w:rFonts w:eastAsiaTheme="minorEastAsia"/>
          <w:color w:val="000000"/>
          <w:sz w:val="24"/>
        </w:rPr>
        <w:t xml:space="preserve"> </w:t>
      </w:r>
    </w:p>
    <w:p w:rsidR="00B20989" w:rsidRDefault="0087548B">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B20989" w:rsidRDefault="0087548B">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、报告期内交银施罗德卓越回报灵活配置混合型证券投资基金在指定报刊上各项公告的原稿。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B20989" w:rsidRDefault="0087548B">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48B" w:rsidRDefault="0087548B">
      <w:r>
        <w:separator/>
      </w:r>
    </w:p>
  </w:endnote>
  <w:endnote w:type="continuationSeparator" w:id="0">
    <w:p w:rsidR="0087548B" w:rsidRDefault="0087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05B21">
      <w:rPr>
        <w:kern w:val="0"/>
        <w:szCs w:val="21"/>
      </w:rPr>
      <w:fldChar w:fldCharType="begin"/>
    </w:r>
    <w:r>
      <w:rPr>
        <w:kern w:val="0"/>
        <w:szCs w:val="21"/>
      </w:rPr>
      <w:instrText xml:space="preserve"> PAGE </w:instrText>
    </w:r>
    <w:r w:rsidR="00705B21">
      <w:rPr>
        <w:kern w:val="0"/>
        <w:szCs w:val="21"/>
      </w:rPr>
      <w:fldChar w:fldCharType="separate"/>
    </w:r>
    <w:r w:rsidR="00CB1FEE">
      <w:rPr>
        <w:noProof/>
        <w:kern w:val="0"/>
        <w:szCs w:val="21"/>
      </w:rPr>
      <w:t>13</w:t>
    </w:r>
    <w:r w:rsidR="00705B21">
      <w:rPr>
        <w:kern w:val="0"/>
        <w:szCs w:val="21"/>
      </w:rPr>
      <w:fldChar w:fldCharType="end"/>
    </w:r>
    <w:r>
      <w:rPr>
        <w:rFonts w:hint="eastAsia"/>
        <w:kern w:val="0"/>
        <w:szCs w:val="21"/>
      </w:rPr>
      <w:t>页共</w:t>
    </w:r>
    <w:r w:rsidR="00705B21">
      <w:rPr>
        <w:kern w:val="0"/>
        <w:szCs w:val="21"/>
      </w:rPr>
      <w:fldChar w:fldCharType="begin"/>
    </w:r>
    <w:r>
      <w:rPr>
        <w:kern w:val="0"/>
        <w:szCs w:val="21"/>
      </w:rPr>
      <w:instrText xml:space="preserve"> NUMPAGES </w:instrText>
    </w:r>
    <w:r w:rsidR="00705B21">
      <w:rPr>
        <w:kern w:val="0"/>
        <w:szCs w:val="21"/>
      </w:rPr>
      <w:fldChar w:fldCharType="separate"/>
    </w:r>
    <w:r w:rsidR="00CB1FEE">
      <w:rPr>
        <w:noProof/>
        <w:kern w:val="0"/>
        <w:szCs w:val="21"/>
      </w:rPr>
      <w:t>14</w:t>
    </w:r>
    <w:r w:rsidR="00705B21">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05B21">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48B" w:rsidRDefault="0087548B">
      <w:r>
        <w:separator/>
      </w:r>
    </w:p>
  </w:footnote>
  <w:footnote w:type="continuationSeparator" w:id="0">
    <w:p w:rsidR="0087548B" w:rsidRDefault="00875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交银施罗德卓越回报灵活配置混合型证券投资基金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548B"/>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098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1FEE"/>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BA4BD193-F1FF-44C9-82F9-B8578554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972FB-15EA-4203-9F4E-3255E4497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207</TotalTime>
  <Pages>14</Pages>
  <Words>1151</Words>
  <Characters>6564</Characters>
  <Application>Microsoft Office Word</Application>
  <DocSecurity>0</DocSecurity>
  <Lines>54</Lines>
  <Paragraphs>15</Paragraphs>
  <ScaleCrop>false</ScaleCrop>
  <Company>TRT. Ltd. Co.</Company>
  <LinksUpToDate>false</LinksUpToDate>
  <CharactersWithSpaces>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377</cp:revision>
  <cp:lastPrinted>2007-07-19T00:46:00Z</cp:lastPrinted>
  <dcterms:created xsi:type="dcterms:W3CDTF">2014-01-17T06:19:00Z</dcterms:created>
  <dcterms:modified xsi:type="dcterms:W3CDTF">2018-07-16T08:50:00Z</dcterms:modified>
</cp:coreProperties>
</file>