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交银施罗德增强收益债券型证券投资基金</w:t>
      </w:r>
    </w:p>
    <w:p w:rsidR="002279D3" w:rsidRPr="0081286B" w:rsidRDefault="002279D3" w:rsidP="00C15CAC">
      <w:pPr>
        <w:spacing w:before="29" w:line="288" w:lineRule="auto"/>
        <w:jc w:val="center"/>
        <w:rPr>
          <w:b/>
          <w:sz w:val="36"/>
          <w:szCs w:val="36"/>
        </w:rPr>
      </w:pPr>
      <w:r w:rsidRPr="0081286B">
        <w:rPr>
          <w:b/>
          <w:sz w:val="36"/>
          <w:szCs w:val="36"/>
        </w:rPr>
        <w:t>2018</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2018</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default" r:id="rId8"/>
          <w:footerReference w:type="default" r:id="rId9"/>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二〇一八年七月十八日</w:t>
      </w:r>
    </w:p>
    <w:p w:rsidR="004061AC" w:rsidRPr="00414345" w:rsidRDefault="004061AC" w:rsidP="007B5F21">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378C4" w:rsidRDefault="008E5E8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2018</w:t>
      </w:r>
      <w:r>
        <w:rPr>
          <w:color w:val="000000"/>
          <w:sz w:val="24"/>
          <w:szCs w:val="24"/>
        </w:rPr>
        <w:t>年</w:t>
      </w:r>
      <w:r>
        <w:rPr>
          <w:color w:val="000000"/>
          <w:sz w:val="24"/>
          <w:szCs w:val="24"/>
        </w:rPr>
        <w:t>7</w:t>
      </w:r>
      <w:r>
        <w:rPr>
          <w:color w:val="000000"/>
          <w:sz w:val="24"/>
          <w:szCs w:val="24"/>
        </w:rPr>
        <w:t>月</w:t>
      </w:r>
      <w:r>
        <w:rPr>
          <w:color w:val="000000"/>
          <w:sz w:val="24"/>
          <w:szCs w:val="24"/>
        </w:rPr>
        <w:t>17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交银增强收益债券</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519729</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519729</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12</w:t>
            </w:r>
            <w:r w:rsidRPr="00414345">
              <w:rPr>
                <w:color w:val="000000"/>
                <w:kern w:val="0"/>
                <w:sz w:val="24"/>
                <w:szCs w:val="24"/>
              </w:rPr>
              <w:t>月</w:t>
            </w:r>
            <w:r w:rsidRPr="00414345">
              <w:rPr>
                <w:color w:val="000000"/>
                <w:kern w:val="0"/>
                <w:sz w:val="24"/>
                <w:szCs w:val="24"/>
              </w:rPr>
              <w:t>30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24,577,506.43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在严格控制投资风险的基础上，力争实现基金资产的长期稳定增值。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依据宏观经济数据和金融运行数据、货币政策、财政政策、以及债券市场和股票市场风险收益特征，分析判断市场利率水平变动趋势和股票市场走势。并根据宏观经济、基准利率水平、股票市场整体估值水平，预测债券、可转债、新股申购等大类资产下一阶段的预期收益率水平，结合各类别资产的波动性以及流动性状况分析，进行大类资产配置。</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90%×</w:t>
            </w:r>
            <w:r w:rsidRPr="00414345">
              <w:rPr>
                <w:color w:val="000000"/>
                <w:kern w:val="0"/>
                <w:sz w:val="24"/>
                <w:szCs w:val="24"/>
              </w:rPr>
              <w:t>中证综合债券指数收益率</w:t>
            </w:r>
            <w:r w:rsidRPr="00414345">
              <w:rPr>
                <w:color w:val="000000"/>
                <w:kern w:val="0"/>
                <w:sz w:val="24"/>
                <w:szCs w:val="24"/>
              </w:rPr>
              <w:t>+10%×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本基金为债券型证券投资基金，其长期平均的预期收</w:t>
            </w:r>
            <w:r w:rsidRPr="00414345">
              <w:rPr>
                <w:color w:val="000000"/>
                <w:kern w:val="0"/>
                <w:sz w:val="24"/>
                <w:szCs w:val="24"/>
              </w:rPr>
              <w:lastRenderedPageBreak/>
              <w:t>益和风险高于货币市场基金，低于混合型基金和股票型基金，属于证券投资基金中中等风险品种。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867055" w:rsidRPr="00414345" w:rsidTr="0086705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(2018</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867055" w:rsidRPr="00414345" w:rsidTr="0086705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-514,080.19</w:t>
            </w:r>
          </w:p>
        </w:tc>
      </w:tr>
      <w:tr w:rsidR="00867055" w:rsidRPr="00414345" w:rsidTr="0086705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-481,434.29</w:t>
            </w:r>
          </w:p>
        </w:tc>
      </w:tr>
      <w:tr w:rsidR="00867055" w:rsidRPr="00414345" w:rsidTr="0086705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-0.0189</w:t>
            </w:r>
          </w:p>
        </w:tc>
      </w:tr>
      <w:tr w:rsidR="00867055" w:rsidRPr="00414345" w:rsidTr="0086705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30,588,382.90</w:t>
            </w:r>
          </w:p>
        </w:tc>
      </w:tr>
      <w:tr w:rsidR="00867055" w:rsidRPr="00414345" w:rsidTr="0086705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1.245</w:t>
            </w:r>
          </w:p>
        </w:tc>
      </w:tr>
    </w:tbl>
    <w:p w:rsidR="00A378C4" w:rsidRDefault="008E5E8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378C4">
        <w:trPr>
          <w:jc w:val="center"/>
        </w:trPr>
        <w:tc>
          <w:tcPr>
            <w:tcW w:w="1701" w:type="dxa"/>
            <w:vAlign w:val="center"/>
          </w:tcPr>
          <w:p w:rsidR="00A378C4" w:rsidRDefault="008E5E82">
            <w:pPr>
              <w:jc w:val="left"/>
            </w:pPr>
            <w:r>
              <w:rPr>
                <w:color w:val="000000"/>
                <w:sz w:val="24"/>
                <w:szCs w:val="24"/>
              </w:rPr>
              <w:t>过去三个月</w:t>
            </w:r>
          </w:p>
        </w:tc>
        <w:tc>
          <w:tcPr>
            <w:tcW w:w="1045" w:type="dxa"/>
            <w:vAlign w:val="center"/>
          </w:tcPr>
          <w:p w:rsidR="00A378C4" w:rsidRDefault="008E5E82">
            <w:pPr>
              <w:jc w:val="center"/>
            </w:pPr>
            <w:r>
              <w:rPr>
                <w:color w:val="000000"/>
                <w:sz w:val="24"/>
                <w:szCs w:val="24"/>
              </w:rPr>
              <w:t>-1.50%</w:t>
            </w:r>
          </w:p>
        </w:tc>
        <w:tc>
          <w:tcPr>
            <w:tcW w:w="1344" w:type="dxa"/>
            <w:vAlign w:val="center"/>
          </w:tcPr>
          <w:p w:rsidR="00A378C4" w:rsidRDefault="008E5E82">
            <w:pPr>
              <w:jc w:val="center"/>
            </w:pPr>
            <w:r>
              <w:rPr>
                <w:color w:val="000000"/>
                <w:sz w:val="24"/>
                <w:szCs w:val="24"/>
              </w:rPr>
              <w:t>0.43%</w:t>
            </w:r>
          </w:p>
        </w:tc>
        <w:tc>
          <w:tcPr>
            <w:tcW w:w="1194" w:type="dxa"/>
            <w:vAlign w:val="center"/>
          </w:tcPr>
          <w:p w:rsidR="00A378C4" w:rsidRDefault="008E5E82">
            <w:pPr>
              <w:jc w:val="center"/>
            </w:pPr>
            <w:r>
              <w:rPr>
                <w:color w:val="000000"/>
                <w:sz w:val="24"/>
                <w:szCs w:val="24"/>
              </w:rPr>
              <w:t>0.75%</w:t>
            </w:r>
          </w:p>
        </w:tc>
        <w:tc>
          <w:tcPr>
            <w:tcW w:w="1492" w:type="dxa"/>
            <w:vAlign w:val="center"/>
          </w:tcPr>
          <w:p w:rsidR="00A378C4" w:rsidRDefault="008E5E82">
            <w:pPr>
              <w:jc w:val="center"/>
            </w:pPr>
            <w:r>
              <w:rPr>
                <w:color w:val="000000"/>
                <w:sz w:val="24"/>
                <w:szCs w:val="24"/>
              </w:rPr>
              <w:t>0.13%</w:t>
            </w:r>
          </w:p>
        </w:tc>
        <w:tc>
          <w:tcPr>
            <w:tcW w:w="1194" w:type="dxa"/>
            <w:vAlign w:val="center"/>
          </w:tcPr>
          <w:p w:rsidR="00A378C4" w:rsidRDefault="008E5E82">
            <w:pPr>
              <w:jc w:val="center"/>
            </w:pPr>
            <w:r>
              <w:rPr>
                <w:color w:val="000000"/>
                <w:sz w:val="24"/>
                <w:szCs w:val="24"/>
              </w:rPr>
              <w:t>-2.25%</w:t>
            </w:r>
          </w:p>
        </w:tc>
        <w:tc>
          <w:tcPr>
            <w:tcW w:w="898" w:type="dxa"/>
            <w:vAlign w:val="center"/>
          </w:tcPr>
          <w:p w:rsidR="00A378C4" w:rsidRDefault="008E5E82">
            <w:pPr>
              <w:jc w:val="center"/>
            </w:pPr>
            <w:r>
              <w:rPr>
                <w:color w:val="000000"/>
                <w:sz w:val="24"/>
                <w:szCs w:val="24"/>
              </w:rPr>
              <w:t>0.30%</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交银施罗德增强收益债券型证券投资基金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2018</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lastRenderedPageBreak/>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注：本基金由交银施罗德荣泰保本混合型证券投资基金转型而来。基金转型日为</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30</w:t>
      </w:r>
      <w:r w:rsidRPr="00414345">
        <w:rPr>
          <w:color w:val="000000"/>
          <w:sz w:val="24"/>
          <w:szCs w:val="24"/>
        </w:rPr>
        <w:t>日。本基金的投资转型期为交银施罗德荣泰保本混合型证券投资基金保本周期到期期间截止日的次日（即</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30</w:t>
      </w:r>
      <w:r w:rsidRPr="00414345">
        <w:rPr>
          <w:color w:val="000000"/>
          <w:sz w:val="24"/>
          <w:szCs w:val="24"/>
        </w:rPr>
        <w:t>日）起的</w:t>
      </w:r>
      <w:r w:rsidRPr="00414345">
        <w:rPr>
          <w:color w:val="000000"/>
          <w:sz w:val="24"/>
          <w:szCs w:val="24"/>
        </w:rPr>
        <w:t>3</w:t>
      </w:r>
      <w:r w:rsidRPr="00414345">
        <w:rPr>
          <w:color w:val="000000"/>
          <w:sz w:val="24"/>
          <w:szCs w:val="24"/>
        </w:rPr>
        <w:t>个月。截至投资转型期结束，本基金各项资产配置比例符合基金合同及招募说明书有关投资比例的约定。</w:t>
      </w:r>
    </w:p>
    <w:p w:rsidR="00693843" w:rsidRPr="004B2FBB" w:rsidRDefault="00693843" w:rsidP="00C15CAC">
      <w:pPr>
        <w:tabs>
          <w:tab w:val="left" w:pos="1800"/>
        </w:tabs>
        <w:spacing w:before="29" w:line="288" w:lineRule="auto"/>
        <w:rPr>
          <w:color w:val="000000"/>
          <w:sz w:val="24"/>
          <w:szCs w:val="24"/>
        </w:rPr>
      </w:pP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378C4">
        <w:trPr>
          <w:jc w:val="center"/>
        </w:trPr>
        <w:tc>
          <w:tcPr>
            <w:tcW w:w="846" w:type="dxa"/>
            <w:vAlign w:val="center"/>
          </w:tcPr>
          <w:p w:rsidR="00A378C4" w:rsidRDefault="008E5E82">
            <w:pPr>
              <w:jc w:val="center"/>
            </w:pPr>
            <w:r>
              <w:rPr>
                <w:color w:val="000000"/>
                <w:sz w:val="24"/>
                <w:szCs w:val="24"/>
              </w:rPr>
              <w:t>于海颖</w:t>
            </w:r>
          </w:p>
        </w:tc>
        <w:tc>
          <w:tcPr>
            <w:tcW w:w="845" w:type="dxa"/>
            <w:vAlign w:val="center"/>
          </w:tcPr>
          <w:p w:rsidR="00A378C4" w:rsidRDefault="008E5E82">
            <w:pPr>
              <w:jc w:val="center"/>
            </w:pPr>
            <w:r>
              <w:rPr>
                <w:color w:val="000000"/>
                <w:sz w:val="24"/>
                <w:szCs w:val="24"/>
              </w:rPr>
              <w:t>交银增利债券、交银纯债债券发起、交银荣祥保本混合、交银定期支付</w:t>
            </w:r>
            <w:r>
              <w:rPr>
                <w:color w:val="000000"/>
                <w:sz w:val="24"/>
                <w:szCs w:val="24"/>
              </w:rPr>
              <w:lastRenderedPageBreak/>
              <w:t>月月丰债券、交银增强收益债券、交银强化回报债券、交银丰盈收益债券、交银丰硕收益债券、交银荣鑫保本混合、交银增利增强债券、交银丰晟收益债券、交银裕如纯债债券的基金经理，公司固定收益（公募）投资总监</w:t>
            </w:r>
          </w:p>
        </w:tc>
        <w:tc>
          <w:tcPr>
            <w:tcW w:w="1549" w:type="dxa"/>
            <w:vAlign w:val="center"/>
          </w:tcPr>
          <w:p w:rsidR="00A378C4" w:rsidRDefault="008E5E82">
            <w:pPr>
              <w:jc w:val="center"/>
            </w:pPr>
            <w:r>
              <w:rPr>
                <w:color w:val="000000"/>
                <w:sz w:val="24"/>
                <w:szCs w:val="24"/>
              </w:rPr>
              <w:lastRenderedPageBreak/>
              <w:t>2017-06-10</w:t>
            </w:r>
          </w:p>
        </w:tc>
        <w:tc>
          <w:tcPr>
            <w:tcW w:w="1548" w:type="dxa"/>
            <w:vAlign w:val="center"/>
          </w:tcPr>
          <w:p w:rsidR="00A378C4" w:rsidRDefault="008E5E82">
            <w:pPr>
              <w:jc w:val="center"/>
            </w:pPr>
            <w:r>
              <w:rPr>
                <w:color w:val="000000"/>
                <w:sz w:val="24"/>
                <w:szCs w:val="24"/>
              </w:rPr>
              <w:t>-</w:t>
            </w:r>
          </w:p>
        </w:tc>
        <w:tc>
          <w:tcPr>
            <w:tcW w:w="1407" w:type="dxa"/>
            <w:vAlign w:val="center"/>
          </w:tcPr>
          <w:p w:rsidR="00A378C4" w:rsidRDefault="008E5E82">
            <w:pPr>
              <w:jc w:val="center"/>
            </w:pPr>
            <w:r>
              <w:rPr>
                <w:color w:val="000000"/>
                <w:sz w:val="24"/>
                <w:szCs w:val="24"/>
              </w:rPr>
              <w:t>12</w:t>
            </w:r>
            <w:r>
              <w:rPr>
                <w:color w:val="000000"/>
                <w:sz w:val="24"/>
                <w:szCs w:val="24"/>
              </w:rPr>
              <w:t>年</w:t>
            </w:r>
          </w:p>
        </w:tc>
        <w:tc>
          <w:tcPr>
            <w:tcW w:w="2673" w:type="dxa"/>
            <w:vAlign w:val="center"/>
          </w:tcPr>
          <w:p w:rsidR="00A378C4" w:rsidRDefault="008E5E82">
            <w:r>
              <w:rPr>
                <w:color w:val="000000"/>
                <w:sz w:val="24"/>
                <w:szCs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szCs w:val="24"/>
              </w:rPr>
              <w:t>2007</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w:t>
            </w:r>
            <w:r>
              <w:rPr>
                <w:color w:val="000000"/>
                <w:sz w:val="24"/>
                <w:szCs w:val="24"/>
              </w:rPr>
              <w:lastRenderedPageBreak/>
              <w:t>货币市场基金基金经理，</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29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日任光大保德信增利收益债券型证券投资基金基金经理，</w:t>
            </w:r>
            <w:r>
              <w:rPr>
                <w:color w:val="000000"/>
                <w:sz w:val="24"/>
                <w:szCs w:val="24"/>
              </w:rPr>
              <w:t>2011</w:t>
            </w:r>
            <w:r>
              <w:rPr>
                <w:color w:val="000000"/>
                <w:sz w:val="24"/>
                <w:szCs w:val="24"/>
              </w:rPr>
              <w:t>年</w:t>
            </w:r>
            <w:r>
              <w:rPr>
                <w:color w:val="000000"/>
                <w:sz w:val="24"/>
                <w:szCs w:val="24"/>
              </w:rPr>
              <w:t>6</w:t>
            </w:r>
            <w:r>
              <w:rPr>
                <w:color w:val="000000"/>
                <w:sz w:val="24"/>
                <w:szCs w:val="24"/>
              </w:rPr>
              <w:t>月</w:t>
            </w:r>
            <w:r>
              <w:rPr>
                <w:color w:val="000000"/>
                <w:sz w:val="24"/>
                <w:szCs w:val="24"/>
              </w:rPr>
              <w:t>28</w:t>
            </w:r>
            <w:r>
              <w:rPr>
                <w:color w:val="000000"/>
                <w:sz w:val="24"/>
                <w:szCs w:val="24"/>
              </w:rPr>
              <w:t>日至</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16</w:t>
            </w:r>
            <w:r>
              <w:rPr>
                <w:color w:val="000000"/>
                <w:sz w:val="24"/>
                <w:szCs w:val="24"/>
              </w:rPr>
              <w:t>日任银华永祥保本混合型证券投资基金基金经理，</w:t>
            </w:r>
            <w:r>
              <w:rPr>
                <w:color w:val="000000"/>
                <w:sz w:val="24"/>
                <w:szCs w:val="24"/>
              </w:rPr>
              <w:t>2011</w:t>
            </w:r>
            <w:r>
              <w:rPr>
                <w:color w:val="000000"/>
                <w:sz w:val="24"/>
                <w:szCs w:val="24"/>
              </w:rPr>
              <w:t>年</w:t>
            </w:r>
            <w:r>
              <w:rPr>
                <w:color w:val="000000"/>
                <w:sz w:val="24"/>
                <w:szCs w:val="24"/>
              </w:rPr>
              <w:t>8</w:t>
            </w:r>
            <w:r>
              <w:rPr>
                <w:color w:val="000000"/>
                <w:sz w:val="24"/>
                <w:szCs w:val="24"/>
              </w:rPr>
              <w:t>月</w:t>
            </w:r>
            <w:r>
              <w:rPr>
                <w:color w:val="000000"/>
                <w:sz w:val="24"/>
                <w:szCs w:val="24"/>
              </w:rPr>
              <w:t>2</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日任银华货币市场证券投资基金基金经理，</w:t>
            </w:r>
            <w:r>
              <w:rPr>
                <w:color w:val="000000"/>
                <w:sz w:val="24"/>
                <w:szCs w:val="24"/>
              </w:rPr>
              <w:t>2012</w:t>
            </w:r>
            <w:r>
              <w:rPr>
                <w:color w:val="000000"/>
                <w:sz w:val="24"/>
                <w:szCs w:val="24"/>
              </w:rPr>
              <w:t>年</w:t>
            </w:r>
            <w:r>
              <w:rPr>
                <w:color w:val="000000"/>
                <w:sz w:val="24"/>
                <w:szCs w:val="24"/>
              </w:rPr>
              <w:t>8</w:t>
            </w:r>
            <w:r>
              <w:rPr>
                <w:color w:val="000000"/>
                <w:sz w:val="24"/>
                <w:szCs w:val="24"/>
              </w:rPr>
              <w:t>月</w:t>
            </w:r>
            <w:r>
              <w:rPr>
                <w:color w:val="000000"/>
                <w:sz w:val="24"/>
                <w:szCs w:val="24"/>
              </w:rPr>
              <w:t>9</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日任银华纯债信用主题债券型证券投资基金（</w:t>
            </w:r>
            <w:r>
              <w:rPr>
                <w:color w:val="000000"/>
                <w:sz w:val="24"/>
                <w:szCs w:val="24"/>
              </w:rPr>
              <w:t>LOF</w:t>
            </w:r>
            <w:r>
              <w:rPr>
                <w:color w:val="000000"/>
                <w:sz w:val="24"/>
                <w:szCs w:val="24"/>
              </w:rPr>
              <w:t>）基金经理，</w:t>
            </w:r>
            <w:r>
              <w:rPr>
                <w:color w:val="000000"/>
                <w:sz w:val="24"/>
                <w:szCs w:val="24"/>
              </w:rPr>
              <w:t>2013</w:t>
            </w:r>
            <w:r>
              <w:rPr>
                <w:color w:val="000000"/>
                <w:sz w:val="24"/>
                <w:szCs w:val="24"/>
              </w:rPr>
              <w:t>年</w:t>
            </w:r>
            <w:r>
              <w:rPr>
                <w:color w:val="000000"/>
                <w:sz w:val="24"/>
                <w:szCs w:val="24"/>
              </w:rPr>
              <w:t>4</w:t>
            </w:r>
            <w:r>
              <w:rPr>
                <w:color w:val="000000"/>
                <w:sz w:val="24"/>
                <w:szCs w:val="24"/>
              </w:rPr>
              <w:t>月</w:t>
            </w:r>
            <w:r>
              <w:rPr>
                <w:color w:val="000000"/>
                <w:sz w:val="24"/>
                <w:szCs w:val="24"/>
              </w:rPr>
              <w:t>1</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日任银华交易型货币市场基金基金经理，</w:t>
            </w:r>
            <w:r>
              <w:rPr>
                <w:color w:val="000000"/>
                <w:sz w:val="24"/>
                <w:szCs w:val="24"/>
              </w:rPr>
              <w:t>2013</w:t>
            </w:r>
            <w:r>
              <w:rPr>
                <w:color w:val="000000"/>
                <w:sz w:val="24"/>
                <w:szCs w:val="24"/>
              </w:rPr>
              <w:t>年</w:t>
            </w:r>
            <w:r>
              <w:rPr>
                <w:color w:val="000000"/>
                <w:sz w:val="24"/>
                <w:szCs w:val="24"/>
              </w:rPr>
              <w:t>8</w:t>
            </w:r>
            <w:r>
              <w:rPr>
                <w:color w:val="000000"/>
                <w:sz w:val="24"/>
                <w:szCs w:val="24"/>
              </w:rPr>
              <w:t>月</w:t>
            </w:r>
            <w:r>
              <w:rPr>
                <w:color w:val="000000"/>
                <w:sz w:val="24"/>
                <w:szCs w:val="24"/>
              </w:rPr>
              <w:t>7</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日任银华信用四季红债券型证券投资基金基金经理，</w:t>
            </w:r>
            <w:r>
              <w:rPr>
                <w:color w:val="000000"/>
                <w:sz w:val="24"/>
                <w:szCs w:val="24"/>
              </w:rPr>
              <w:t>2013</w:t>
            </w:r>
            <w:r>
              <w:rPr>
                <w:color w:val="000000"/>
                <w:sz w:val="24"/>
                <w:szCs w:val="24"/>
              </w:rPr>
              <w:t>年</w:t>
            </w:r>
            <w:r>
              <w:rPr>
                <w:color w:val="000000"/>
                <w:sz w:val="24"/>
                <w:szCs w:val="24"/>
              </w:rPr>
              <w:t>9</w:t>
            </w:r>
            <w:r>
              <w:rPr>
                <w:color w:val="000000"/>
                <w:sz w:val="24"/>
                <w:szCs w:val="24"/>
              </w:rPr>
              <w:t>月</w:t>
            </w:r>
            <w:r>
              <w:rPr>
                <w:color w:val="000000"/>
                <w:sz w:val="24"/>
                <w:szCs w:val="24"/>
              </w:rPr>
              <w:t>18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日任银华信用季季红债券型证券投资基金基金经理，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日任银华信用债券型证券投资基金</w:t>
            </w:r>
            <w:r>
              <w:rPr>
                <w:color w:val="000000"/>
                <w:sz w:val="24"/>
                <w:szCs w:val="24"/>
              </w:rPr>
              <w:t>(LOF)</w:t>
            </w:r>
            <w:r>
              <w:rPr>
                <w:color w:val="000000"/>
                <w:sz w:val="24"/>
                <w:szCs w:val="24"/>
              </w:rPr>
              <w:t>基金经理。</w:t>
            </w:r>
            <w:r>
              <w:rPr>
                <w:color w:val="000000"/>
                <w:sz w:val="24"/>
                <w:szCs w:val="24"/>
              </w:rPr>
              <w:t>2016</w:t>
            </w:r>
            <w:r>
              <w:rPr>
                <w:color w:val="000000"/>
                <w:sz w:val="24"/>
                <w:szCs w:val="24"/>
              </w:rPr>
              <w:t>年加入交银施罗德基金管理有限公司。</w:t>
            </w:r>
          </w:p>
        </w:tc>
      </w:tr>
      <w:tr w:rsidR="00A378C4">
        <w:trPr>
          <w:jc w:val="center"/>
        </w:trPr>
        <w:tc>
          <w:tcPr>
            <w:tcW w:w="846" w:type="dxa"/>
            <w:vAlign w:val="center"/>
          </w:tcPr>
          <w:p w:rsidR="00A378C4" w:rsidRDefault="008E5E82">
            <w:pPr>
              <w:jc w:val="center"/>
            </w:pPr>
            <w:r>
              <w:rPr>
                <w:color w:val="000000"/>
                <w:sz w:val="24"/>
                <w:szCs w:val="24"/>
              </w:rPr>
              <w:lastRenderedPageBreak/>
              <w:t>凌超</w:t>
            </w:r>
          </w:p>
        </w:tc>
        <w:tc>
          <w:tcPr>
            <w:tcW w:w="845" w:type="dxa"/>
            <w:vAlign w:val="center"/>
          </w:tcPr>
          <w:p w:rsidR="00A378C4" w:rsidRDefault="008E5E82">
            <w:pPr>
              <w:jc w:val="center"/>
            </w:pPr>
            <w:r>
              <w:rPr>
                <w:color w:val="000000"/>
                <w:sz w:val="24"/>
                <w:szCs w:val="24"/>
              </w:rPr>
              <w:t>交银定期支付月月丰债券、交银增强收益债券、交银强化回报债券、交银增利增强债券的基金经理，公司固定收益</w:t>
            </w:r>
            <w:r>
              <w:rPr>
                <w:color w:val="000000"/>
                <w:sz w:val="24"/>
                <w:szCs w:val="24"/>
              </w:rPr>
              <w:t>(</w:t>
            </w:r>
            <w:r>
              <w:rPr>
                <w:color w:val="000000"/>
                <w:sz w:val="24"/>
                <w:szCs w:val="24"/>
              </w:rPr>
              <w:t>公募</w:t>
            </w:r>
            <w:r>
              <w:rPr>
                <w:color w:val="000000"/>
                <w:sz w:val="24"/>
                <w:szCs w:val="24"/>
              </w:rPr>
              <w:t>)</w:t>
            </w:r>
            <w:r>
              <w:rPr>
                <w:color w:val="000000"/>
                <w:sz w:val="24"/>
                <w:szCs w:val="24"/>
              </w:rPr>
              <w:t>投资副总监</w:t>
            </w:r>
          </w:p>
        </w:tc>
        <w:tc>
          <w:tcPr>
            <w:tcW w:w="1549" w:type="dxa"/>
            <w:vAlign w:val="center"/>
          </w:tcPr>
          <w:p w:rsidR="00A378C4" w:rsidRDefault="008E5E82">
            <w:pPr>
              <w:jc w:val="center"/>
            </w:pPr>
            <w:r>
              <w:rPr>
                <w:color w:val="000000"/>
                <w:sz w:val="24"/>
                <w:szCs w:val="24"/>
              </w:rPr>
              <w:t>2018-02-13</w:t>
            </w:r>
          </w:p>
        </w:tc>
        <w:tc>
          <w:tcPr>
            <w:tcW w:w="1548" w:type="dxa"/>
            <w:vAlign w:val="center"/>
          </w:tcPr>
          <w:p w:rsidR="00A378C4" w:rsidRDefault="008E5E82">
            <w:pPr>
              <w:jc w:val="center"/>
            </w:pPr>
            <w:r>
              <w:rPr>
                <w:color w:val="000000"/>
                <w:sz w:val="24"/>
                <w:szCs w:val="24"/>
              </w:rPr>
              <w:t>-</w:t>
            </w:r>
          </w:p>
        </w:tc>
        <w:tc>
          <w:tcPr>
            <w:tcW w:w="1407" w:type="dxa"/>
            <w:vAlign w:val="center"/>
          </w:tcPr>
          <w:p w:rsidR="00A378C4" w:rsidRDefault="008E5E82">
            <w:pPr>
              <w:jc w:val="center"/>
            </w:pPr>
            <w:r>
              <w:rPr>
                <w:color w:val="000000"/>
                <w:sz w:val="24"/>
                <w:szCs w:val="24"/>
              </w:rPr>
              <w:t>12</w:t>
            </w:r>
            <w:r>
              <w:rPr>
                <w:color w:val="000000"/>
                <w:sz w:val="24"/>
                <w:szCs w:val="24"/>
              </w:rPr>
              <w:t>年</w:t>
            </w:r>
          </w:p>
        </w:tc>
        <w:tc>
          <w:tcPr>
            <w:tcW w:w="2673" w:type="dxa"/>
            <w:vAlign w:val="center"/>
          </w:tcPr>
          <w:p w:rsidR="00A378C4" w:rsidRDefault="008E5E82">
            <w:r>
              <w:rPr>
                <w:color w:val="000000"/>
                <w:sz w:val="24"/>
                <w:szCs w:val="24"/>
              </w:rPr>
              <w:t>凌超先生，华中科技大学数量经济学硕士、武汉科技大学信息与计算科学学士。</w:t>
            </w:r>
            <w:r>
              <w:rPr>
                <w:color w:val="000000"/>
                <w:sz w:val="24"/>
                <w:szCs w:val="24"/>
              </w:rPr>
              <w:t>2006</w:t>
            </w:r>
            <w:r>
              <w:rPr>
                <w:color w:val="000000"/>
                <w:sz w:val="24"/>
                <w:szCs w:val="24"/>
              </w:rPr>
              <w:t>年至</w:t>
            </w:r>
            <w:r>
              <w:rPr>
                <w:color w:val="000000"/>
                <w:sz w:val="24"/>
                <w:szCs w:val="24"/>
              </w:rPr>
              <w:t>2009</w:t>
            </w:r>
            <w:r>
              <w:rPr>
                <w:color w:val="000000"/>
                <w:sz w:val="24"/>
                <w:szCs w:val="24"/>
              </w:rPr>
              <w:t>年任长江证券股份有限公司研究员、投资经理，</w:t>
            </w:r>
            <w:r>
              <w:rPr>
                <w:color w:val="000000"/>
                <w:sz w:val="24"/>
                <w:szCs w:val="24"/>
              </w:rPr>
              <w:t>2009</w:t>
            </w:r>
            <w:r>
              <w:rPr>
                <w:color w:val="000000"/>
                <w:sz w:val="24"/>
                <w:szCs w:val="24"/>
              </w:rPr>
              <w:t>年至</w:t>
            </w:r>
            <w:r>
              <w:rPr>
                <w:color w:val="000000"/>
                <w:sz w:val="24"/>
                <w:szCs w:val="24"/>
              </w:rPr>
              <w:t>2012</w:t>
            </w:r>
            <w:r>
              <w:rPr>
                <w:color w:val="000000"/>
                <w:sz w:val="24"/>
                <w:szCs w:val="24"/>
              </w:rPr>
              <w:t>年任光大保德信基金有限管理公司研究员、基金助理、基金经理，</w:t>
            </w:r>
            <w:r>
              <w:rPr>
                <w:color w:val="000000"/>
                <w:sz w:val="24"/>
                <w:szCs w:val="24"/>
              </w:rPr>
              <w:t>2012</w:t>
            </w:r>
            <w:r>
              <w:rPr>
                <w:color w:val="000000"/>
                <w:sz w:val="24"/>
                <w:szCs w:val="24"/>
              </w:rPr>
              <w:t>年至</w:t>
            </w:r>
            <w:r>
              <w:rPr>
                <w:color w:val="000000"/>
                <w:sz w:val="24"/>
                <w:szCs w:val="24"/>
              </w:rPr>
              <w:t>2016</w:t>
            </w:r>
            <w:r>
              <w:rPr>
                <w:color w:val="000000"/>
                <w:sz w:val="24"/>
                <w:szCs w:val="24"/>
              </w:rPr>
              <w:t>年任海富通基金管理有限公司投资顾问、基金经理，</w:t>
            </w:r>
            <w:r>
              <w:rPr>
                <w:color w:val="000000"/>
                <w:sz w:val="24"/>
                <w:szCs w:val="24"/>
              </w:rPr>
              <w:t>2016</w:t>
            </w:r>
            <w:r>
              <w:rPr>
                <w:color w:val="000000"/>
                <w:sz w:val="24"/>
                <w:szCs w:val="24"/>
              </w:rPr>
              <w:t>年至</w:t>
            </w:r>
            <w:r>
              <w:rPr>
                <w:color w:val="000000"/>
                <w:sz w:val="24"/>
                <w:szCs w:val="24"/>
              </w:rPr>
              <w:t>2017</w:t>
            </w:r>
            <w:r>
              <w:rPr>
                <w:color w:val="000000"/>
                <w:sz w:val="24"/>
                <w:szCs w:val="24"/>
              </w:rPr>
              <w:t>年任天弘基金管理有限公司固定收益部副总经理、基金经理。</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31</w:t>
            </w:r>
            <w:r>
              <w:rPr>
                <w:color w:val="000000"/>
                <w:sz w:val="24"/>
                <w:szCs w:val="24"/>
              </w:rPr>
              <w:t>日至</w:t>
            </w:r>
            <w:r>
              <w:rPr>
                <w:color w:val="000000"/>
                <w:sz w:val="24"/>
                <w:szCs w:val="24"/>
              </w:rPr>
              <w:t>2012</w:t>
            </w:r>
            <w:r>
              <w:rPr>
                <w:color w:val="000000"/>
                <w:sz w:val="24"/>
                <w:szCs w:val="24"/>
              </w:rPr>
              <w:t>年</w:t>
            </w:r>
            <w:r>
              <w:rPr>
                <w:color w:val="000000"/>
                <w:sz w:val="24"/>
                <w:szCs w:val="24"/>
              </w:rPr>
              <w:t>3</w:t>
            </w:r>
            <w:r>
              <w:rPr>
                <w:color w:val="000000"/>
                <w:sz w:val="24"/>
                <w:szCs w:val="24"/>
              </w:rPr>
              <w:t>月</w:t>
            </w:r>
            <w:r>
              <w:rPr>
                <w:color w:val="000000"/>
                <w:sz w:val="24"/>
                <w:szCs w:val="24"/>
              </w:rPr>
              <w:t>1</w:t>
            </w:r>
            <w:r>
              <w:rPr>
                <w:color w:val="000000"/>
                <w:sz w:val="24"/>
                <w:szCs w:val="24"/>
              </w:rPr>
              <w:t>日任光大保德信货币市场基金基金经理，</w:t>
            </w:r>
            <w:r>
              <w:rPr>
                <w:color w:val="000000"/>
                <w:sz w:val="24"/>
                <w:szCs w:val="24"/>
              </w:rPr>
              <w:t>2013</w:t>
            </w:r>
            <w:r>
              <w:rPr>
                <w:color w:val="000000"/>
                <w:sz w:val="24"/>
                <w:szCs w:val="24"/>
              </w:rPr>
              <w:t>年</w:t>
            </w:r>
            <w:r>
              <w:rPr>
                <w:color w:val="000000"/>
                <w:sz w:val="24"/>
                <w:szCs w:val="24"/>
              </w:rPr>
              <w:t>12</w:t>
            </w:r>
            <w:r>
              <w:rPr>
                <w:color w:val="000000"/>
                <w:sz w:val="24"/>
                <w:szCs w:val="24"/>
              </w:rPr>
              <w:t>月</w:t>
            </w:r>
            <w:r>
              <w:rPr>
                <w:color w:val="000000"/>
                <w:sz w:val="24"/>
                <w:szCs w:val="24"/>
              </w:rPr>
              <w:t>19</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日任海富通一年定期开放债券型证券投资基金基金经理，</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日任海富通纯债债券型证券投资基金基金经理，</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日任海富通稳固收益债券型证券投资基金基金经理，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日任天弘弘利债券型证券投资基金基金经理，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日任天弘裕利灵活配置混合型证券投资基金基金经理，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日任天弘债券型发起式证券投资基金基金经理。</w:t>
            </w:r>
            <w:r>
              <w:rPr>
                <w:color w:val="000000"/>
                <w:sz w:val="24"/>
                <w:szCs w:val="24"/>
              </w:rPr>
              <w:t>2017</w:t>
            </w:r>
            <w:r>
              <w:rPr>
                <w:color w:val="000000"/>
                <w:sz w:val="24"/>
                <w:szCs w:val="24"/>
              </w:rPr>
              <w:t>年</w:t>
            </w:r>
            <w:r>
              <w:rPr>
                <w:color w:val="000000"/>
                <w:sz w:val="24"/>
                <w:szCs w:val="24"/>
              </w:rPr>
              <w:t>7</w:t>
            </w:r>
            <w:r>
              <w:rPr>
                <w:color w:val="000000"/>
                <w:sz w:val="24"/>
                <w:szCs w:val="24"/>
              </w:rPr>
              <w:t>月加入交银施罗德基金管理</w:t>
            </w:r>
            <w:r>
              <w:rPr>
                <w:color w:val="000000"/>
                <w:sz w:val="24"/>
                <w:szCs w:val="24"/>
              </w:rPr>
              <w:lastRenderedPageBreak/>
              <w:t>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378C4" w:rsidRDefault="008E5E8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378C4" w:rsidRDefault="008E5E8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378C4" w:rsidRDefault="008E5E8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A378C4" w:rsidRDefault="008E5E82">
      <w:pPr>
        <w:spacing w:before="29" w:line="288" w:lineRule="auto"/>
        <w:ind w:firstLineChars="200" w:firstLine="480"/>
        <w:rPr>
          <w:color w:val="000000"/>
          <w:sz w:val="24"/>
          <w:szCs w:val="24"/>
        </w:rPr>
      </w:pPr>
      <w:r>
        <w:rPr>
          <w:color w:val="000000"/>
          <w:sz w:val="24"/>
          <w:szCs w:val="24"/>
        </w:rPr>
        <w:t>二季度以来在央行降准、表外融资持续收缩、经济通胀趋弱、贸易战局势反复等多方面因素交织的背景下，债券收益率呈现出先下后上继而再次大幅下行的宽幅波动态势。四月上旬债券收益率延续了一季度以来的下行趋势，央行在四月宣布降准</w:t>
      </w:r>
      <w:r>
        <w:rPr>
          <w:color w:val="000000"/>
          <w:sz w:val="24"/>
          <w:szCs w:val="24"/>
        </w:rPr>
        <w:t>1</w:t>
      </w:r>
      <w:r>
        <w:rPr>
          <w:color w:val="000000"/>
          <w:sz w:val="24"/>
          <w:szCs w:val="24"/>
        </w:rPr>
        <w:t>个百分点置</w:t>
      </w:r>
      <w:r>
        <w:rPr>
          <w:color w:val="000000"/>
          <w:sz w:val="24"/>
          <w:szCs w:val="24"/>
        </w:rPr>
        <w:lastRenderedPageBreak/>
        <w:t>换</w:t>
      </w:r>
      <w:r>
        <w:rPr>
          <w:color w:val="000000"/>
          <w:sz w:val="24"/>
          <w:szCs w:val="24"/>
        </w:rPr>
        <w:t>MLF</w:t>
      </w:r>
      <w:r>
        <w:rPr>
          <w:color w:val="000000"/>
          <w:sz w:val="24"/>
          <w:szCs w:val="24"/>
        </w:rPr>
        <w:t>操作，债券市场在降准后出现强势上涨，收益率大幅下行，但随后由于降准释放资金和缴税缴准错位，出现了季末流动性紧张的情况，同时叠加资管新规的出台，收益率震荡上行。进入六月后随着最新社会融资规模数据公布，信用收紧格局下收益率重回下行通道。六月底央行再一次降准</w:t>
      </w:r>
      <w:r>
        <w:rPr>
          <w:color w:val="000000"/>
          <w:sz w:val="24"/>
          <w:szCs w:val="24"/>
        </w:rPr>
        <w:t>0.5</w:t>
      </w:r>
      <w:r>
        <w:rPr>
          <w:color w:val="000000"/>
          <w:sz w:val="24"/>
          <w:szCs w:val="24"/>
        </w:rPr>
        <w:t>个百分点，收益率再次开启大幅下行空间，截至六月底，十年期国开收益率自三月末</w:t>
      </w:r>
      <w:r>
        <w:rPr>
          <w:color w:val="000000"/>
          <w:sz w:val="24"/>
          <w:szCs w:val="24"/>
        </w:rPr>
        <w:t>4.65%</w:t>
      </w:r>
      <w:r>
        <w:rPr>
          <w:color w:val="000000"/>
          <w:sz w:val="24"/>
          <w:szCs w:val="24"/>
        </w:rPr>
        <w:t>下行至</w:t>
      </w:r>
      <w:r>
        <w:rPr>
          <w:color w:val="000000"/>
          <w:sz w:val="24"/>
          <w:szCs w:val="24"/>
        </w:rPr>
        <w:t>4.25%</w:t>
      </w:r>
      <w:r>
        <w:rPr>
          <w:color w:val="000000"/>
          <w:sz w:val="24"/>
          <w:szCs w:val="24"/>
        </w:rPr>
        <w:t>，市场涨幅明显。信用债方面，受到信用事件的影响，本报告期信用利差出现了一定走阔。</w:t>
      </w:r>
    </w:p>
    <w:p w:rsidR="00A378C4" w:rsidRDefault="008E5E82">
      <w:pPr>
        <w:spacing w:before="29" w:line="288" w:lineRule="auto"/>
        <w:ind w:firstLineChars="200" w:firstLine="480"/>
        <w:rPr>
          <w:color w:val="000000"/>
          <w:sz w:val="24"/>
          <w:szCs w:val="24"/>
        </w:rPr>
      </w:pPr>
      <w:r>
        <w:rPr>
          <w:color w:val="000000"/>
          <w:sz w:val="24"/>
          <w:szCs w:val="24"/>
        </w:rPr>
        <w:t>权益市场方面，在经历一季度地产金融及成长的上行后，二季度市场出现调整，消费、价值及部分基本面维持高景气的强周期板块具备一定的防御属性。</w:t>
      </w:r>
    </w:p>
    <w:p w:rsidR="00A378C4" w:rsidRDefault="008E5E82">
      <w:pPr>
        <w:spacing w:before="29" w:line="288" w:lineRule="auto"/>
        <w:ind w:firstLineChars="200" w:firstLine="480"/>
        <w:rPr>
          <w:color w:val="000000"/>
          <w:sz w:val="24"/>
          <w:szCs w:val="24"/>
        </w:rPr>
      </w:pPr>
      <w:r>
        <w:rPr>
          <w:color w:val="000000"/>
          <w:sz w:val="24"/>
          <w:szCs w:val="24"/>
        </w:rPr>
        <w:t>本报告期内，考虑到组合规模，债券方面以流动性较好的交易所利率债为主，二季度择机拉长组合久期。股票方面，组合集中配置高景气细分行业。</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三季度，社会融资总额增速下滑对于总需求的影响可能逐渐体现，在通胀总体可控，流动性较去年改善的情况下，我们维持对债市谨慎乐观看法，并视市场情况择机考虑继续拉长久期。权益方面，组合将继续关注政策执行对于配置资金的影响，以及海外不确定性事件的进展，并将侧重于挑选高景气细分行业及估值调整至合理的优质个股，择机提升仓位。</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2018</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1.245</w:t>
      </w:r>
      <w:r w:rsidRPr="00414345">
        <w:rPr>
          <w:color w:val="000000"/>
          <w:sz w:val="24"/>
          <w:szCs w:val="24"/>
        </w:rPr>
        <w:t>元，本报告期份额净值增长率为</w:t>
      </w:r>
      <w:r w:rsidRPr="00414345">
        <w:rPr>
          <w:color w:val="000000"/>
          <w:sz w:val="24"/>
          <w:szCs w:val="24"/>
        </w:rPr>
        <w:t>-1.50%</w:t>
      </w:r>
      <w:r w:rsidRPr="00414345">
        <w:rPr>
          <w:color w:val="000000"/>
          <w:sz w:val="24"/>
          <w:szCs w:val="24"/>
        </w:rPr>
        <w:t>，同期业绩比较基准增长率为</w:t>
      </w:r>
      <w:r w:rsidRPr="00414345">
        <w:rPr>
          <w:color w:val="000000"/>
          <w:sz w:val="24"/>
          <w:szCs w:val="24"/>
        </w:rPr>
        <w:t>0.75%</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Pr="007B5F21"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tbl>
      <w:tblPr>
        <w:tblStyle w:val="af7"/>
        <w:tblW w:w="8897" w:type="dxa"/>
        <w:tblInd w:w="108" w:type="dxa"/>
        <w:tblLayout w:type="fixed"/>
        <w:tblLook w:val="04A0" w:firstRow="1" w:lastRow="0" w:firstColumn="1" w:lastColumn="0" w:noHBand="0" w:noVBand="1"/>
      </w:tblPr>
      <w:tblGrid>
        <w:gridCol w:w="720"/>
        <w:gridCol w:w="2824"/>
        <w:gridCol w:w="2552"/>
        <w:gridCol w:w="2801"/>
      </w:tblGrid>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824"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r w:rsidRPr="007B5F21">
              <w:rPr>
                <w:rFonts w:eastAsiaTheme="minorEastAsia"/>
                <w:color w:val="000000" w:themeColor="text1"/>
                <w:sz w:val="24"/>
                <w:szCs w:val="24"/>
              </w:rPr>
              <w:t>(</w:t>
            </w:r>
            <w:r w:rsidRPr="007B5F21">
              <w:rPr>
                <w:rFonts w:eastAsiaTheme="minorEastAsia"/>
                <w:color w:val="000000" w:themeColor="text1"/>
                <w:sz w:val="24"/>
                <w:szCs w:val="24"/>
              </w:rPr>
              <w:t>元</w:t>
            </w: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1,562,180.00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4.98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1,562,180.00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4.98</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26,914,968.50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85.86</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26,914,968.50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85.86</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4</w:t>
            </w:r>
          </w:p>
        </w:tc>
        <w:tc>
          <w:tcPr>
            <w:tcW w:w="2824"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1,100,000.00</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3.51</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824"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418,043.47</w:t>
            </w:r>
          </w:p>
        </w:tc>
        <w:tc>
          <w:tcPr>
            <w:tcW w:w="2801"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1.33</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1,351,421.59</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4.31</w:t>
            </w:r>
          </w:p>
        </w:tc>
      </w:tr>
      <w:tr w:rsidR="00BF0019" w:rsidRPr="007B5F21" w:rsidTr="002D2971">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824"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31,346,613.56</w:t>
            </w:r>
          </w:p>
        </w:tc>
        <w:tc>
          <w:tcPr>
            <w:tcW w:w="2801"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610,718.00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630,022.00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321,440.00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1,562,180.00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5.11</w:t>
            </w:r>
          </w:p>
        </w:tc>
      </w:tr>
    </w:tbl>
    <w:p w:rsidR="004B2FBB" w:rsidRDefault="004B2FBB"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bookmarkStart w:id="0" w:name="_GoBack"/>
      <w:bookmarkEnd w:id="0"/>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A378C4">
        <w:trPr>
          <w:jc w:val="center"/>
        </w:trPr>
        <w:tc>
          <w:tcPr>
            <w:tcW w:w="855" w:type="dxa"/>
            <w:vAlign w:val="center"/>
          </w:tcPr>
          <w:p w:rsidR="00A378C4" w:rsidRDefault="008E5E82">
            <w:pPr>
              <w:jc w:val="center"/>
            </w:pPr>
            <w:r>
              <w:rPr>
                <w:color w:val="000000"/>
                <w:sz w:val="24"/>
                <w:szCs w:val="24"/>
              </w:rPr>
              <w:t>1</w:t>
            </w:r>
          </w:p>
        </w:tc>
        <w:tc>
          <w:tcPr>
            <w:tcW w:w="1334" w:type="dxa"/>
            <w:vAlign w:val="center"/>
          </w:tcPr>
          <w:p w:rsidR="00A378C4" w:rsidRDefault="008E5E82">
            <w:pPr>
              <w:jc w:val="center"/>
            </w:pPr>
            <w:r>
              <w:rPr>
                <w:color w:val="000000"/>
                <w:sz w:val="24"/>
                <w:szCs w:val="24"/>
              </w:rPr>
              <w:t>000681</w:t>
            </w:r>
          </w:p>
        </w:tc>
        <w:tc>
          <w:tcPr>
            <w:tcW w:w="1777" w:type="dxa"/>
            <w:vAlign w:val="center"/>
          </w:tcPr>
          <w:p w:rsidR="00A378C4" w:rsidRDefault="008E5E82">
            <w:pPr>
              <w:jc w:val="center"/>
            </w:pPr>
            <w:r>
              <w:rPr>
                <w:color w:val="000000"/>
                <w:sz w:val="24"/>
                <w:szCs w:val="24"/>
              </w:rPr>
              <w:t>视觉中国</w:t>
            </w:r>
          </w:p>
        </w:tc>
        <w:tc>
          <w:tcPr>
            <w:tcW w:w="1334" w:type="dxa"/>
            <w:vAlign w:val="center"/>
          </w:tcPr>
          <w:p w:rsidR="00A378C4" w:rsidRDefault="008E5E82">
            <w:pPr>
              <w:jc w:val="right"/>
            </w:pPr>
            <w:r>
              <w:rPr>
                <w:color w:val="000000"/>
                <w:sz w:val="24"/>
                <w:szCs w:val="24"/>
              </w:rPr>
              <w:t>11,200</w:t>
            </w:r>
          </w:p>
        </w:tc>
        <w:tc>
          <w:tcPr>
            <w:tcW w:w="1924" w:type="dxa"/>
            <w:vAlign w:val="center"/>
          </w:tcPr>
          <w:p w:rsidR="00A378C4" w:rsidRDefault="008E5E82">
            <w:pPr>
              <w:jc w:val="right"/>
            </w:pPr>
            <w:r>
              <w:rPr>
                <w:color w:val="000000"/>
                <w:sz w:val="24"/>
                <w:szCs w:val="24"/>
              </w:rPr>
              <w:t>321,440.00</w:t>
            </w:r>
          </w:p>
        </w:tc>
        <w:tc>
          <w:tcPr>
            <w:tcW w:w="1644" w:type="dxa"/>
            <w:vAlign w:val="center"/>
          </w:tcPr>
          <w:p w:rsidR="00A378C4" w:rsidRDefault="008E5E82">
            <w:pPr>
              <w:jc w:val="right"/>
            </w:pPr>
            <w:r>
              <w:rPr>
                <w:color w:val="000000"/>
                <w:sz w:val="24"/>
                <w:szCs w:val="24"/>
              </w:rPr>
              <w:t>1.05</w:t>
            </w:r>
          </w:p>
        </w:tc>
      </w:tr>
      <w:tr w:rsidR="00A378C4">
        <w:trPr>
          <w:jc w:val="center"/>
        </w:trPr>
        <w:tc>
          <w:tcPr>
            <w:tcW w:w="855" w:type="dxa"/>
            <w:vAlign w:val="center"/>
          </w:tcPr>
          <w:p w:rsidR="00A378C4" w:rsidRDefault="008E5E82">
            <w:pPr>
              <w:jc w:val="center"/>
            </w:pPr>
            <w:r>
              <w:rPr>
                <w:color w:val="000000"/>
                <w:sz w:val="24"/>
                <w:szCs w:val="24"/>
              </w:rPr>
              <w:t>2</w:t>
            </w:r>
          </w:p>
        </w:tc>
        <w:tc>
          <w:tcPr>
            <w:tcW w:w="1334" w:type="dxa"/>
            <w:vAlign w:val="center"/>
          </w:tcPr>
          <w:p w:rsidR="00A378C4" w:rsidRDefault="008E5E82">
            <w:pPr>
              <w:jc w:val="center"/>
            </w:pPr>
            <w:r>
              <w:rPr>
                <w:color w:val="000000"/>
                <w:sz w:val="24"/>
                <w:szCs w:val="24"/>
              </w:rPr>
              <w:t>300188</w:t>
            </w:r>
          </w:p>
        </w:tc>
        <w:tc>
          <w:tcPr>
            <w:tcW w:w="1777" w:type="dxa"/>
            <w:vAlign w:val="center"/>
          </w:tcPr>
          <w:p w:rsidR="00A378C4" w:rsidRDefault="008E5E82">
            <w:pPr>
              <w:jc w:val="center"/>
            </w:pPr>
            <w:r>
              <w:rPr>
                <w:color w:val="000000"/>
                <w:sz w:val="24"/>
                <w:szCs w:val="24"/>
              </w:rPr>
              <w:t>美亚柏科</w:t>
            </w:r>
          </w:p>
        </w:tc>
        <w:tc>
          <w:tcPr>
            <w:tcW w:w="1334" w:type="dxa"/>
            <w:vAlign w:val="center"/>
          </w:tcPr>
          <w:p w:rsidR="00A378C4" w:rsidRDefault="008E5E82">
            <w:pPr>
              <w:jc w:val="right"/>
            </w:pPr>
            <w:r>
              <w:rPr>
                <w:color w:val="000000"/>
                <w:sz w:val="24"/>
                <w:szCs w:val="24"/>
              </w:rPr>
              <w:t>17,300</w:t>
            </w:r>
          </w:p>
        </w:tc>
        <w:tc>
          <w:tcPr>
            <w:tcW w:w="1924" w:type="dxa"/>
            <w:vAlign w:val="center"/>
          </w:tcPr>
          <w:p w:rsidR="00A378C4" w:rsidRDefault="008E5E82">
            <w:pPr>
              <w:jc w:val="right"/>
            </w:pPr>
            <w:r>
              <w:rPr>
                <w:color w:val="000000"/>
                <w:sz w:val="24"/>
                <w:szCs w:val="24"/>
              </w:rPr>
              <w:t>316,590.00</w:t>
            </w:r>
          </w:p>
        </w:tc>
        <w:tc>
          <w:tcPr>
            <w:tcW w:w="1644" w:type="dxa"/>
            <w:vAlign w:val="center"/>
          </w:tcPr>
          <w:p w:rsidR="00A378C4" w:rsidRDefault="008E5E82">
            <w:pPr>
              <w:jc w:val="right"/>
            </w:pPr>
            <w:r>
              <w:rPr>
                <w:color w:val="000000"/>
                <w:sz w:val="24"/>
                <w:szCs w:val="24"/>
              </w:rPr>
              <w:t>1.04</w:t>
            </w:r>
          </w:p>
        </w:tc>
      </w:tr>
      <w:tr w:rsidR="00A378C4">
        <w:trPr>
          <w:jc w:val="center"/>
        </w:trPr>
        <w:tc>
          <w:tcPr>
            <w:tcW w:w="855" w:type="dxa"/>
            <w:vAlign w:val="center"/>
          </w:tcPr>
          <w:p w:rsidR="00A378C4" w:rsidRDefault="008E5E82">
            <w:pPr>
              <w:jc w:val="center"/>
            </w:pPr>
            <w:r>
              <w:rPr>
                <w:color w:val="000000"/>
                <w:sz w:val="24"/>
                <w:szCs w:val="24"/>
              </w:rPr>
              <w:t>3</w:t>
            </w:r>
          </w:p>
        </w:tc>
        <w:tc>
          <w:tcPr>
            <w:tcW w:w="1334" w:type="dxa"/>
            <w:vAlign w:val="center"/>
          </w:tcPr>
          <w:p w:rsidR="00A378C4" w:rsidRDefault="008E5E82">
            <w:pPr>
              <w:jc w:val="center"/>
            </w:pPr>
            <w:r>
              <w:rPr>
                <w:color w:val="000000"/>
                <w:sz w:val="24"/>
                <w:szCs w:val="24"/>
              </w:rPr>
              <w:t>603986</w:t>
            </w:r>
          </w:p>
        </w:tc>
        <w:tc>
          <w:tcPr>
            <w:tcW w:w="1777" w:type="dxa"/>
            <w:vAlign w:val="center"/>
          </w:tcPr>
          <w:p w:rsidR="00A378C4" w:rsidRDefault="008E5E82">
            <w:pPr>
              <w:jc w:val="center"/>
            </w:pPr>
            <w:r>
              <w:rPr>
                <w:color w:val="000000"/>
                <w:sz w:val="24"/>
                <w:szCs w:val="24"/>
              </w:rPr>
              <w:t>兆易创新</w:t>
            </w:r>
          </w:p>
        </w:tc>
        <w:tc>
          <w:tcPr>
            <w:tcW w:w="1334" w:type="dxa"/>
            <w:vAlign w:val="center"/>
          </w:tcPr>
          <w:p w:rsidR="00A378C4" w:rsidRDefault="008E5E82">
            <w:pPr>
              <w:jc w:val="right"/>
            </w:pPr>
            <w:r>
              <w:rPr>
                <w:color w:val="000000"/>
                <w:sz w:val="24"/>
                <w:szCs w:val="24"/>
              </w:rPr>
              <w:t>2,900</w:t>
            </w:r>
          </w:p>
        </w:tc>
        <w:tc>
          <w:tcPr>
            <w:tcW w:w="1924" w:type="dxa"/>
            <w:vAlign w:val="center"/>
          </w:tcPr>
          <w:p w:rsidR="00A378C4" w:rsidRDefault="008E5E82">
            <w:pPr>
              <w:jc w:val="right"/>
            </w:pPr>
            <w:r>
              <w:rPr>
                <w:color w:val="000000"/>
                <w:sz w:val="24"/>
                <w:szCs w:val="24"/>
              </w:rPr>
              <w:t>314,708.00</w:t>
            </w:r>
          </w:p>
        </w:tc>
        <w:tc>
          <w:tcPr>
            <w:tcW w:w="1644" w:type="dxa"/>
            <w:vAlign w:val="center"/>
          </w:tcPr>
          <w:p w:rsidR="00A378C4" w:rsidRDefault="008E5E82">
            <w:pPr>
              <w:jc w:val="right"/>
            </w:pPr>
            <w:r>
              <w:rPr>
                <w:color w:val="000000"/>
                <w:sz w:val="24"/>
                <w:szCs w:val="24"/>
              </w:rPr>
              <w:t>1.03</w:t>
            </w:r>
          </w:p>
        </w:tc>
      </w:tr>
      <w:tr w:rsidR="00A378C4">
        <w:trPr>
          <w:jc w:val="center"/>
        </w:trPr>
        <w:tc>
          <w:tcPr>
            <w:tcW w:w="855" w:type="dxa"/>
            <w:vAlign w:val="center"/>
          </w:tcPr>
          <w:p w:rsidR="00A378C4" w:rsidRDefault="008E5E82">
            <w:pPr>
              <w:jc w:val="center"/>
            </w:pPr>
            <w:r>
              <w:rPr>
                <w:color w:val="000000"/>
                <w:sz w:val="24"/>
                <w:szCs w:val="24"/>
              </w:rPr>
              <w:t>4</w:t>
            </w:r>
          </w:p>
        </w:tc>
        <w:tc>
          <w:tcPr>
            <w:tcW w:w="1334" w:type="dxa"/>
            <w:vAlign w:val="center"/>
          </w:tcPr>
          <w:p w:rsidR="00A378C4" w:rsidRDefault="008E5E82">
            <w:pPr>
              <w:jc w:val="center"/>
            </w:pPr>
            <w:r>
              <w:rPr>
                <w:color w:val="000000"/>
                <w:sz w:val="24"/>
                <w:szCs w:val="24"/>
              </w:rPr>
              <w:t>300170</w:t>
            </w:r>
          </w:p>
        </w:tc>
        <w:tc>
          <w:tcPr>
            <w:tcW w:w="1777" w:type="dxa"/>
            <w:vAlign w:val="center"/>
          </w:tcPr>
          <w:p w:rsidR="00A378C4" w:rsidRDefault="008E5E82">
            <w:pPr>
              <w:jc w:val="center"/>
            </w:pPr>
            <w:r>
              <w:rPr>
                <w:color w:val="000000"/>
                <w:sz w:val="24"/>
                <w:szCs w:val="24"/>
              </w:rPr>
              <w:t>汉得信息</w:t>
            </w:r>
          </w:p>
        </w:tc>
        <w:tc>
          <w:tcPr>
            <w:tcW w:w="1334" w:type="dxa"/>
            <w:vAlign w:val="center"/>
          </w:tcPr>
          <w:p w:rsidR="00A378C4" w:rsidRDefault="008E5E82">
            <w:pPr>
              <w:jc w:val="right"/>
            </w:pPr>
            <w:r>
              <w:rPr>
                <w:color w:val="000000"/>
                <w:sz w:val="24"/>
                <w:szCs w:val="24"/>
              </w:rPr>
              <w:t>19,300</w:t>
            </w:r>
          </w:p>
        </w:tc>
        <w:tc>
          <w:tcPr>
            <w:tcW w:w="1924" w:type="dxa"/>
            <w:vAlign w:val="center"/>
          </w:tcPr>
          <w:p w:rsidR="00A378C4" w:rsidRDefault="008E5E82">
            <w:pPr>
              <w:jc w:val="right"/>
            </w:pPr>
            <w:r>
              <w:rPr>
                <w:color w:val="000000"/>
                <w:sz w:val="24"/>
                <w:szCs w:val="24"/>
              </w:rPr>
              <w:t>313,432.00</w:t>
            </w:r>
          </w:p>
        </w:tc>
        <w:tc>
          <w:tcPr>
            <w:tcW w:w="1644" w:type="dxa"/>
            <w:vAlign w:val="center"/>
          </w:tcPr>
          <w:p w:rsidR="00A378C4" w:rsidRDefault="008E5E82">
            <w:pPr>
              <w:jc w:val="right"/>
            </w:pPr>
            <w:r>
              <w:rPr>
                <w:color w:val="000000"/>
                <w:sz w:val="24"/>
                <w:szCs w:val="24"/>
              </w:rPr>
              <w:t>1.02</w:t>
            </w:r>
          </w:p>
        </w:tc>
      </w:tr>
      <w:tr w:rsidR="00A378C4">
        <w:trPr>
          <w:jc w:val="center"/>
        </w:trPr>
        <w:tc>
          <w:tcPr>
            <w:tcW w:w="855" w:type="dxa"/>
            <w:vAlign w:val="center"/>
          </w:tcPr>
          <w:p w:rsidR="00A378C4" w:rsidRDefault="008E5E82">
            <w:pPr>
              <w:jc w:val="center"/>
            </w:pPr>
            <w:r>
              <w:rPr>
                <w:color w:val="000000"/>
                <w:sz w:val="24"/>
                <w:szCs w:val="24"/>
              </w:rPr>
              <w:t>5</w:t>
            </w:r>
          </w:p>
        </w:tc>
        <w:tc>
          <w:tcPr>
            <w:tcW w:w="1334" w:type="dxa"/>
            <w:vAlign w:val="center"/>
          </w:tcPr>
          <w:p w:rsidR="00A378C4" w:rsidRDefault="008E5E82">
            <w:pPr>
              <w:jc w:val="center"/>
            </w:pPr>
            <w:r>
              <w:rPr>
                <w:color w:val="000000"/>
                <w:sz w:val="24"/>
                <w:szCs w:val="24"/>
              </w:rPr>
              <w:t>000661</w:t>
            </w:r>
          </w:p>
        </w:tc>
        <w:tc>
          <w:tcPr>
            <w:tcW w:w="1777" w:type="dxa"/>
            <w:vAlign w:val="center"/>
          </w:tcPr>
          <w:p w:rsidR="00A378C4" w:rsidRDefault="008E5E82">
            <w:pPr>
              <w:jc w:val="center"/>
            </w:pPr>
            <w:r>
              <w:rPr>
                <w:color w:val="000000"/>
                <w:sz w:val="24"/>
                <w:szCs w:val="24"/>
              </w:rPr>
              <w:t>长春高新</w:t>
            </w:r>
          </w:p>
        </w:tc>
        <w:tc>
          <w:tcPr>
            <w:tcW w:w="1334" w:type="dxa"/>
            <w:vAlign w:val="center"/>
          </w:tcPr>
          <w:p w:rsidR="00A378C4" w:rsidRDefault="008E5E82">
            <w:pPr>
              <w:jc w:val="right"/>
            </w:pPr>
            <w:r>
              <w:rPr>
                <w:color w:val="000000"/>
                <w:sz w:val="24"/>
                <w:szCs w:val="24"/>
              </w:rPr>
              <w:t>1,300</w:t>
            </w:r>
          </w:p>
        </w:tc>
        <w:tc>
          <w:tcPr>
            <w:tcW w:w="1924" w:type="dxa"/>
            <w:vAlign w:val="center"/>
          </w:tcPr>
          <w:p w:rsidR="00A378C4" w:rsidRDefault="008E5E82">
            <w:pPr>
              <w:jc w:val="right"/>
            </w:pPr>
            <w:r>
              <w:rPr>
                <w:color w:val="000000"/>
                <w:sz w:val="24"/>
                <w:szCs w:val="24"/>
              </w:rPr>
              <w:t>296,010.00</w:t>
            </w:r>
          </w:p>
        </w:tc>
        <w:tc>
          <w:tcPr>
            <w:tcW w:w="1644" w:type="dxa"/>
            <w:vAlign w:val="center"/>
          </w:tcPr>
          <w:p w:rsidR="00A378C4" w:rsidRDefault="008E5E82">
            <w:pPr>
              <w:jc w:val="right"/>
            </w:pPr>
            <w:r>
              <w:rPr>
                <w:color w:val="000000"/>
                <w:sz w:val="24"/>
                <w:szCs w:val="24"/>
              </w:rPr>
              <w:t>0.97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2,801,270.00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9.16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24,113,698.50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78.83</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24,113,698.50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78.83</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lastRenderedPageBreak/>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26,914,968.50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87.99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378C4">
        <w:trPr>
          <w:jc w:val="center"/>
        </w:trPr>
        <w:tc>
          <w:tcPr>
            <w:tcW w:w="850" w:type="dxa"/>
            <w:vAlign w:val="center"/>
          </w:tcPr>
          <w:p w:rsidR="00A378C4" w:rsidRDefault="008E5E82">
            <w:pPr>
              <w:jc w:val="center"/>
            </w:pPr>
            <w:r>
              <w:rPr>
                <w:color w:val="000000"/>
                <w:sz w:val="24"/>
                <w:szCs w:val="24"/>
              </w:rPr>
              <w:t>1</w:t>
            </w:r>
          </w:p>
        </w:tc>
        <w:tc>
          <w:tcPr>
            <w:tcW w:w="1475" w:type="dxa"/>
            <w:vAlign w:val="center"/>
          </w:tcPr>
          <w:p w:rsidR="00A378C4" w:rsidRDefault="008E5E82">
            <w:pPr>
              <w:jc w:val="center"/>
            </w:pPr>
            <w:r>
              <w:rPr>
                <w:color w:val="000000"/>
                <w:sz w:val="24"/>
                <w:szCs w:val="24"/>
              </w:rPr>
              <w:t>018006</w:t>
            </w:r>
          </w:p>
        </w:tc>
        <w:tc>
          <w:tcPr>
            <w:tcW w:w="1769" w:type="dxa"/>
            <w:vAlign w:val="center"/>
          </w:tcPr>
          <w:p w:rsidR="00A378C4" w:rsidRDefault="008E5E82">
            <w:pPr>
              <w:jc w:val="center"/>
            </w:pPr>
            <w:r>
              <w:rPr>
                <w:color w:val="000000"/>
                <w:sz w:val="24"/>
                <w:szCs w:val="24"/>
              </w:rPr>
              <w:t>国开</w:t>
            </w:r>
            <w:r>
              <w:rPr>
                <w:color w:val="000000"/>
                <w:sz w:val="24"/>
                <w:szCs w:val="24"/>
              </w:rPr>
              <w:t>1702</w:t>
            </w:r>
          </w:p>
        </w:tc>
        <w:tc>
          <w:tcPr>
            <w:tcW w:w="1387" w:type="dxa"/>
            <w:vAlign w:val="center"/>
          </w:tcPr>
          <w:p w:rsidR="00A378C4" w:rsidRDefault="008E5E82">
            <w:pPr>
              <w:jc w:val="right"/>
            </w:pPr>
            <w:r>
              <w:rPr>
                <w:color w:val="000000"/>
                <w:sz w:val="24"/>
                <w:szCs w:val="24"/>
              </w:rPr>
              <w:t>123,930</w:t>
            </w:r>
          </w:p>
        </w:tc>
        <w:tc>
          <w:tcPr>
            <w:tcW w:w="2150" w:type="dxa"/>
            <w:vAlign w:val="center"/>
          </w:tcPr>
          <w:p w:rsidR="00A378C4" w:rsidRDefault="008E5E82">
            <w:pPr>
              <w:jc w:val="right"/>
            </w:pPr>
            <w:r>
              <w:rPr>
                <w:color w:val="000000"/>
                <w:sz w:val="24"/>
                <w:szCs w:val="24"/>
              </w:rPr>
              <w:t>12,349,624.50</w:t>
            </w:r>
          </w:p>
        </w:tc>
        <w:tc>
          <w:tcPr>
            <w:tcW w:w="1237" w:type="dxa"/>
            <w:vAlign w:val="center"/>
          </w:tcPr>
          <w:p w:rsidR="00A378C4" w:rsidRDefault="008E5E82">
            <w:pPr>
              <w:jc w:val="right"/>
            </w:pPr>
            <w:r>
              <w:rPr>
                <w:color w:val="000000"/>
                <w:sz w:val="24"/>
                <w:szCs w:val="24"/>
              </w:rPr>
              <w:t>40.37</w:t>
            </w:r>
          </w:p>
        </w:tc>
      </w:tr>
      <w:tr w:rsidR="00A378C4">
        <w:trPr>
          <w:jc w:val="center"/>
        </w:trPr>
        <w:tc>
          <w:tcPr>
            <w:tcW w:w="850" w:type="dxa"/>
            <w:vAlign w:val="center"/>
          </w:tcPr>
          <w:p w:rsidR="00A378C4" w:rsidRDefault="008E5E82">
            <w:pPr>
              <w:jc w:val="center"/>
            </w:pPr>
            <w:r>
              <w:rPr>
                <w:color w:val="000000"/>
                <w:sz w:val="24"/>
                <w:szCs w:val="24"/>
              </w:rPr>
              <w:t>2</w:t>
            </w:r>
          </w:p>
        </w:tc>
        <w:tc>
          <w:tcPr>
            <w:tcW w:w="1475" w:type="dxa"/>
            <w:vAlign w:val="center"/>
          </w:tcPr>
          <w:p w:rsidR="00A378C4" w:rsidRDefault="008E5E82">
            <w:pPr>
              <w:jc w:val="center"/>
            </w:pPr>
            <w:r>
              <w:rPr>
                <w:color w:val="000000"/>
                <w:sz w:val="24"/>
                <w:szCs w:val="24"/>
              </w:rPr>
              <w:t>018005</w:t>
            </w:r>
          </w:p>
        </w:tc>
        <w:tc>
          <w:tcPr>
            <w:tcW w:w="1769" w:type="dxa"/>
            <w:vAlign w:val="center"/>
          </w:tcPr>
          <w:p w:rsidR="00A378C4" w:rsidRDefault="008E5E82">
            <w:pPr>
              <w:jc w:val="center"/>
            </w:pPr>
            <w:r>
              <w:rPr>
                <w:color w:val="000000"/>
                <w:sz w:val="24"/>
                <w:szCs w:val="24"/>
              </w:rPr>
              <w:t>国开</w:t>
            </w:r>
            <w:r>
              <w:rPr>
                <w:color w:val="000000"/>
                <w:sz w:val="24"/>
                <w:szCs w:val="24"/>
              </w:rPr>
              <w:t>1701</w:t>
            </w:r>
          </w:p>
        </w:tc>
        <w:tc>
          <w:tcPr>
            <w:tcW w:w="1387" w:type="dxa"/>
            <w:vAlign w:val="center"/>
          </w:tcPr>
          <w:p w:rsidR="00A378C4" w:rsidRDefault="008E5E82">
            <w:pPr>
              <w:jc w:val="right"/>
            </w:pPr>
            <w:r>
              <w:rPr>
                <w:color w:val="000000"/>
                <w:sz w:val="24"/>
                <w:szCs w:val="24"/>
              </w:rPr>
              <w:t>67,300</w:t>
            </w:r>
          </w:p>
        </w:tc>
        <w:tc>
          <w:tcPr>
            <w:tcW w:w="2150" w:type="dxa"/>
            <w:vAlign w:val="center"/>
          </w:tcPr>
          <w:p w:rsidR="00A378C4" w:rsidRDefault="008E5E82">
            <w:pPr>
              <w:jc w:val="right"/>
            </w:pPr>
            <w:r>
              <w:rPr>
                <w:color w:val="000000"/>
                <w:sz w:val="24"/>
                <w:szCs w:val="24"/>
              </w:rPr>
              <w:t>6,755,574.00</w:t>
            </w:r>
          </w:p>
        </w:tc>
        <w:tc>
          <w:tcPr>
            <w:tcW w:w="1237" w:type="dxa"/>
            <w:vAlign w:val="center"/>
          </w:tcPr>
          <w:p w:rsidR="00A378C4" w:rsidRDefault="008E5E82">
            <w:pPr>
              <w:jc w:val="right"/>
            </w:pPr>
            <w:r>
              <w:rPr>
                <w:color w:val="000000"/>
                <w:sz w:val="24"/>
                <w:szCs w:val="24"/>
              </w:rPr>
              <w:t>22.09</w:t>
            </w:r>
          </w:p>
        </w:tc>
      </w:tr>
      <w:tr w:rsidR="00A378C4">
        <w:trPr>
          <w:jc w:val="center"/>
        </w:trPr>
        <w:tc>
          <w:tcPr>
            <w:tcW w:w="850" w:type="dxa"/>
            <w:vAlign w:val="center"/>
          </w:tcPr>
          <w:p w:rsidR="00A378C4" w:rsidRDefault="008E5E82">
            <w:pPr>
              <w:jc w:val="center"/>
            </w:pPr>
            <w:r>
              <w:rPr>
                <w:color w:val="000000"/>
                <w:sz w:val="24"/>
                <w:szCs w:val="24"/>
              </w:rPr>
              <w:t>3</w:t>
            </w:r>
          </w:p>
        </w:tc>
        <w:tc>
          <w:tcPr>
            <w:tcW w:w="1475" w:type="dxa"/>
            <w:vAlign w:val="center"/>
          </w:tcPr>
          <w:p w:rsidR="00A378C4" w:rsidRDefault="008E5E82">
            <w:pPr>
              <w:jc w:val="center"/>
            </w:pPr>
            <w:r>
              <w:rPr>
                <w:color w:val="000000"/>
                <w:sz w:val="24"/>
                <w:szCs w:val="24"/>
              </w:rPr>
              <w:t>170311</w:t>
            </w:r>
          </w:p>
        </w:tc>
        <w:tc>
          <w:tcPr>
            <w:tcW w:w="1769" w:type="dxa"/>
            <w:vAlign w:val="center"/>
          </w:tcPr>
          <w:p w:rsidR="00A378C4" w:rsidRDefault="008E5E82">
            <w:pPr>
              <w:jc w:val="center"/>
            </w:pPr>
            <w:r>
              <w:rPr>
                <w:color w:val="000000"/>
                <w:sz w:val="24"/>
                <w:szCs w:val="24"/>
              </w:rPr>
              <w:t>17</w:t>
            </w:r>
            <w:r>
              <w:rPr>
                <w:color w:val="000000"/>
                <w:sz w:val="24"/>
                <w:szCs w:val="24"/>
              </w:rPr>
              <w:t>进出</w:t>
            </w:r>
            <w:r>
              <w:rPr>
                <w:color w:val="000000"/>
                <w:sz w:val="24"/>
                <w:szCs w:val="24"/>
              </w:rPr>
              <w:t>11</w:t>
            </w:r>
          </w:p>
        </w:tc>
        <w:tc>
          <w:tcPr>
            <w:tcW w:w="1387" w:type="dxa"/>
            <w:vAlign w:val="center"/>
          </w:tcPr>
          <w:p w:rsidR="00A378C4" w:rsidRDefault="008E5E82">
            <w:pPr>
              <w:jc w:val="right"/>
            </w:pPr>
            <w:r>
              <w:rPr>
                <w:color w:val="000000"/>
                <w:sz w:val="24"/>
                <w:szCs w:val="24"/>
              </w:rPr>
              <w:t>50,000</w:t>
            </w:r>
          </w:p>
        </w:tc>
        <w:tc>
          <w:tcPr>
            <w:tcW w:w="2150" w:type="dxa"/>
            <w:vAlign w:val="center"/>
          </w:tcPr>
          <w:p w:rsidR="00A378C4" w:rsidRDefault="008E5E82">
            <w:pPr>
              <w:jc w:val="right"/>
            </w:pPr>
            <w:r>
              <w:rPr>
                <w:color w:val="000000"/>
                <w:sz w:val="24"/>
                <w:szCs w:val="24"/>
              </w:rPr>
              <w:t>5,008,500.00</w:t>
            </w:r>
          </w:p>
        </w:tc>
        <w:tc>
          <w:tcPr>
            <w:tcW w:w="1237" w:type="dxa"/>
            <w:vAlign w:val="center"/>
          </w:tcPr>
          <w:p w:rsidR="00A378C4" w:rsidRDefault="008E5E82">
            <w:pPr>
              <w:jc w:val="right"/>
            </w:pPr>
            <w:r>
              <w:rPr>
                <w:color w:val="000000"/>
                <w:sz w:val="24"/>
                <w:szCs w:val="24"/>
              </w:rPr>
              <w:t>16.37</w:t>
            </w:r>
          </w:p>
        </w:tc>
      </w:tr>
      <w:tr w:rsidR="00A378C4">
        <w:trPr>
          <w:jc w:val="center"/>
        </w:trPr>
        <w:tc>
          <w:tcPr>
            <w:tcW w:w="850" w:type="dxa"/>
            <w:vAlign w:val="center"/>
          </w:tcPr>
          <w:p w:rsidR="00A378C4" w:rsidRDefault="008E5E82">
            <w:pPr>
              <w:jc w:val="center"/>
            </w:pPr>
            <w:r>
              <w:rPr>
                <w:color w:val="000000"/>
                <w:sz w:val="24"/>
                <w:szCs w:val="24"/>
              </w:rPr>
              <w:t>4</w:t>
            </w:r>
          </w:p>
        </w:tc>
        <w:tc>
          <w:tcPr>
            <w:tcW w:w="1475" w:type="dxa"/>
            <w:vAlign w:val="center"/>
          </w:tcPr>
          <w:p w:rsidR="00A378C4" w:rsidRDefault="008E5E82">
            <w:pPr>
              <w:jc w:val="center"/>
            </w:pPr>
            <w:r>
              <w:rPr>
                <w:color w:val="000000"/>
                <w:sz w:val="24"/>
                <w:szCs w:val="24"/>
              </w:rPr>
              <w:t>010303</w:t>
            </w:r>
          </w:p>
        </w:tc>
        <w:tc>
          <w:tcPr>
            <w:tcW w:w="1769" w:type="dxa"/>
            <w:vAlign w:val="center"/>
          </w:tcPr>
          <w:p w:rsidR="00A378C4" w:rsidRDefault="008E5E82">
            <w:pPr>
              <w:jc w:val="center"/>
            </w:pPr>
            <w:r>
              <w:rPr>
                <w:color w:val="000000"/>
                <w:sz w:val="24"/>
                <w:szCs w:val="24"/>
              </w:rPr>
              <w:t>03</w:t>
            </w:r>
            <w:r>
              <w:rPr>
                <w:color w:val="000000"/>
                <w:sz w:val="24"/>
                <w:szCs w:val="24"/>
              </w:rPr>
              <w:t>国债</w:t>
            </w:r>
            <w:r>
              <w:rPr>
                <w:color w:val="000000"/>
                <w:sz w:val="24"/>
                <w:szCs w:val="24"/>
              </w:rPr>
              <w:t>⑶</w:t>
            </w:r>
          </w:p>
        </w:tc>
        <w:tc>
          <w:tcPr>
            <w:tcW w:w="1387" w:type="dxa"/>
            <w:vAlign w:val="center"/>
          </w:tcPr>
          <w:p w:rsidR="00A378C4" w:rsidRDefault="008E5E82">
            <w:pPr>
              <w:jc w:val="right"/>
            </w:pPr>
            <w:r>
              <w:rPr>
                <w:color w:val="000000"/>
                <w:sz w:val="24"/>
                <w:szCs w:val="24"/>
              </w:rPr>
              <w:t>28,250</w:t>
            </w:r>
          </w:p>
        </w:tc>
        <w:tc>
          <w:tcPr>
            <w:tcW w:w="2150" w:type="dxa"/>
            <w:vAlign w:val="center"/>
          </w:tcPr>
          <w:p w:rsidR="00A378C4" w:rsidRDefault="008E5E82">
            <w:pPr>
              <w:jc w:val="right"/>
            </w:pPr>
            <w:r>
              <w:rPr>
                <w:color w:val="000000"/>
                <w:sz w:val="24"/>
                <w:szCs w:val="24"/>
              </w:rPr>
              <w:t>2,801,270.00</w:t>
            </w:r>
          </w:p>
        </w:tc>
        <w:tc>
          <w:tcPr>
            <w:tcW w:w="1237" w:type="dxa"/>
            <w:vAlign w:val="center"/>
          </w:tcPr>
          <w:p w:rsidR="00A378C4" w:rsidRDefault="008E5E82">
            <w:pPr>
              <w:jc w:val="right"/>
            </w:pPr>
            <w:r>
              <w:rPr>
                <w:color w:val="000000"/>
                <w:sz w:val="24"/>
                <w:szCs w:val="24"/>
              </w:rPr>
              <w:t>9.16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42,317.24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986,652.12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322,452.23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1,351,421.59</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575270" w:rsidRDefault="001F3E2A" w:rsidP="001F3E2A">
      <w:pPr>
        <w:pStyle w:val="1"/>
        <w:spacing w:beforeLines="100" w:before="312" w:afterLines="100" w:after="312" w:line="360" w:lineRule="auto"/>
        <w:jc w:val="center"/>
        <w:rPr>
          <w:rFonts w:eastAsiaTheme="minorEastAsia"/>
          <w:color w:val="000000" w:themeColor="text1"/>
          <w:kern w:val="0"/>
          <w:sz w:val="24"/>
          <w:szCs w:val="24"/>
        </w:rPr>
      </w:pPr>
      <w:r w:rsidRPr="00575270">
        <w:rPr>
          <w:rFonts w:eastAsiaTheme="minorEastAsia"/>
          <w:color w:val="000000" w:themeColor="text1"/>
          <w:kern w:val="0"/>
          <w:sz w:val="24"/>
          <w:szCs w:val="24"/>
        </w:rPr>
        <w:t>§6</w:t>
      </w:r>
      <w:r w:rsidRPr="00575270">
        <w:rPr>
          <w:rFonts w:eastAsiaTheme="minorEastAsia" w:hint="eastAsia"/>
          <w:color w:val="000000" w:themeColor="text1"/>
          <w:kern w:val="0"/>
          <w:sz w:val="24"/>
          <w:szCs w:val="24"/>
        </w:rPr>
        <w:t xml:space="preserve">  </w:t>
      </w:r>
      <w:r w:rsidRPr="00575270">
        <w:rPr>
          <w:rFonts w:eastAsiaTheme="minorEastAsia" w:hint="eastAsia"/>
          <w:color w:val="000000" w:themeColor="text1"/>
          <w:kern w:val="0"/>
          <w:sz w:val="24"/>
          <w:szCs w:val="24"/>
        </w:rPr>
        <w:t>基金中基金</w:t>
      </w:r>
    </w:p>
    <w:p w:rsidR="001F3E2A" w:rsidRPr="00575270" w:rsidRDefault="001F3E2A" w:rsidP="001F3E2A">
      <w:pPr>
        <w:adjustRightInd w:val="0"/>
        <w:snapToGrid w:val="0"/>
        <w:spacing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6.1</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报告期末按公允价值占基金资产净值比例大小排序的前十名基金投资明细</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本基金本报告期末未持有基金。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6.2</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当期交易及持有基金产生的费用</w:t>
      </w:r>
    </w:p>
    <w:p w:rsidR="001F3E2A" w:rsidRPr="00575270" w:rsidRDefault="001F3E2A" w:rsidP="001F3E2A">
      <w:pPr>
        <w:autoSpaceDE w:val="0"/>
        <w:autoSpaceDN w:val="0"/>
        <w:adjustRightInd w:val="0"/>
        <w:spacing w:line="360" w:lineRule="auto"/>
        <w:ind w:firstLineChars="200" w:firstLine="480"/>
        <w:jc w:val="left"/>
        <w:rPr>
          <w:rFonts w:eastAsiaTheme="minorEastAsia"/>
          <w:color w:val="000000" w:themeColor="text1"/>
          <w:sz w:val="24"/>
          <w:szCs w:val="24"/>
        </w:rPr>
      </w:pPr>
      <w:r w:rsidRPr="00575270">
        <w:rPr>
          <w:rFonts w:eastAsiaTheme="minorEastAsia"/>
          <w:color w:val="000000" w:themeColor="text1"/>
          <w:sz w:val="24"/>
          <w:szCs w:val="24"/>
        </w:rPr>
        <w:t>本基金本报告期内未交易或持有基金。</w:t>
      </w:r>
    </w:p>
    <w:p w:rsidR="001F3E2A" w:rsidRPr="00575270" w:rsidRDefault="001F3E2A" w:rsidP="001F3E2A">
      <w:pPr>
        <w:adjustRightInd w:val="0"/>
        <w:snapToGrid w:val="0"/>
        <w:spacing w:beforeLines="50" w:before="156" w:line="360" w:lineRule="auto"/>
        <w:rPr>
          <w:rFonts w:eastAsiaTheme="minorEastAsia"/>
          <w:b/>
          <w:color w:val="000000" w:themeColor="text1"/>
          <w:kern w:val="0"/>
          <w:sz w:val="24"/>
          <w:szCs w:val="24"/>
        </w:rPr>
      </w:pPr>
      <w:r w:rsidRPr="00575270">
        <w:rPr>
          <w:rFonts w:eastAsiaTheme="minorEastAsia"/>
          <w:b/>
          <w:color w:val="000000" w:themeColor="text1"/>
          <w:kern w:val="0"/>
          <w:sz w:val="24"/>
          <w:szCs w:val="24"/>
        </w:rPr>
        <w:t>6.3</w:t>
      </w:r>
      <w:r w:rsidRPr="00575270">
        <w:rPr>
          <w:rFonts w:eastAsiaTheme="minorEastAsia" w:hint="eastAsia"/>
          <w:b/>
          <w:color w:val="000000" w:themeColor="text1"/>
          <w:kern w:val="0"/>
          <w:sz w:val="24"/>
          <w:szCs w:val="24"/>
        </w:rPr>
        <w:t xml:space="preserve"> </w:t>
      </w:r>
      <w:r w:rsidRPr="00575270">
        <w:rPr>
          <w:rFonts w:eastAsiaTheme="minorEastAsia" w:hint="eastAsia"/>
          <w:b/>
          <w:color w:val="000000" w:themeColor="text1"/>
          <w:kern w:val="0"/>
          <w:sz w:val="24"/>
          <w:szCs w:val="24"/>
        </w:rPr>
        <w:t>本报告期持有的基金发生的重大影响事件</w:t>
      </w:r>
    </w:p>
    <w:p w:rsidR="001F3E2A" w:rsidRPr="00867055" w:rsidRDefault="00867055" w:rsidP="00867055">
      <w:pPr>
        <w:spacing w:before="29" w:line="288" w:lineRule="auto"/>
        <w:ind w:firstLineChars="200" w:firstLine="480"/>
        <w:rPr>
          <w:color w:val="000000"/>
          <w:sz w:val="24"/>
          <w:szCs w:val="24"/>
        </w:rPr>
      </w:pPr>
      <w:r>
        <w:rPr>
          <w:rFonts w:hint="eastAsia"/>
          <w:color w:val="000000"/>
          <w:sz w:val="24"/>
          <w:szCs w:val="24"/>
        </w:rPr>
        <w:t>无。</w:t>
      </w:r>
    </w:p>
    <w:p w:rsidR="004061AC" w:rsidRPr="005A3D62" w:rsidRDefault="004061AC" w:rsidP="005A3D62">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7</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26,518,772.45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106,649.17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2,047,915.19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24,577,506.43</w:t>
            </w:r>
          </w:p>
        </w:tc>
      </w:tr>
    </w:tbl>
    <w:p w:rsidR="00A378C4" w:rsidRDefault="008E5E8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7B5F21">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8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8.1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8.2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7B5F21">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§9</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9.</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A378C4">
        <w:tc>
          <w:tcPr>
            <w:tcW w:w="993" w:type="dxa"/>
            <w:vMerge w:val="restart"/>
          </w:tcPr>
          <w:p w:rsidR="00A378C4" w:rsidRDefault="00A378C4"/>
          <w:p w:rsidR="00A378C4" w:rsidRDefault="008E5E82">
            <w:r>
              <w:rPr>
                <w:rFonts w:ascii="宋体" w:hAnsi="宋体" w:hint="eastAsia"/>
                <w:bCs/>
                <w:color w:val="000000"/>
                <w:kern w:val="0"/>
              </w:rPr>
              <w:t>个人</w:t>
            </w:r>
          </w:p>
        </w:tc>
        <w:tc>
          <w:tcPr>
            <w:tcW w:w="992" w:type="dxa"/>
            <w:vAlign w:val="center"/>
          </w:tcPr>
          <w:p w:rsidR="00A378C4" w:rsidRDefault="008E5E82">
            <w:pPr>
              <w:jc w:val="center"/>
            </w:pPr>
            <w:r>
              <w:rPr>
                <w:rFonts w:ascii="宋体" w:hAnsi="宋体"/>
                <w:kern w:val="0"/>
              </w:rPr>
              <w:t>1</w:t>
            </w:r>
          </w:p>
        </w:tc>
        <w:tc>
          <w:tcPr>
            <w:tcW w:w="1843" w:type="dxa"/>
            <w:vAlign w:val="center"/>
          </w:tcPr>
          <w:p w:rsidR="00A378C4" w:rsidRDefault="008E5E82">
            <w:pPr>
              <w:jc w:val="center"/>
            </w:pPr>
            <w:r>
              <w:rPr>
                <w:rFonts w:ascii="宋体" w:hAnsi="宋体"/>
                <w:kern w:val="0"/>
              </w:rPr>
              <w:t>2018/4/1-2018/6/30</w:t>
            </w:r>
          </w:p>
        </w:tc>
        <w:tc>
          <w:tcPr>
            <w:tcW w:w="851" w:type="dxa"/>
            <w:vAlign w:val="center"/>
          </w:tcPr>
          <w:p w:rsidR="00A378C4" w:rsidRDefault="008E5E82">
            <w:pPr>
              <w:jc w:val="center"/>
            </w:pPr>
            <w:r>
              <w:rPr>
                <w:rFonts w:ascii="宋体" w:hAnsi="宋体"/>
                <w:kern w:val="0"/>
              </w:rPr>
              <w:t>5,000,575.00</w:t>
            </w:r>
          </w:p>
        </w:tc>
        <w:tc>
          <w:tcPr>
            <w:tcW w:w="850" w:type="dxa"/>
            <w:vAlign w:val="center"/>
          </w:tcPr>
          <w:p w:rsidR="00A378C4" w:rsidRDefault="008E5E82">
            <w:pPr>
              <w:jc w:val="center"/>
            </w:pPr>
            <w:r>
              <w:rPr>
                <w:rFonts w:ascii="宋体" w:hAnsi="宋体"/>
                <w:kern w:val="0"/>
              </w:rPr>
              <w:t>-</w:t>
            </w:r>
          </w:p>
        </w:tc>
        <w:tc>
          <w:tcPr>
            <w:tcW w:w="1134" w:type="dxa"/>
            <w:vAlign w:val="center"/>
          </w:tcPr>
          <w:p w:rsidR="00A378C4" w:rsidRDefault="008E5E82">
            <w:pPr>
              <w:jc w:val="center"/>
            </w:pPr>
            <w:r>
              <w:rPr>
                <w:rFonts w:ascii="宋体" w:hAnsi="宋体"/>
                <w:kern w:val="0"/>
              </w:rPr>
              <w:t>-</w:t>
            </w:r>
          </w:p>
        </w:tc>
        <w:tc>
          <w:tcPr>
            <w:tcW w:w="1419" w:type="dxa"/>
            <w:vAlign w:val="center"/>
          </w:tcPr>
          <w:p w:rsidR="00A378C4" w:rsidRDefault="008E5E82">
            <w:pPr>
              <w:jc w:val="center"/>
            </w:pPr>
            <w:r>
              <w:rPr>
                <w:rFonts w:ascii="宋体" w:hAnsi="宋体"/>
                <w:kern w:val="0"/>
              </w:rPr>
              <w:t>5,000,575.00</w:t>
            </w:r>
          </w:p>
        </w:tc>
        <w:tc>
          <w:tcPr>
            <w:tcW w:w="1130" w:type="dxa"/>
            <w:vAlign w:val="center"/>
          </w:tcPr>
          <w:p w:rsidR="00A378C4" w:rsidRDefault="008E5E82">
            <w:pPr>
              <w:jc w:val="center"/>
            </w:pPr>
            <w:r>
              <w:rPr>
                <w:rFonts w:ascii="宋体" w:hAnsi="宋体"/>
                <w:kern w:val="0"/>
              </w:rPr>
              <w:t>20.35%</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7B5F21">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10</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378C4" w:rsidRDefault="008E5E8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、中国证监会批准交银施罗德荣泰保本混合型证券投资基金募集的文件；</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lastRenderedPageBreak/>
        <w:t>2</w:t>
      </w:r>
      <w:r>
        <w:rPr>
          <w:color w:val="000000"/>
          <w:sz w:val="24"/>
          <w:szCs w:val="24"/>
        </w:rPr>
        <w:t>、《交银施罗德增强收益债券型证券投资基金基金合同》；</w:t>
      </w:r>
    </w:p>
    <w:p w:rsidR="00A378C4" w:rsidRDefault="008E5E8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、《交银施罗德增强收益债券型证券投资基金招募说明书》；</w:t>
      </w:r>
    </w:p>
    <w:p w:rsidR="00A378C4" w:rsidRDefault="008E5E8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、《交银施罗德增强收益债券型证券投资基金托管协议》；</w:t>
      </w:r>
    </w:p>
    <w:p w:rsidR="00A378C4" w:rsidRDefault="008E5E82">
      <w:pPr>
        <w:spacing w:before="29" w:line="288" w:lineRule="auto"/>
        <w:ind w:firstLineChars="200" w:firstLine="480"/>
        <w:rPr>
          <w:color w:val="000000"/>
          <w:sz w:val="24"/>
          <w:szCs w:val="24"/>
        </w:rPr>
      </w:pPr>
      <w:r>
        <w:rPr>
          <w:color w:val="000000"/>
          <w:sz w:val="24"/>
          <w:szCs w:val="24"/>
        </w:rPr>
        <w:t>5</w:t>
      </w:r>
      <w:r>
        <w:rPr>
          <w:color w:val="000000"/>
          <w:sz w:val="24"/>
          <w:szCs w:val="24"/>
        </w:rPr>
        <w:t>、《交银施罗德荣泰保本混合型证券投资基金基金合同》；</w:t>
      </w:r>
    </w:p>
    <w:p w:rsidR="00A378C4" w:rsidRDefault="008E5E82">
      <w:pPr>
        <w:spacing w:before="29" w:line="288" w:lineRule="auto"/>
        <w:ind w:firstLineChars="200" w:firstLine="480"/>
        <w:rPr>
          <w:color w:val="000000"/>
          <w:sz w:val="24"/>
          <w:szCs w:val="24"/>
        </w:rPr>
      </w:pPr>
      <w:r>
        <w:rPr>
          <w:color w:val="000000"/>
          <w:sz w:val="24"/>
          <w:szCs w:val="24"/>
        </w:rPr>
        <w:t>6</w:t>
      </w:r>
      <w:r>
        <w:rPr>
          <w:color w:val="000000"/>
          <w:sz w:val="24"/>
          <w:szCs w:val="24"/>
        </w:rPr>
        <w:t>、《交银施罗德荣泰保本混合型证券投资基金招募说明书》；</w:t>
      </w:r>
    </w:p>
    <w:p w:rsidR="00A378C4" w:rsidRDefault="008E5E82">
      <w:pPr>
        <w:spacing w:before="29" w:line="288" w:lineRule="auto"/>
        <w:ind w:firstLineChars="200" w:firstLine="480"/>
        <w:rPr>
          <w:color w:val="000000"/>
          <w:sz w:val="24"/>
          <w:szCs w:val="24"/>
        </w:rPr>
      </w:pPr>
      <w:r>
        <w:rPr>
          <w:color w:val="000000"/>
          <w:sz w:val="24"/>
          <w:szCs w:val="24"/>
        </w:rPr>
        <w:t>7</w:t>
      </w:r>
      <w:r>
        <w:rPr>
          <w:color w:val="000000"/>
          <w:sz w:val="24"/>
          <w:szCs w:val="24"/>
        </w:rPr>
        <w:t>、《交银施罗德荣泰保本混合型证券投资基金托管协议》；</w:t>
      </w:r>
    </w:p>
    <w:p w:rsidR="00A378C4" w:rsidRDefault="008E5E82">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、《交银施罗德荣泰保本混合型证券投资基金保证合同》；</w:t>
      </w:r>
      <w:r>
        <w:rPr>
          <w:color w:val="000000"/>
          <w:sz w:val="24"/>
          <w:szCs w:val="24"/>
        </w:rPr>
        <w:t xml:space="preserve"> </w:t>
      </w:r>
    </w:p>
    <w:p w:rsidR="00A378C4" w:rsidRDefault="008E5E82">
      <w:pPr>
        <w:spacing w:before="29" w:line="288" w:lineRule="auto"/>
        <w:ind w:firstLineChars="200" w:firstLine="480"/>
        <w:rPr>
          <w:color w:val="000000"/>
          <w:sz w:val="24"/>
          <w:szCs w:val="24"/>
        </w:rPr>
      </w:pPr>
      <w:r>
        <w:rPr>
          <w:color w:val="000000"/>
          <w:sz w:val="24"/>
          <w:szCs w:val="24"/>
        </w:rPr>
        <w:t>9</w:t>
      </w:r>
      <w:r>
        <w:rPr>
          <w:color w:val="000000"/>
          <w:sz w:val="24"/>
          <w:szCs w:val="24"/>
        </w:rPr>
        <w:t>、基金管理人业务资格批件、营业执照；</w:t>
      </w:r>
    </w:p>
    <w:p w:rsidR="00A378C4" w:rsidRDefault="008E5E82">
      <w:pPr>
        <w:spacing w:before="29" w:line="288" w:lineRule="auto"/>
        <w:ind w:firstLineChars="200" w:firstLine="480"/>
        <w:rPr>
          <w:color w:val="000000"/>
          <w:sz w:val="24"/>
          <w:szCs w:val="24"/>
        </w:rPr>
      </w:pPr>
      <w:r>
        <w:rPr>
          <w:color w:val="000000"/>
          <w:sz w:val="24"/>
          <w:szCs w:val="24"/>
        </w:rPr>
        <w:t>10</w:t>
      </w:r>
      <w:r>
        <w:rPr>
          <w:color w:val="000000"/>
          <w:sz w:val="24"/>
          <w:szCs w:val="24"/>
        </w:rPr>
        <w:t>、基金托管人业务资格批件、营业执照；</w:t>
      </w:r>
    </w:p>
    <w:p w:rsidR="00A378C4" w:rsidRDefault="008E5E82">
      <w:pPr>
        <w:spacing w:before="29" w:line="288" w:lineRule="auto"/>
        <w:ind w:firstLineChars="200" w:firstLine="480"/>
        <w:rPr>
          <w:color w:val="000000"/>
          <w:sz w:val="24"/>
          <w:szCs w:val="24"/>
        </w:rPr>
      </w:pPr>
      <w:r>
        <w:rPr>
          <w:color w:val="000000"/>
          <w:sz w:val="24"/>
          <w:szCs w:val="24"/>
        </w:rPr>
        <w:t>11</w:t>
      </w:r>
      <w:r>
        <w:rPr>
          <w:color w:val="000000"/>
          <w:sz w:val="24"/>
          <w:szCs w:val="24"/>
        </w:rPr>
        <w:t>、关于申请募集交银施罗德荣泰保本混合型证券投资基金之法律意见书；</w:t>
      </w:r>
    </w:p>
    <w:p w:rsidR="00A378C4" w:rsidRDefault="008E5E82">
      <w:pPr>
        <w:spacing w:before="29" w:line="288" w:lineRule="auto"/>
        <w:ind w:firstLineChars="200" w:firstLine="480"/>
        <w:rPr>
          <w:color w:val="000000"/>
          <w:sz w:val="24"/>
          <w:szCs w:val="24"/>
        </w:rPr>
      </w:pPr>
      <w:r>
        <w:rPr>
          <w:color w:val="000000"/>
          <w:sz w:val="24"/>
          <w:szCs w:val="24"/>
        </w:rPr>
        <w:t>12</w:t>
      </w:r>
      <w:r>
        <w:rPr>
          <w:color w:val="000000"/>
          <w:sz w:val="24"/>
          <w:szCs w:val="24"/>
        </w:rPr>
        <w:t>、关于交银施罗德荣泰保本混合型证券投资基金保本周期到期转型及基金合同修改的法律意见；</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13</w:t>
      </w:r>
      <w:r w:rsidRPr="00414345">
        <w:rPr>
          <w:color w:val="000000"/>
          <w:sz w:val="24"/>
          <w:szCs w:val="24"/>
        </w:rPr>
        <w:t>、报告期内交银施罗德增强收益债券型证券投资基金、交银施罗德荣泰保本混合型证券投资基金在指定报刊上各项公告的原稿。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10</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378C4" w:rsidRDefault="008E5E8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AD1" w:rsidRDefault="002F6AD1" w:rsidP="00876D65">
      <w:r>
        <w:separator/>
      </w:r>
    </w:p>
  </w:endnote>
  <w:endnote w:type="continuationSeparator" w:id="0">
    <w:p w:rsidR="002F6AD1" w:rsidRDefault="002F6AD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006A28">
      <w:rPr>
        <w:kern w:val="0"/>
        <w:szCs w:val="21"/>
      </w:rPr>
      <w:fldChar w:fldCharType="begin"/>
    </w:r>
    <w:r>
      <w:rPr>
        <w:kern w:val="0"/>
        <w:szCs w:val="21"/>
      </w:rPr>
      <w:instrText xml:space="preserve"> PAGE </w:instrText>
    </w:r>
    <w:r w:rsidR="00006A28">
      <w:rPr>
        <w:kern w:val="0"/>
        <w:szCs w:val="21"/>
      </w:rPr>
      <w:fldChar w:fldCharType="separate"/>
    </w:r>
    <w:r w:rsidR="004B2FBB">
      <w:rPr>
        <w:noProof/>
        <w:kern w:val="0"/>
        <w:szCs w:val="21"/>
      </w:rPr>
      <w:t>14</w:t>
    </w:r>
    <w:r w:rsidR="00006A28">
      <w:rPr>
        <w:kern w:val="0"/>
        <w:szCs w:val="21"/>
      </w:rPr>
      <w:fldChar w:fldCharType="end"/>
    </w:r>
    <w:r>
      <w:rPr>
        <w:rFonts w:hint="eastAsia"/>
        <w:kern w:val="0"/>
        <w:szCs w:val="21"/>
      </w:rPr>
      <w:t>页共</w:t>
    </w:r>
    <w:r w:rsidR="00006A28">
      <w:rPr>
        <w:kern w:val="0"/>
        <w:szCs w:val="21"/>
      </w:rPr>
      <w:fldChar w:fldCharType="begin"/>
    </w:r>
    <w:r>
      <w:rPr>
        <w:kern w:val="0"/>
        <w:szCs w:val="21"/>
      </w:rPr>
      <w:instrText xml:space="preserve"> NUMPAGES </w:instrText>
    </w:r>
    <w:r w:rsidR="00006A28">
      <w:rPr>
        <w:kern w:val="0"/>
        <w:szCs w:val="21"/>
      </w:rPr>
      <w:fldChar w:fldCharType="separate"/>
    </w:r>
    <w:r w:rsidR="004B2FBB">
      <w:rPr>
        <w:noProof/>
        <w:kern w:val="0"/>
        <w:szCs w:val="21"/>
      </w:rPr>
      <w:t>14</w:t>
    </w:r>
    <w:r w:rsidR="00006A28">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AD1" w:rsidRDefault="002F6AD1" w:rsidP="00876D65">
      <w:r>
        <w:separator/>
      </w:r>
    </w:p>
  </w:footnote>
  <w:footnote w:type="continuationSeparator" w:id="0">
    <w:p w:rsidR="002F6AD1" w:rsidRDefault="002F6AD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交银施罗德增强收益债券型证券投资基金</w:t>
    </w:r>
    <w:r w:rsidRPr="003E676C">
      <w:rPr>
        <w:sz w:val="24"/>
        <w:szCs w:val="24"/>
      </w:rPr>
      <w:t>2018</w:t>
    </w:r>
    <w:r w:rsidRPr="003E676C">
      <w:rPr>
        <w:sz w:val="24"/>
        <w:szCs w:val="24"/>
      </w:rPr>
      <w:t>年第</w:t>
    </w:r>
    <w:r w:rsidRPr="003E676C">
      <w:rPr>
        <w:sz w:val="24"/>
        <w:szCs w:val="24"/>
      </w:rPr>
      <w:t>2</w:t>
    </w:r>
    <w:r w:rsidRPr="003E676C">
      <w:rPr>
        <w:sz w:val="24"/>
        <w:szCs w:val="24"/>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2F6AD1"/>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32C0"/>
    <w:rsid w:val="003C50AD"/>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B2FBB"/>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67055"/>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E5E82"/>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378C4"/>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814DB8-F36B-4E44-AAAD-8618D7D1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944920300">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B8E8-08BB-46AE-8BBD-8013B247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1808</TotalTime>
  <Pages>14</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578</cp:revision>
  <dcterms:created xsi:type="dcterms:W3CDTF">2012-10-16T06:07:00Z</dcterms:created>
  <dcterms:modified xsi:type="dcterms:W3CDTF">2018-07-16T08:39:00Z</dcterms:modified>
</cp:coreProperties>
</file>