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514C11" w:rsidRDefault="004061AC" w:rsidP="00DB1533">
      <w:pPr>
        <w:autoSpaceDE w:val="0"/>
        <w:autoSpaceDN w:val="0"/>
        <w:adjustRightInd w:val="0"/>
        <w:spacing w:line="360" w:lineRule="auto"/>
        <w:jc w:val="left"/>
        <w:rPr>
          <w:rFonts w:eastAsiaTheme="minorEastAsia"/>
          <w:color w:val="000000" w:themeColor="text1"/>
          <w:kern w:val="0"/>
        </w:rPr>
      </w:pPr>
      <w:bookmarkStart w:id="0" w:name="_GoBack"/>
      <w:bookmarkEnd w:id="0"/>
    </w:p>
    <w:p w:rsidR="004061AC" w:rsidRPr="00514C11" w:rsidRDefault="004061AC" w:rsidP="00DB1533">
      <w:pPr>
        <w:autoSpaceDE w:val="0"/>
        <w:autoSpaceDN w:val="0"/>
        <w:adjustRightInd w:val="0"/>
        <w:spacing w:line="360" w:lineRule="auto"/>
        <w:jc w:val="left"/>
        <w:rPr>
          <w:rFonts w:eastAsiaTheme="minorEastAsia"/>
          <w:color w:val="000000" w:themeColor="text1"/>
          <w:kern w:val="0"/>
        </w:rPr>
      </w:pPr>
    </w:p>
    <w:p w:rsidR="004061AC" w:rsidRPr="00514C11" w:rsidRDefault="004061AC" w:rsidP="00DB1533">
      <w:pPr>
        <w:autoSpaceDE w:val="0"/>
        <w:autoSpaceDN w:val="0"/>
        <w:adjustRightInd w:val="0"/>
        <w:spacing w:line="360" w:lineRule="auto"/>
        <w:jc w:val="left"/>
        <w:rPr>
          <w:rFonts w:eastAsiaTheme="minorEastAsia"/>
          <w:color w:val="000000" w:themeColor="text1"/>
          <w:kern w:val="0"/>
        </w:rPr>
      </w:pPr>
    </w:p>
    <w:p w:rsidR="000C1E17" w:rsidRPr="00514C11" w:rsidRDefault="000C1E17" w:rsidP="00DB1533">
      <w:pPr>
        <w:autoSpaceDE w:val="0"/>
        <w:autoSpaceDN w:val="0"/>
        <w:adjustRightInd w:val="0"/>
        <w:spacing w:line="360" w:lineRule="auto"/>
        <w:jc w:val="left"/>
        <w:rPr>
          <w:rFonts w:eastAsiaTheme="minorEastAsia"/>
          <w:color w:val="000000" w:themeColor="text1"/>
          <w:kern w:val="0"/>
        </w:rPr>
      </w:pPr>
    </w:p>
    <w:p w:rsidR="000C1E17" w:rsidRPr="00514C11" w:rsidRDefault="000C1E17" w:rsidP="00DB1533">
      <w:pPr>
        <w:autoSpaceDE w:val="0"/>
        <w:autoSpaceDN w:val="0"/>
        <w:adjustRightInd w:val="0"/>
        <w:spacing w:line="360" w:lineRule="auto"/>
        <w:jc w:val="left"/>
        <w:rPr>
          <w:rFonts w:eastAsiaTheme="minorEastAsia"/>
          <w:color w:val="000000" w:themeColor="text1"/>
          <w:kern w:val="0"/>
        </w:rPr>
      </w:pPr>
    </w:p>
    <w:p w:rsidR="006D4252" w:rsidRPr="00F60DE5" w:rsidRDefault="006D4252" w:rsidP="00DB1533">
      <w:pPr>
        <w:spacing w:line="360" w:lineRule="auto"/>
        <w:jc w:val="center"/>
        <w:rPr>
          <w:b/>
          <w:bCs/>
          <w:color w:val="000000"/>
          <w:sz w:val="36"/>
          <w:szCs w:val="36"/>
        </w:rPr>
      </w:pPr>
      <w:bookmarkStart w:id="1" w:name="_Toc361324840"/>
      <w:r w:rsidRPr="00F60DE5">
        <w:rPr>
          <w:b/>
          <w:bCs/>
          <w:color w:val="000000"/>
          <w:sz w:val="36"/>
          <w:szCs w:val="36"/>
        </w:rPr>
        <w:t>交银施罗德安心收益债券型证券投资基金</w:t>
      </w:r>
      <w:bookmarkEnd w:id="1"/>
    </w:p>
    <w:p w:rsidR="006D4252" w:rsidRDefault="006D4252" w:rsidP="00DB1533">
      <w:pPr>
        <w:spacing w:line="360" w:lineRule="auto"/>
        <w:jc w:val="center"/>
        <w:rPr>
          <w:b/>
          <w:bCs/>
          <w:color w:val="000000"/>
          <w:sz w:val="36"/>
          <w:szCs w:val="36"/>
        </w:rPr>
      </w:pPr>
      <w:r w:rsidRPr="00F60DE5">
        <w:rPr>
          <w:b/>
          <w:bCs/>
          <w:color w:val="000000"/>
          <w:sz w:val="36"/>
          <w:szCs w:val="36"/>
        </w:rPr>
        <w:t>(</w:t>
      </w:r>
      <w:r w:rsidRPr="00F60DE5">
        <w:rPr>
          <w:b/>
          <w:bCs/>
          <w:color w:val="000000"/>
          <w:sz w:val="36"/>
          <w:szCs w:val="36"/>
        </w:rPr>
        <w:t>交银施罗德荣和保本混合型证券投资基金</w:t>
      </w:r>
      <w:r w:rsidRPr="00F60DE5">
        <w:rPr>
          <w:b/>
          <w:bCs/>
          <w:color w:val="000000"/>
          <w:sz w:val="36"/>
          <w:szCs w:val="36"/>
        </w:rPr>
        <w:t>)</w:t>
      </w:r>
    </w:p>
    <w:p w:rsidR="00630411" w:rsidRPr="00785FF8" w:rsidRDefault="00630411" w:rsidP="00DB1533">
      <w:pPr>
        <w:spacing w:line="360" w:lineRule="auto"/>
        <w:jc w:val="center"/>
        <w:rPr>
          <w:b/>
          <w:bCs/>
          <w:color w:val="000000"/>
          <w:sz w:val="32"/>
          <w:szCs w:val="32"/>
        </w:rPr>
      </w:pPr>
      <w:r w:rsidRPr="00785FF8">
        <w:rPr>
          <w:b/>
          <w:bCs/>
          <w:color w:val="000000"/>
          <w:sz w:val="32"/>
          <w:szCs w:val="32"/>
        </w:rPr>
        <w:t>2018</w:t>
      </w:r>
      <w:r w:rsidRPr="00785FF8">
        <w:rPr>
          <w:b/>
          <w:bCs/>
          <w:color w:val="000000"/>
          <w:sz w:val="32"/>
          <w:szCs w:val="32"/>
        </w:rPr>
        <w:t>年第</w:t>
      </w:r>
      <w:r w:rsidRPr="00785FF8">
        <w:rPr>
          <w:b/>
          <w:bCs/>
          <w:color w:val="000000"/>
          <w:sz w:val="32"/>
          <w:szCs w:val="32"/>
        </w:rPr>
        <w:t>2</w:t>
      </w:r>
      <w:r w:rsidRPr="00785FF8">
        <w:rPr>
          <w:b/>
          <w:bCs/>
          <w:color w:val="000000"/>
          <w:sz w:val="32"/>
          <w:szCs w:val="32"/>
        </w:rPr>
        <w:t>季度报告</w:t>
      </w:r>
    </w:p>
    <w:p w:rsidR="004061AC" w:rsidRPr="00785FF8" w:rsidRDefault="00655CD8" w:rsidP="00DB1533">
      <w:pPr>
        <w:spacing w:line="360" w:lineRule="auto"/>
        <w:jc w:val="center"/>
        <w:rPr>
          <w:b/>
          <w:color w:val="000000"/>
          <w:sz w:val="24"/>
          <w:szCs w:val="24"/>
        </w:rPr>
      </w:pPr>
      <w:r w:rsidRPr="00785FF8">
        <w:rPr>
          <w:b/>
          <w:color w:val="000000"/>
          <w:sz w:val="24"/>
          <w:szCs w:val="24"/>
        </w:rPr>
        <w:t>2018</w:t>
      </w:r>
      <w:r w:rsidRPr="00785FF8">
        <w:rPr>
          <w:b/>
          <w:color w:val="000000"/>
          <w:sz w:val="24"/>
          <w:szCs w:val="24"/>
        </w:rPr>
        <w:t>年</w:t>
      </w:r>
      <w:r w:rsidRPr="00785FF8">
        <w:rPr>
          <w:b/>
          <w:color w:val="000000"/>
          <w:sz w:val="24"/>
          <w:szCs w:val="24"/>
        </w:rPr>
        <w:t>6</w:t>
      </w:r>
      <w:r w:rsidRPr="00785FF8">
        <w:rPr>
          <w:b/>
          <w:color w:val="000000"/>
          <w:sz w:val="24"/>
          <w:szCs w:val="24"/>
        </w:rPr>
        <w:t>月</w:t>
      </w:r>
      <w:r w:rsidRPr="00785FF8">
        <w:rPr>
          <w:b/>
          <w:color w:val="000000"/>
          <w:sz w:val="24"/>
          <w:szCs w:val="24"/>
        </w:rPr>
        <w:t>30</w:t>
      </w:r>
      <w:r w:rsidRPr="00785FF8">
        <w:rPr>
          <w:b/>
          <w:color w:val="000000"/>
          <w:sz w:val="24"/>
          <w:szCs w:val="24"/>
        </w:rPr>
        <w:t>日</w:t>
      </w: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F60DE5" w:rsidRDefault="004061AC" w:rsidP="00DB1533">
      <w:pPr>
        <w:spacing w:line="360" w:lineRule="auto"/>
        <w:ind w:firstLineChars="900" w:firstLine="2160"/>
        <w:rPr>
          <w:color w:val="000000"/>
          <w:sz w:val="24"/>
          <w:szCs w:val="24"/>
        </w:rPr>
      </w:pPr>
      <w:r w:rsidRPr="00F60DE5">
        <w:rPr>
          <w:color w:val="000000"/>
          <w:sz w:val="24"/>
          <w:szCs w:val="24"/>
        </w:rPr>
        <w:t>基金管理人：交银施罗德基金管理有限公司</w:t>
      </w:r>
    </w:p>
    <w:p w:rsidR="004061AC" w:rsidRPr="00F60DE5" w:rsidRDefault="004061AC" w:rsidP="00DB1533">
      <w:pPr>
        <w:spacing w:line="360" w:lineRule="auto"/>
        <w:ind w:firstLineChars="900" w:firstLine="2160"/>
        <w:rPr>
          <w:color w:val="000000"/>
          <w:sz w:val="24"/>
          <w:szCs w:val="24"/>
        </w:rPr>
      </w:pPr>
      <w:r w:rsidRPr="00F60DE5">
        <w:rPr>
          <w:color w:val="000000"/>
          <w:sz w:val="24"/>
          <w:szCs w:val="24"/>
        </w:rPr>
        <w:t>基金托管人：中国民生银行股份有限公司</w:t>
      </w:r>
    </w:p>
    <w:p w:rsidR="004061AC" w:rsidRPr="00F60DE5" w:rsidRDefault="004061AC" w:rsidP="00DB1533">
      <w:pPr>
        <w:spacing w:line="360" w:lineRule="auto"/>
        <w:ind w:firstLineChars="900" w:firstLine="2160"/>
        <w:rPr>
          <w:color w:val="000000"/>
          <w:sz w:val="24"/>
          <w:szCs w:val="24"/>
        </w:rPr>
        <w:sectPr w:rsidR="004061AC" w:rsidRPr="00F60DE5" w:rsidSect="00304A12">
          <w:headerReference w:type="default" r:id="rId8"/>
          <w:footerReference w:type="default" r:id="rId9"/>
          <w:pgSz w:w="11926" w:h="15840"/>
          <w:pgMar w:top="1418" w:right="1418" w:bottom="851" w:left="1418" w:header="851" w:footer="992" w:gutter="0"/>
          <w:cols w:space="720"/>
          <w:noEndnote/>
        </w:sectPr>
      </w:pPr>
      <w:r w:rsidRPr="00F60DE5">
        <w:rPr>
          <w:color w:val="000000"/>
          <w:sz w:val="24"/>
          <w:szCs w:val="24"/>
        </w:rPr>
        <w:t>报告送出日期：</w:t>
      </w:r>
      <w:r w:rsidR="00F16E3F" w:rsidRPr="00F60DE5">
        <w:rPr>
          <w:color w:val="000000"/>
          <w:sz w:val="24"/>
          <w:szCs w:val="24"/>
        </w:rPr>
        <w:t>二〇一八年七月十八日</w:t>
      </w:r>
    </w:p>
    <w:p w:rsidR="004061AC" w:rsidRPr="00931C23" w:rsidRDefault="004061AC" w:rsidP="005452EC">
      <w:pPr>
        <w:pStyle w:val="1"/>
        <w:spacing w:beforeLines="50" w:before="156" w:afterLines="50" w:after="156" w:line="360" w:lineRule="auto"/>
        <w:jc w:val="center"/>
        <w:rPr>
          <w:color w:val="000000"/>
          <w:kern w:val="0"/>
          <w:sz w:val="21"/>
          <w:szCs w:val="21"/>
        </w:rPr>
      </w:pPr>
      <w:r w:rsidRPr="00514C11">
        <w:rPr>
          <w:color w:val="000000"/>
          <w:kern w:val="0"/>
          <w:sz w:val="21"/>
          <w:szCs w:val="21"/>
        </w:rPr>
        <w:lastRenderedPageBreak/>
        <w:t xml:space="preserve">§1  </w:t>
      </w:r>
      <w:r w:rsidRPr="00514C11">
        <w:rPr>
          <w:color w:val="000000"/>
          <w:kern w:val="0"/>
          <w:sz w:val="21"/>
          <w:szCs w:val="21"/>
        </w:rPr>
        <w:t>重要提示</w:t>
      </w:r>
    </w:p>
    <w:p w:rsidR="00077707" w:rsidRDefault="00852D50">
      <w:pPr>
        <w:spacing w:line="360" w:lineRule="auto"/>
        <w:ind w:firstLineChars="200" w:firstLine="420"/>
        <w:rPr>
          <w:color w:val="000000"/>
        </w:rPr>
      </w:pPr>
      <w:r>
        <w:rPr>
          <w:color w:val="000000"/>
        </w:rPr>
        <w:t>基金管理人的董事会及董事保证本报告所载资料不存在虚假记载、误导性陈述或重大遗漏，并对其内容的真实性、准确性和完整性承担个别及连带责任。</w:t>
      </w:r>
      <w:r>
        <w:rPr>
          <w:color w:val="000000"/>
        </w:rPr>
        <w:t xml:space="preserve"> </w:t>
      </w:r>
    </w:p>
    <w:p w:rsidR="00077707" w:rsidRDefault="00852D50">
      <w:pPr>
        <w:spacing w:line="360" w:lineRule="auto"/>
        <w:ind w:firstLineChars="200" w:firstLine="420"/>
        <w:rPr>
          <w:color w:val="000000"/>
        </w:rPr>
      </w:pPr>
      <w:r>
        <w:rPr>
          <w:color w:val="000000"/>
        </w:rPr>
        <w:t>基金托管人中国民生银行股份有限公司根据本基金合同规定，于</w:t>
      </w:r>
      <w:r>
        <w:rPr>
          <w:color w:val="000000"/>
        </w:rPr>
        <w:t>2018</w:t>
      </w:r>
      <w:r>
        <w:rPr>
          <w:color w:val="000000"/>
        </w:rPr>
        <w:t>年</w:t>
      </w:r>
      <w:r>
        <w:rPr>
          <w:color w:val="000000"/>
        </w:rPr>
        <w:t>7</w:t>
      </w:r>
      <w:r>
        <w:rPr>
          <w:color w:val="000000"/>
        </w:rPr>
        <w:t>月</w:t>
      </w:r>
      <w:r>
        <w:rPr>
          <w:color w:val="000000"/>
        </w:rPr>
        <w:t>17</w:t>
      </w:r>
      <w:r>
        <w:rPr>
          <w:color w:val="000000"/>
        </w:rPr>
        <w:t>日复核了本报告中的财务指标、净值表现和投资组合报告等内容，保证复核内容不存在虚假记载、误导性陈述或者重大遗漏。</w:t>
      </w:r>
      <w:r>
        <w:rPr>
          <w:color w:val="000000"/>
        </w:rPr>
        <w:t xml:space="preserve"> </w:t>
      </w:r>
    </w:p>
    <w:p w:rsidR="00077707" w:rsidRDefault="00852D50">
      <w:pPr>
        <w:spacing w:line="360" w:lineRule="auto"/>
        <w:ind w:firstLineChars="200" w:firstLine="420"/>
        <w:rPr>
          <w:color w:val="000000"/>
        </w:rPr>
      </w:pPr>
      <w:r>
        <w:rPr>
          <w:color w:val="000000"/>
        </w:rPr>
        <w:t>基金管理人承诺以诚实信用、勤勉尽责的原则管理和运用基金资产，但不保证基金一定盈利。</w:t>
      </w:r>
      <w:r>
        <w:rPr>
          <w:color w:val="000000"/>
        </w:rPr>
        <w:t xml:space="preserve"> </w:t>
      </w:r>
    </w:p>
    <w:p w:rsidR="00077707" w:rsidRDefault="00852D50">
      <w:pPr>
        <w:spacing w:line="360" w:lineRule="auto"/>
        <w:ind w:firstLineChars="200" w:firstLine="420"/>
        <w:rPr>
          <w:color w:val="000000"/>
        </w:rPr>
      </w:pPr>
      <w:r>
        <w:rPr>
          <w:color w:val="000000"/>
        </w:rPr>
        <w:t>基金的过往业绩并不代表其未来表现。投资有风险，投资者在作出投资决策前应仔细阅读本基金的招募说明书。</w:t>
      </w:r>
    </w:p>
    <w:p w:rsidR="00077707" w:rsidRDefault="00852D50">
      <w:pPr>
        <w:spacing w:line="360" w:lineRule="auto"/>
        <w:ind w:firstLineChars="200" w:firstLine="420"/>
        <w:rPr>
          <w:color w:val="000000"/>
        </w:rPr>
      </w:pPr>
      <w:r>
        <w:rPr>
          <w:color w:val="000000"/>
        </w:rPr>
        <w:t>交银施罗德荣和保本混合型证券投资基金保本周期期限三年，自交银施罗德荣和保本混合型证券投资基金基金合同生效日（即</w:t>
      </w:r>
      <w:r>
        <w:rPr>
          <w:color w:val="000000"/>
        </w:rPr>
        <w:t>2015</w:t>
      </w:r>
      <w:r>
        <w:rPr>
          <w:color w:val="000000"/>
        </w:rPr>
        <w:t>年</w:t>
      </w:r>
      <w:r>
        <w:rPr>
          <w:color w:val="000000"/>
        </w:rPr>
        <w:t>5</w:t>
      </w:r>
      <w:r>
        <w:rPr>
          <w:color w:val="000000"/>
        </w:rPr>
        <w:t>月</w:t>
      </w:r>
      <w:r>
        <w:rPr>
          <w:color w:val="000000"/>
        </w:rPr>
        <w:t>29</w:t>
      </w:r>
      <w:r>
        <w:rPr>
          <w:color w:val="000000"/>
        </w:rPr>
        <w:t>日）起至三个公历年后对应日止，如该对应日为非工作日，保本周期到期日顺延至下一个工作日，即本基金第一个保本周期于</w:t>
      </w:r>
      <w:r>
        <w:rPr>
          <w:color w:val="000000"/>
        </w:rPr>
        <w:t>2018</w:t>
      </w:r>
      <w:r>
        <w:rPr>
          <w:color w:val="000000"/>
        </w:rPr>
        <w:t>年</w:t>
      </w:r>
      <w:r>
        <w:rPr>
          <w:color w:val="000000"/>
        </w:rPr>
        <w:t>5</w:t>
      </w:r>
      <w:r>
        <w:rPr>
          <w:color w:val="000000"/>
        </w:rPr>
        <w:t>月</w:t>
      </w:r>
      <w:r>
        <w:rPr>
          <w:color w:val="000000"/>
        </w:rPr>
        <w:t>29</w:t>
      </w:r>
      <w:r>
        <w:rPr>
          <w:color w:val="000000"/>
        </w:rPr>
        <w:t>日到期。交银施罗德荣和保本混合型证券投资基金保本周期到期后，已按照《交银施罗德荣和保本混合型证券投资基金基金合同》的约定转型为非保本的混合型基金，即</w:t>
      </w:r>
      <w:r>
        <w:rPr>
          <w:color w:val="000000"/>
        </w:rPr>
        <w:t>“</w:t>
      </w:r>
      <w:r>
        <w:rPr>
          <w:color w:val="000000"/>
        </w:rPr>
        <w:t>交银施罗德安心收益债券型证券投资基金</w:t>
      </w:r>
      <w:r>
        <w:rPr>
          <w:color w:val="000000"/>
        </w:rPr>
        <w:t>”</w:t>
      </w:r>
      <w:r>
        <w:rPr>
          <w:color w:val="000000"/>
        </w:rPr>
        <w:t>。基金托管人及基金登记机构不变，基金代码亦保持不变为</w:t>
      </w:r>
      <w:r>
        <w:rPr>
          <w:color w:val="000000"/>
        </w:rPr>
        <w:t>“519753”</w:t>
      </w:r>
      <w:r>
        <w:rPr>
          <w:color w:val="000000"/>
        </w:rPr>
        <w:t>。</w:t>
      </w:r>
      <w:r>
        <w:rPr>
          <w:color w:val="000000"/>
        </w:rPr>
        <w:t xml:space="preserve"> </w:t>
      </w:r>
      <w:r>
        <w:rPr>
          <w:color w:val="000000"/>
        </w:rPr>
        <w:t>转型后基金的投资目标、投资范围、投资策略、投资比例、业绩比较基准、估值方法、申赎原则、收益分配及基金费率等按照《交银施罗德安心收益债券型证券投资基金基金合同》相关规定进行运作。前述修改变更事项已按照相关法律法规及基金合同的约定履行相关手续。</w:t>
      </w:r>
      <w:r>
        <w:rPr>
          <w:color w:val="000000"/>
        </w:rPr>
        <w:t xml:space="preserve">     </w:t>
      </w:r>
    </w:p>
    <w:p w:rsidR="00077707" w:rsidRDefault="00852D50">
      <w:pPr>
        <w:spacing w:line="360" w:lineRule="auto"/>
        <w:ind w:firstLineChars="200" w:firstLine="420"/>
        <w:rPr>
          <w:color w:val="000000"/>
        </w:rPr>
      </w:pPr>
      <w:r>
        <w:rPr>
          <w:color w:val="000000"/>
        </w:rPr>
        <w:t>本报告中财务资料未经审计。</w:t>
      </w:r>
    </w:p>
    <w:p w:rsidR="004061AC" w:rsidRPr="00514C11" w:rsidRDefault="004061AC" w:rsidP="00DB1533">
      <w:pPr>
        <w:spacing w:line="360" w:lineRule="auto"/>
        <w:ind w:firstLineChars="200" w:firstLine="420"/>
        <w:rPr>
          <w:color w:val="000000"/>
        </w:rPr>
      </w:pPr>
      <w:r w:rsidRPr="00514C11">
        <w:rPr>
          <w:color w:val="000000"/>
        </w:rPr>
        <w:t>本报告期自</w:t>
      </w:r>
      <w:r w:rsidRPr="00514C11">
        <w:rPr>
          <w:color w:val="000000"/>
        </w:rPr>
        <w:t>2018</w:t>
      </w:r>
      <w:r w:rsidRPr="00514C11">
        <w:rPr>
          <w:color w:val="000000"/>
        </w:rPr>
        <w:t>年</w:t>
      </w:r>
      <w:r w:rsidRPr="00514C11">
        <w:rPr>
          <w:color w:val="000000"/>
        </w:rPr>
        <w:t>4</w:t>
      </w:r>
      <w:r w:rsidRPr="00514C11">
        <w:rPr>
          <w:color w:val="000000"/>
        </w:rPr>
        <w:t>月</w:t>
      </w:r>
      <w:r w:rsidRPr="00514C11">
        <w:rPr>
          <w:color w:val="000000"/>
        </w:rPr>
        <w:t>1</w:t>
      </w:r>
      <w:r w:rsidRPr="00514C11">
        <w:rPr>
          <w:color w:val="000000"/>
        </w:rPr>
        <w:t>日起至</w:t>
      </w:r>
      <w:r w:rsidRPr="00514C11">
        <w:rPr>
          <w:color w:val="000000"/>
        </w:rPr>
        <w:t>6</w:t>
      </w:r>
      <w:r w:rsidRPr="00514C11">
        <w:rPr>
          <w:color w:val="000000"/>
        </w:rPr>
        <w:t>月</w:t>
      </w:r>
      <w:r w:rsidRPr="00514C11">
        <w:rPr>
          <w:color w:val="000000"/>
        </w:rPr>
        <w:t>30</w:t>
      </w:r>
      <w:r w:rsidRPr="00514C11">
        <w:rPr>
          <w:color w:val="000000"/>
        </w:rPr>
        <w:t>日止。其中，自</w:t>
      </w:r>
      <w:r w:rsidRPr="00514C11">
        <w:rPr>
          <w:color w:val="000000"/>
        </w:rPr>
        <w:t>2018</w:t>
      </w:r>
      <w:r w:rsidRPr="00514C11">
        <w:rPr>
          <w:color w:val="000000"/>
        </w:rPr>
        <w:t>年</w:t>
      </w:r>
      <w:r w:rsidRPr="00514C11">
        <w:rPr>
          <w:color w:val="000000"/>
        </w:rPr>
        <w:t>5</w:t>
      </w:r>
      <w:r w:rsidRPr="00514C11">
        <w:rPr>
          <w:color w:val="000000"/>
        </w:rPr>
        <w:t>月</w:t>
      </w:r>
      <w:r w:rsidRPr="00514C11">
        <w:rPr>
          <w:color w:val="000000"/>
        </w:rPr>
        <w:t>29</w:t>
      </w:r>
      <w:r w:rsidRPr="00514C11">
        <w:rPr>
          <w:color w:val="000000"/>
        </w:rPr>
        <w:t>日（含）起至</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1</w:t>
      </w:r>
      <w:r w:rsidRPr="00514C11">
        <w:rPr>
          <w:color w:val="000000"/>
        </w:rPr>
        <w:t>日（含）止为交银施罗德荣和保本混合型证券投资基金保本周期到期期间，并自</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2</w:t>
      </w:r>
      <w:r w:rsidRPr="00514C11">
        <w:rPr>
          <w:color w:val="000000"/>
        </w:rPr>
        <w:t>日起，交银施罗德荣和保本混合型证券投资基金正式转型为交银施罗德安心收益债券型证券投资基金。本报告按基金转型前后的两个报告期进行编制。其中，基金转型前的报告期间为</w:t>
      </w:r>
      <w:r w:rsidRPr="00514C11">
        <w:rPr>
          <w:color w:val="000000"/>
        </w:rPr>
        <w:t>2018</w:t>
      </w:r>
      <w:r w:rsidRPr="00514C11">
        <w:rPr>
          <w:color w:val="000000"/>
        </w:rPr>
        <w:t>年</w:t>
      </w:r>
      <w:r w:rsidRPr="00514C11">
        <w:rPr>
          <w:color w:val="000000"/>
        </w:rPr>
        <w:t>4</w:t>
      </w:r>
      <w:r w:rsidRPr="00514C11">
        <w:rPr>
          <w:color w:val="000000"/>
        </w:rPr>
        <w:t>月</w:t>
      </w:r>
      <w:r w:rsidRPr="00514C11">
        <w:rPr>
          <w:color w:val="000000"/>
        </w:rPr>
        <w:t>1</w:t>
      </w:r>
      <w:r w:rsidRPr="00514C11">
        <w:rPr>
          <w:color w:val="000000"/>
        </w:rPr>
        <w:t>日起至</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1</w:t>
      </w:r>
      <w:r w:rsidRPr="00514C11">
        <w:rPr>
          <w:color w:val="000000"/>
        </w:rPr>
        <w:t>日止，基金转型后的报告期为</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2</w:t>
      </w:r>
      <w:r w:rsidRPr="00514C11">
        <w:rPr>
          <w:color w:val="000000"/>
        </w:rPr>
        <w:t>日起至</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30</w:t>
      </w:r>
      <w:r w:rsidRPr="00514C11">
        <w:rPr>
          <w:color w:val="000000"/>
        </w:rPr>
        <w:t>日。</w:t>
      </w:r>
    </w:p>
    <w:p w:rsidR="004061AC" w:rsidRPr="00DE44C3" w:rsidRDefault="004061AC" w:rsidP="005452EC">
      <w:pPr>
        <w:pStyle w:val="1"/>
        <w:spacing w:beforeLines="50" w:before="156" w:afterLines="50" w:after="156" w:line="360" w:lineRule="auto"/>
        <w:jc w:val="center"/>
        <w:rPr>
          <w:color w:val="000000"/>
          <w:kern w:val="0"/>
          <w:sz w:val="21"/>
          <w:szCs w:val="21"/>
        </w:rPr>
      </w:pPr>
      <w:r w:rsidRPr="00514C11">
        <w:rPr>
          <w:color w:val="000000"/>
          <w:kern w:val="0"/>
          <w:sz w:val="21"/>
          <w:szCs w:val="21"/>
        </w:rPr>
        <w:lastRenderedPageBreak/>
        <w:t xml:space="preserve">§2  </w:t>
      </w:r>
      <w:r w:rsidRPr="00514C11">
        <w:rPr>
          <w:color w:val="000000"/>
          <w:kern w:val="0"/>
          <w:sz w:val="21"/>
          <w:szCs w:val="21"/>
        </w:rPr>
        <w:t>基金产品概况</w:t>
      </w:r>
    </w:p>
    <w:p w:rsidR="006D4252" w:rsidRPr="00514C11" w:rsidRDefault="006D4252" w:rsidP="00DB1533">
      <w:pPr>
        <w:pStyle w:val="a0"/>
        <w:spacing w:line="360" w:lineRule="auto"/>
        <w:ind w:firstLineChars="0" w:firstLine="0"/>
        <w:outlineLvl w:val="1"/>
        <w:rPr>
          <w:b/>
        </w:rPr>
      </w:pPr>
      <w:r w:rsidRPr="00514C11">
        <w:rPr>
          <w:b/>
        </w:rPr>
        <w:t xml:space="preserve">2.1 </w:t>
      </w:r>
      <w:r w:rsidRPr="00514C11">
        <w:rPr>
          <w:b/>
        </w:rPr>
        <w:t>交银施罗德安心收益债券型证券投资基金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基金简称</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交银安心收益债券</w:t>
            </w:r>
          </w:p>
        </w:tc>
      </w:tr>
      <w:tr w:rsidR="00ED461C" w:rsidRPr="00514C11" w:rsidTr="00503D89">
        <w:tc>
          <w:tcPr>
            <w:tcW w:w="2835" w:type="dxa"/>
            <w:tcBorders>
              <w:top w:val="single" w:sz="4" w:space="0" w:color="auto"/>
              <w:left w:val="single" w:sz="4" w:space="0" w:color="auto"/>
              <w:bottom w:val="single" w:sz="4" w:space="0" w:color="auto"/>
              <w:right w:val="single" w:sz="4" w:space="0" w:color="auto"/>
            </w:tcBorders>
            <w:vAlign w:val="center"/>
            <w:hideMark/>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519753</w:t>
            </w:r>
          </w:p>
        </w:tc>
      </w:tr>
      <w:tr w:rsidR="00ED461C" w:rsidRPr="00514C11" w:rsidTr="00503D89">
        <w:tc>
          <w:tcPr>
            <w:tcW w:w="2835" w:type="dxa"/>
            <w:tcBorders>
              <w:top w:val="single" w:sz="4" w:space="0" w:color="auto"/>
              <w:left w:val="single" w:sz="4" w:space="0" w:color="auto"/>
              <w:bottom w:val="single" w:sz="4" w:space="0" w:color="auto"/>
              <w:right w:val="single" w:sz="4" w:space="0" w:color="auto"/>
            </w:tcBorders>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519753</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基金运作方式</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契约型开放式</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基金合同生效日</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2018</w:t>
            </w:r>
            <w:r w:rsidRPr="00514C11">
              <w:rPr>
                <w:color w:val="000000"/>
                <w:kern w:val="0"/>
              </w:rPr>
              <w:t>年</w:t>
            </w:r>
            <w:r w:rsidRPr="00514C11">
              <w:rPr>
                <w:color w:val="000000"/>
                <w:kern w:val="0"/>
              </w:rPr>
              <w:t>6</w:t>
            </w:r>
            <w:r w:rsidRPr="00514C11">
              <w:rPr>
                <w:color w:val="000000"/>
                <w:kern w:val="0"/>
              </w:rPr>
              <w:t>月</w:t>
            </w:r>
            <w:r w:rsidRPr="00514C11">
              <w:rPr>
                <w:color w:val="000000"/>
                <w:kern w:val="0"/>
              </w:rPr>
              <w:t>2</w:t>
            </w:r>
            <w:r w:rsidRPr="00514C11">
              <w:rPr>
                <w:color w:val="000000"/>
                <w:kern w:val="0"/>
              </w:rPr>
              <w:t>日</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报告期末基金份额总额</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103,719,852.57</w:t>
            </w:r>
            <w:r w:rsidRPr="00514C11">
              <w:rPr>
                <w:color w:val="000000"/>
                <w:kern w:val="0"/>
              </w:rPr>
              <w:t>份</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投资目标</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在严格控制投资风险和保持资产流动性的基础上，力争实现基金资产的长期稳定增值。</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投资策略</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业绩比较基准</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中债综合全价指数</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风险收益特征</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本基金为债券型证券投资基金，其长期平均的预期收益和风险高于货币市场基金，低于混合型基金和股票型基金。</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基金管理人</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交银施罗德基金管理有限公司</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基金托管人</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中国民生银行股份有限公司</w:t>
            </w:r>
          </w:p>
        </w:tc>
      </w:tr>
    </w:tbl>
    <w:p w:rsidR="00077707" w:rsidRDefault="00852D50">
      <w:pPr>
        <w:autoSpaceDE w:val="0"/>
        <w:autoSpaceDN w:val="0"/>
        <w:adjustRightInd w:val="0"/>
        <w:spacing w:line="360" w:lineRule="auto"/>
        <w:jc w:val="left"/>
        <w:rPr>
          <w:rFonts w:eastAsiaTheme="minorEastAsia"/>
          <w:color w:val="000000" w:themeColor="text1"/>
        </w:rPr>
      </w:pPr>
      <w:r>
        <w:rPr>
          <w:color w:val="000000"/>
          <w:kern w:val="0"/>
        </w:rPr>
        <w:t>注：</w:t>
      </w:r>
      <w:r>
        <w:rPr>
          <w:color w:val="000000"/>
          <w:kern w:val="0"/>
        </w:rPr>
        <w:t>1</w:t>
      </w:r>
      <w:r>
        <w:rPr>
          <w:color w:val="000000"/>
          <w:kern w:val="0"/>
        </w:rPr>
        <w:t>、上表中</w:t>
      </w:r>
      <w:r>
        <w:rPr>
          <w:color w:val="000000"/>
          <w:kern w:val="0"/>
        </w:rPr>
        <w:t>“</w:t>
      </w:r>
      <w:r>
        <w:rPr>
          <w:color w:val="000000"/>
          <w:kern w:val="0"/>
        </w:rPr>
        <w:t>报告期末</w:t>
      </w:r>
      <w:r>
        <w:rPr>
          <w:color w:val="000000"/>
          <w:kern w:val="0"/>
        </w:rPr>
        <w:t>”</w:t>
      </w:r>
      <w:r>
        <w:rPr>
          <w:color w:val="000000"/>
          <w:kern w:val="0"/>
        </w:rPr>
        <w:t>指</w:t>
      </w:r>
      <w:r>
        <w:rPr>
          <w:color w:val="000000"/>
          <w:kern w:val="0"/>
        </w:rPr>
        <w:t>2018</w:t>
      </w:r>
      <w:r>
        <w:rPr>
          <w:color w:val="000000"/>
          <w:kern w:val="0"/>
        </w:rPr>
        <w:t>年</w:t>
      </w:r>
      <w:r>
        <w:rPr>
          <w:color w:val="000000"/>
          <w:kern w:val="0"/>
        </w:rPr>
        <w:t>6</w:t>
      </w:r>
      <w:r>
        <w:rPr>
          <w:color w:val="000000"/>
          <w:kern w:val="0"/>
        </w:rPr>
        <w:t>月</w:t>
      </w:r>
      <w:r>
        <w:rPr>
          <w:color w:val="000000"/>
          <w:kern w:val="0"/>
        </w:rPr>
        <w:t>30</w:t>
      </w:r>
      <w:r>
        <w:rPr>
          <w:color w:val="000000"/>
          <w:kern w:val="0"/>
        </w:rPr>
        <w:t>日。</w:t>
      </w:r>
    </w:p>
    <w:p w:rsidR="00500059" w:rsidRDefault="00ED461C" w:rsidP="00DB1533">
      <w:pPr>
        <w:autoSpaceDE w:val="0"/>
        <w:autoSpaceDN w:val="0"/>
        <w:adjustRightInd w:val="0"/>
        <w:spacing w:line="360" w:lineRule="auto"/>
        <w:jc w:val="left"/>
        <w:rPr>
          <w:color w:val="000000"/>
          <w:kern w:val="0"/>
        </w:rPr>
      </w:pPr>
      <w:r w:rsidRPr="00514C11">
        <w:rPr>
          <w:color w:val="000000"/>
          <w:kern w:val="0"/>
        </w:rPr>
        <w:lastRenderedPageBreak/>
        <w:t>2</w:t>
      </w:r>
      <w:r w:rsidRPr="00514C11">
        <w:rPr>
          <w:color w:val="000000"/>
          <w:kern w:val="0"/>
        </w:rPr>
        <w:t>、本基金于</w:t>
      </w:r>
      <w:r w:rsidRPr="00514C11">
        <w:rPr>
          <w:color w:val="000000"/>
          <w:kern w:val="0"/>
        </w:rPr>
        <w:t>2018</w:t>
      </w:r>
      <w:r w:rsidRPr="00514C11">
        <w:rPr>
          <w:color w:val="000000"/>
          <w:kern w:val="0"/>
        </w:rPr>
        <w:t>年</w:t>
      </w:r>
      <w:r w:rsidRPr="00514C11">
        <w:rPr>
          <w:color w:val="000000"/>
          <w:kern w:val="0"/>
        </w:rPr>
        <w:t>6</w:t>
      </w:r>
      <w:r w:rsidRPr="00514C11">
        <w:rPr>
          <w:color w:val="000000"/>
          <w:kern w:val="0"/>
        </w:rPr>
        <w:t>月</w:t>
      </w:r>
      <w:r w:rsidRPr="00514C11">
        <w:rPr>
          <w:color w:val="000000"/>
          <w:kern w:val="0"/>
        </w:rPr>
        <w:t>2</w:t>
      </w:r>
      <w:r w:rsidRPr="00514C11">
        <w:rPr>
          <w:color w:val="000000"/>
          <w:kern w:val="0"/>
        </w:rPr>
        <w:t>日由交银施罗德荣和保本混合型证券投资基金转型为交银施罗德安心收益债券型证券投资基金，新基金合同及托管协议即日起生效。</w:t>
      </w:r>
    </w:p>
    <w:p w:rsidR="00A37898" w:rsidRPr="00A37898" w:rsidRDefault="00A37898" w:rsidP="00DB1533">
      <w:pPr>
        <w:autoSpaceDE w:val="0"/>
        <w:autoSpaceDN w:val="0"/>
        <w:adjustRightInd w:val="0"/>
        <w:spacing w:line="360" w:lineRule="auto"/>
        <w:jc w:val="left"/>
        <w:rPr>
          <w:rFonts w:eastAsiaTheme="minorEastAsia"/>
          <w:color w:val="000000" w:themeColor="text1"/>
        </w:rPr>
      </w:pPr>
    </w:p>
    <w:p w:rsidR="00500059" w:rsidRPr="00514C11" w:rsidRDefault="00500059" w:rsidP="00DB1533">
      <w:pPr>
        <w:pStyle w:val="a0"/>
        <w:spacing w:line="360" w:lineRule="auto"/>
        <w:ind w:firstLineChars="0" w:firstLine="0"/>
        <w:outlineLvl w:val="1"/>
        <w:rPr>
          <w:b/>
        </w:rPr>
      </w:pPr>
      <w:r w:rsidRPr="00514C11">
        <w:rPr>
          <w:b/>
        </w:rPr>
        <w:t xml:space="preserve">2.2 </w:t>
      </w:r>
      <w:r w:rsidRPr="00514C11">
        <w:rPr>
          <w:b/>
          <w:color w:val="000000"/>
          <w:kern w:val="0"/>
        </w:rPr>
        <w:t>交银施罗德荣和保本混合型证券投资基金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基金简称</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交银荣和保本混合</w:t>
            </w:r>
          </w:p>
        </w:tc>
      </w:tr>
      <w:tr w:rsidR="00500059" w:rsidRPr="00514C11" w:rsidTr="00496743">
        <w:tc>
          <w:tcPr>
            <w:tcW w:w="2835" w:type="dxa"/>
            <w:tcBorders>
              <w:top w:val="single" w:sz="4" w:space="0" w:color="auto"/>
              <w:left w:val="single" w:sz="4" w:space="0" w:color="auto"/>
              <w:bottom w:val="single" w:sz="4" w:space="0" w:color="auto"/>
              <w:right w:val="single" w:sz="4" w:space="0" w:color="auto"/>
            </w:tcBorders>
            <w:vAlign w:val="center"/>
            <w:hideMark/>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519753</w:t>
            </w:r>
          </w:p>
        </w:tc>
      </w:tr>
      <w:tr w:rsidR="00500059" w:rsidRPr="00514C11" w:rsidTr="00496743">
        <w:tc>
          <w:tcPr>
            <w:tcW w:w="2835" w:type="dxa"/>
            <w:tcBorders>
              <w:top w:val="single" w:sz="4" w:space="0" w:color="auto"/>
              <w:left w:val="single" w:sz="4" w:space="0" w:color="auto"/>
              <w:bottom w:val="single" w:sz="4" w:space="0" w:color="auto"/>
              <w:right w:val="single" w:sz="4" w:space="0" w:color="auto"/>
            </w:tcBorders>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519753</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基金运作方式</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契约型开放式</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基金合同生效日</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2015</w:t>
            </w:r>
            <w:r w:rsidRPr="00514C11">
              <w:rPr>
                <w:color w:val="000000"/>
                <w:kern w:val="0"/>
              </w:rPr>
              <w:t>年</w:t>
            </w:r>
            <w:r w:rsidRPr="00514C11">
              <w:rPr>
                <w:color w:val="000000"/>
                <w:kern w:val="0"/>
              </w:rPr>
              <w:t>5</w:t>
            </w:r>
            <w:r w:rsidRPr="00514C11">
              <w:rPr>
                <w:color w:val="000000"/>
                <w:kern w:val="0"/>
              </w:rPr>
              <w:t>月</w:t>
            </w:r>
            <w:r w:rsidRPr="00514C11">
              <w:rPr>
                <w:color w:val="000000"/>
                <w:kern w:val="0"/>
              </w:rPr>
              <w:t>29</w:t>
            </w:r>
            <w:r w:rsidRPr="00514C11">
              <w:rPr>
                <w:color w:val="000000"/>
                <w:kern w:val="0"/>
              </w:rPr>
              <w:t>日</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报告期末基金份额总额</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189,784,733.61</w:t>
            </w:r>
            <w:r w:rsidRPr="00514C11">
              <w:rPr>
                <w:color w:val="000000"/>
                <w:kern w:val="0"/>
              </w:rPr>
              <w:t>份</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投资目标</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本基金在追求保本周期到期时本金安全的基础上，通过运用投资组合保险技术，力争实现组合资产的稳定增值。</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投资策略</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本基金运用恒定比例组合保险（</w:t>
            </w:r>
            <w:r w:rsidRPr="00514C11">
              <w:rPr>
                <w:color w:val="000000"/>
                <w:kern w:val="0"/>
              </w:rPr>
              <w:t>CPPI</w:t>
            </w:r>
            <w:r w:rsidRPr="00514C11">
              <w:rPr>
                <w:color w:val="000000"/>
                <w:kern w:val="0"/>
              </w:rPr>
              <w:t>，</w:t>
            </w:r>
            <w:r w:rsidRPr="00514C11">
              <w:rPr>
                <w:color w:val="000000"/>
                <w:kern w:val="0"/>
              </w:rPr>
              <w:t>Constant Proportion Portfolio Insurance</w:t>
            </w:r>
            <w:r w:rsidRPr="00514C11">
              <w:rPr>
                <w:color w:val="000000"/>
                <w:kern w:val="0"/>
              </w:rPr>
              <w:t>）原理，动态调整稳健资产与风险资产在基金组合中的投资比例，以确保本基金在保本周期到期时的本金安全，并实现基金资产在保本基础上的保值增值目的。</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业绩比较基准</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三年期银行定期存款税后收益率</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风险收益特征</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本基金是一只保本混合型基金，在证券投资基金中属于低风险品种。</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基金管理人</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交银施罗德基金管理有限公司</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基金托管人</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中国民生银行股份有限公司</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基金保证人</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中国投融资担保股份有限公司</w:t>
            </w:r>
          </w:p>
        </w:tc>
      </w:tr>
    </w:tbl>
    <w:p w:rsidR="00500059" w:rsidRPr="00514C11" w:rsidRDefault="00500059" w:rsidP="00DB1533">
      <w:pPr>
        <w:autoSpaceDE w:val="0"/>
        <w:autoSpaceDN w:val="0"/>
        <w:adjustRightInd w:val="0"/>
        <w:spacing w:line="360" w:lineRule="auto"/>
        <w:jc w:val="left"/>
        <w:rPr>
          <w:color w:val="000000"/>
          <w:kern w:val="0"/>
        </w:rPr>
      </w:pPr>
      <w:r w:rsidRPr="00514C11">
        <w:rPr>
          <w:color w:val="000000"/>
          <w:kern w:val="0"/>
        </w:rPr>
        <w:t>注：上表中</w:t>
      </w:r>
      <w:r w:rsidRPr="00514C11">
        <w:rPr>
          <w:color w:val="000000"/>
          <w:kern w:val="0"/>
        </w:rPr>
        <w:t>“</w:t>
      </w:r>
      <w:r w:rsidRPr="00514C11">
        <w:rPr>
          <w:color w:val="000000"/>
          <w:kern w:val="0"/>
        </w:rPr>
        <w:t>报告期末</w:t>
      </w:r>
      <w:r w:rsidRPr="00514C11">
        <w:rPr>
          <w:color w:val="000000"/>
          <w:kern w:val="0"/>
        </w:rPr>
        <w:t>”</w:t>
      </w:r>
      <w:r w:rsidRPr="00514C11">
        <w:rPr>
          <w:color w:val="000000"/>
          <w:kern w:val="0"/>
        </w:rPr>
        <w:t>指</w:t>
      </w:r>
      <w:r w:rsidRPr="00514C11">
        <w:rPr>
          <w:color w:val="000000"/>
          <w:kern w:val="0"/>
        </w:rPr>
        <w:t>2018</w:t>
      </w:r>
      <w:r w:rsidRPr="00514C11">
        <w:rPr>
          <w:color w:val="000000"/>
          <w:kern w:val="0"/>
        </w:rPr>
        <w:t>年</w:t>
      </w:r>
      <w:r w:rsidRPr="00514C11">
        <w:rPr>
          <w:color w:val="000000"/>
          <w:kern w:val="0"/>
        </w:rPr>
        <w:t>6</w:t>
      </w:r>
      <w:r w:rsidRPr="00514C11">
        <w:rPr>
          <w:color w:val="000000"/>
          <w:kern w:val="0"/>
        </w:rPr>
        <w:t>月</w:t>
      </w:r>
      <w:r w:rsidRPr="00514C11">
        <w:rPr>
          <w:color w:val="000000"/>
          <w:kern w:val="0"/>
        </w:rPr>
        <w:t>1</w:t>
      </w:r>
      <w:r w:rsidRPr="00514C11">
        <w:rPr>
          <w:color w:val="000000"/>
          <w:kern w:val="0"/>
        </w:rPr>
        <w:t>日。</w:t>
      </w:r>
    </w:p>
    <w:p w:rsidR="004061AC" w:rsidRPr="00DE44C3" w:rsidRDefault="004061AC" w:rsidP="005452EC">
      <w:pPr>
        <w:pStyle w:val="1"/>
        <w:spacing w:beforeLines="50" w:before="156" w:afterLines="50" w:after="156" w:line="360" w:lineRule="auto"/>
        <w:jc w:val="center"/>
        <w:rPr>
          <w:color w:val="000000"/>
          <w:kern w:val="0"/>
          <w:sz w:val="21"/>
          <w:szCs w:val="21"/>
        </w:rPr>
      </w:pPr>
      <w:r w:rsidRPr="00514C11">
        <w:rPr>
          <w:color w:val="000000"/>
          <w:kern w:val="0"/>
          <w:sz w:val="21"/>
          <w:szCs w:val="21"/>
        </w:rPr>
        <w:t xml:space="preserve">§3  </w:t>
      </w:r>
      <w:r w:rsidRPr="00514C11">
        <w:rPr>
          <w:color w:val="000000"/>
          <w:kern w:val="0"/>
          <w:sz w:val="21"/>
          <w:szCs w:val="21"/>
        </w:rPr>
        <w:t>主要财务指标和基金净值表现</w:t>
      </w:r>
    </w:p>
    <w:p w:rsidR="004061AC" w:rsidRPr="00514C11" w:rsidRDefault="004061AC" w:rsidP="00DB1533">
      <w:pPr>
        <w:pStyle w:val="2"/>
        <w:spacing w:before="0" w:after="0"/>
        <w:rPr>
          <w:rFonts w:ascii="Times New Roman" w:hAnsi="Times New Roman" w:cs="Times New Roman"/>
          <w:b w:val="0"/>
          <w:color w:val="000000"/>
          <w:kern w:val="0"/>
          <w:sz w:val="21"/>
          <w:szCs w:val="21"/>
        </w:rPr>
      </w:pPr>
      <w:r w:rsidRPr="00514C11">
        <w:rPr>
          <w:rFonts w:ascii="Times New Roman" w:hAnsi="Times New Roman" w:cs="Times New Roman"/>
          <w:color w:val="000000"/>
          <w:kern w:val="0"/>
          <w:sz w:val="21"/>
          <w:szCs w:val="21"/>
        </w:rPr>
        <w:t xml:space="preserve">3.1 </w:t>
      </w:r>
      <w:r w:rsidRPr="00514C11">
        <w:rPr>
          <w:rFonts w:ascii="Times New Roman" w:hAnsi="Times New Roman" w:cs="Times New Roman"/>
          <w:color w:val="000000"/>
          <w:kern w:val="0"/>
          <w:sz w:val="21"/>
          <w:szCs w:val="21"/>
        </w:rPr>
        <w:t>主要财务指标</w:t>
      </w:r>
    </w:p>
    <w:p w:rsidR="004061AC" w:rsidRPr="00514C11" w:rsidRDefault="004061AC" w:rsidP="00DB1533">
      <w:pPr>
        <w:autoSpaceDE w:val="0"/>
        <w:autoSpaceDN w:val="0"/>
        <w:adjustRightInd w:val="0"/>
        <w:spacing w:before="29" w:line="360" w:lineRule="auto"/>
        <w:ind w:left="15"/>
        <w:jc w:val="right"/>
        <w:rPr>
          <w:rFonts w:eastAsiaTheme="minorEastAsia"/>
          <w:color w:val="000000" w:themeColor="text1"/>
          <w:kern w:val="0"/>
        </w:rPr>
      </w:pPr>
      <w:r w:rsidRPr="00514C11">
        <w:rPr>
          <w:rFonts w:eastAsiaTheme="minorEastAsia"/>
          <w:color w:val="000000" w:themeColor="text1"/>
          <w:kern w:val="0"/>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220C32" w:rsidRPr="00514C11" w:rsidTr="00412748">
        <w:trPr>
          <w:jc w:val="center"/>
        </w:trPr>
        <w:tc>
          <w:tcPr>
            <w:tcW w:w="3402" w:type="dxa"/>
            <w:vAlign w:val="center"/>
          </w:tcPr>
          <w:p w:rsidR="00C21520" w:rsidRPr="00514C11" w:rsidRDefault="00C21520" w:rsidP="00DB1533">
            <w:pPr>
              <w:autoSpaceDE w:val="0"/>
              <w:autoSpaceDN w:val="0"/>
              <w:adjustRightInd w:val="0"/>
              <w:spacing w:line="360" w:lineRule="auto"/>
              <w:jc w:val="center"/>
              <w:rPr>
                <w:color w:val="000000"/>
                <w:kern w:val="0"/>
              </w:rPr>
            </w:pPr>
            <w:r w:rsidRPr="00514C11">
              <w:rPr>
                <w:color w:val="000000"/>
                <w:kern w:val="0"/>
              </w:rPr>
              <w:t>主要财务指标</w:t>
            </w:r>
          </w:p>
        </w:tc>
        <w:tc>
          <w:tcPr>
            <w:tcW w:w="2552" w:type="dxa"/>
            <w:vAlign w:val="center"/>
          </w:tcPr>
          <w:p w:rsidR="009C60F7" w:rsidRPr="00514C11" w:rsidRDefault="009C60F7" w:rsidP="00DB1533">
            <w:pPr>
              <w:autoSpaceDE w:val="0"/>
              <w:autoSpaceDN w:val="0"/>
              <w:adjustRightInd w:val="0"/>
              <w:spacing w:line="360" w:lineRule="auto"/>
              <w:jc w:val="center"/>
              <w:rPr>
                <w:color w:val="000000"/>
                <w:kern w:val="0"/>
              </w:rPr>
            </w:pPr>
            <w:r w:rsidRPr="00514C11">
              <w:rPr>
                <w:color w:val="000000"/>
                <w:kern w:val="0"/>
              </w:rPr>
              <w:t>报告期</w:t>
            </w:r>
          </w:p>
          <w:p w:rsidR="00C21520" w:rsidRPr="00514C11" w:rsidRDefault="009C60F7" w:rsidP="00DB1533">
            <w:pPr>
              <w:autoSpaceDE w:val="0"/>
              <w:autoSpaceDN w:val="0"/>
              <w:adjustRightInd w:val="0"/>
              <w:spacing w:line="360" w:lineRule="auto"/>
              <w:jc w:val="center"/>
              <w:rPr>
                <w:color w:val="000000"/>
                <w:kern w:val="0"/>
              </w:rPr>
            </w:pPr>
            <w:r w:rsidRPr="00514C11">
              <w:rPr>
                <w:color w:val="000000"/>
                <w:kern w:val="0"/>
              </w:rPr>
              <w:t>(</w:t>
            </w:r>
            <w:r w:rsidR="00752F3B" w:rsidRPr="00514C11">
              <w:rPr>
                <w:color w:val="000000"/>
                <w:kern w:val="0"/>
              </w:rPr>
              <w:t>2018</w:t>
            </w:r>
            <w:r w:rsidR="00752F3B" w:rsidRPr="00514C11">
              <w:rPr>
                <w:color w:val="000000"/>
                <w:kern w:val="0"/>
              </w:rPr>
              <w:t>年</w:t>
            </w:r>
            <w:r w:rsidR="00752F3B" w:rsidRPr="00514C11">
              <w:rPr>
                <w:color w:val="000000"/>
                <w:kern w:val="0"/>
              </w:rPr>
              <w:t>6</w:t>
            </w:r>
            <w:r w:rsidR="00752F3B" w:rsidRPr="00514C11">
              <w:rPr>
                <w:color w:val="000000"/>
                <w:kern w:val="0"/>
              </w:rPr>
              <w:t>月</w:t>
            </w:r>
            <w:r w:rsidR="00752F3B" w:rsidRPr="00514C11">
              <w:rPr>
                <w:color w:val="000000"/>
                <w:kern w:val="0"/>
              </w:rPr>
              <w:t>2</w:t>
            </w:r>
            <w:r w:rsidR="00752F3B" w:rsidRPr="00514C11">
              <w:rPr>
                <w:color w:val="000000"/>
                <w:kern w:val="0"/>
              </w:rPr>
              <w:t>日</w:t>
            </w:r>
            <w:r w:rsidR="00752F3B" w:rsidRPr="00514C11">
              <w:rPr>
                <w:color w:val="000000"/>
                <w:kern w:val="0"/>
              </w:rPr>
              <w:t>-2018</w:t>
            </w:r>
            <w:r w:rsidR="00752F3B" w:rsidRPr="00514C11">
              <w:rPr>
                <w:color w:val="000000"/>
                <w:kern w:val="0"/>
              </w:rPr>
              <w:t>年</w:t>
            </w:r>
            <w:r w:rsidR="00752F3B" w:rsidRPr="00514C11">
              <w:rPr>
                <w:color w:val="000000"/>
                <w:kern w:val="0"/>
              </w:rPr>
              <w:t>6</w:t>
            </w:r>
            <w:r w:rsidR="00752F3B" w:rsidRPr="00514C11">
              <w:rPr>
                <w:color w:val="000000"/>
                <w:kern w:val="0"/>
              </w:rPr>
              <w:t>月</w:t>
            </w:r>
            <w:r w:rsidR="00752F3B" w:rsidRPr="00514C11">
              <w:rPr>
                <w:color w:val="000000"/>
                <w:kern w:val="0"/>
              </w:rPr>
              <w:t>30</w:t>
            </w:r>
            <w:r w:rsidR="00752F3B" w:rsidRPr="00514C11">
              <w:rPr>
                <w:color w:val="000000"/>
                <w:kern w:val="0"/>
              </w:rPr>
              <w:t>日</w:t>
            </w:r>
            <w:r w:rsidRPr="00514C11">
              <w:rPr>
                <w:color w:val="000000"/>
                <w:kern w:val="0"/>
              </w:rPr>
              <w:t>)</w:t>
            </w:r>
          </w:p>
        </w:tc>
        <w:tc>
          <w:tcPr>
            <w:tcW w:w="2410" w:type="dxa"/>
            <w:vAlign w:val="center"/>
          </w:tcPr>
          <w:p w:rsidR="00752F3B" w:rsidRPr="00514C11" w:rsidRDefault="00752F3B" w:rsidP="00DB1533">
            <w:pPr>
              <w:autoSpaceDE w:val="0"/>
              <w:autoSpaceDN w:val="0"/>
              <w:adjustRightInd w:val="0"/>
              <w:spacing w:line="360" w:lineRule="auto"/>
              <w:jc w:val="center"/>
              <w:rPr>
                <w:color w:val="000000"/>
                <w:kern w:val="0"/>
              </w:rPr>
            </w:pPr>
            <w:r w:rsidRPr="00514C11">
              <w:rPr>
                <w:color w:val="000000"/>
                <w:kern w:val="0"/>
              </w:rPr>
              <w:t>报告期</w:t>
            </w:r>
          </w:p>
          <w:p w:rsidR="00C21520" w:rsidRPr="00514C11" w:rsidRDefault="00752F3B" w:rsidP="00DB1533">
            <w:pPr>
              <w:autoSpaceDE w:val="0"/>
              <w:autoSpaceDN w:val="0"/>
              <w:adjustRightInd w:val="0"/>
              <w:spacing w:line="360" w:lineRule="auto"/>
              <w:jc w:val="center"/>
              <w:rPr>
                <w:color w:val="000000"/>
                <w:kern w:val="0"/>
              </w:rPr>
            </w:pPr>
            <w:r w:rsidRPr="00514C11">
              <w:rPr>
                <w:color w:val="000000"/>
                <w:kern w:val="0"/>
              </w:rPr>
              <w:t>(2018</w:t>
            </w:r>
            <w:r w:rsidRPr="00514C11">
              <w:rPr>
                <w:color w:val="000000"/>
                <w:kern w:val="0"/>
              </w:rPr>
              <w:t>年</w:t>
            </w:r>
            <w:r w:rsidRPr="00514C11">
              <w:rPr>
                <w:color w:val="000000"/>
                <w:kern w:val="0"/>
              </w:rPr>
              <w:t>4</w:t>
            </w:r>
            <w:r w:rsidRPr="00514C11">
              <w:rPr>
                <w:color w:val="000000"/>
                <w:kern w:val="0"/>
              </w:rPr>
              <w:t>月</w:t>
            </w:r>
            <w:r w:rsidRPr="00514C11">
              <w:rPr>
                <w:color w:val="000000"/>
                <w:kern w:val="0"/>
              </w:rPr>
              <w:t>1</w:t>
            </w:r>
            <w:r w:rsidRPr="00514C11">
              <w:rPr>
                <w:color w:val="000000"/>
                <w:kern w:val="0"/>
              </w:rPr>
              <w:t>日</w:t>
            </w:r>
            <w:r w:rsidRPr="00514C11">
              <w:rPr>
                <w:color w:val="000000"/>
                <w:kern w:val="0"/>
              </w:rPr>
              <w:t>-2018</w:t>
            </w:r>
            <w:r w:rsidRPr="00514C11">
              <w:rPr>
                <w:color w:val="000000"/>
                <w:kern w:val="0"/>
              </w:rPr>
              <w:t>年</w:t>
            </w:r>
            <w:r w:rsidRPr="00514C11">
              <w:rPr>
                <w:color w:val="000000"/>
                <w:kern w:val="0"/>
              </w:rPr>
              <w:t>6</w:t>
            </w:r>
            <w:r w:rsidRPr="00514C11">
              <w:rPr>
                <w:color w:val="000000"/>
                <w:kern w:val="0"/>
              </w:rPr>
              <w:t>月</w:t>
            </w:r>
            <w:r w:rsidRPr="00514C11">
              <w:rPr>
                <w:color w:val="000000"/>
                <w:kern w:val="0"/>
              </w:rPr>
              <w:t>1</w:t>
            </w:r>
            <w:r w:rsidRPr="00514C11">
              <w:rPr>
                <w:color w:val="000000"/>
                <w:kern w:val="0"/>
              </w:rPr>
              <w:t>日</w:t>
            </w:r>
            <w:r w:rsidRPr="00514C11">
              <w:rPr>
                <w:color w:val="000000"/>
                <w:kern w:val="0"/>
              </w:rPr>
              <w:t>)</w:t>
            </w:r>
          </w:p>
        </w:tc>
      </w:tr>
      <w:tr w:rsidR="00752F3B" w:rsidRPr="00514C11" w:rsidTr="00412748">
        <w:trPr>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1.</w:t>
            </w:r>
            <w:r w:rsidRPr="00514C11">
              <w:rPr>
                <w:color w:val="000000"/>
                <w:kern w:val="0"/>
              </w:rPr>
              <w:t>本期已实现收益</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110,154.77</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-3,272,063.34</w:t>
            </w:r>
          </w:p>
        </w:tc>
      </w:tr>
      <w:tr w:rsidR="00752F3B" w:rsidRPr="00514C11" w:rsidTr="00412748">
        <w:trPr>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2.</w:t>
            </w:r>
            <w:r w:rsidRPr="00514C11">
              <w:rPr>
                <w:color w:val="000000"/>
                <w:kern w:val="0"/>
              </w:rPr>
              <w:t>本期利润</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109,995.25</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4,489,802.89</w:t>
            </w:r>
          </w:p>
        </w:tc>
      </w:tr>
      <w:tr w:rsidR="00752F3B" w:rsidRPr="00514C11" w:rsidTr="00412748">
        <w:trPr>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3.</w:t>
            </w:r>
            <w:r w:rsidRPr="00514C11">
              <w:rPr>
                <w:color w:val="000000"/>
                <w:kern w:val="0"/>
              </w:rPr>
              <w:t>加权平均基金份额本期利润</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0.0009</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0.0056</w:t>
            </w:r>
          </w:p>
        </w:tc>
      </w:tr>
      <w:tr w:rsidR="00752F3B" w:rsidRPr="00514C11" w:rsidTr="00412748">
        <w:trPr>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4.</w:t>
            </w:r>
            <w:r w:rsidRPr="00514C11">
              <w:rPr>
                <w:color w:val="000000"/>
                <w:kern w:val="0"/>
              </w:rPr>
              <w:t>期末基金资产净值</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105,552,588.47</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192,954,419.53</w:t>
            </w:r>
          </w:p>
        </w:tc>
      </w:tr>
      <w:tr w:rsidR="00752F3B" w:rsidRPr="00514C11" w:rsidTr="00412748">
        <w:trPr>
          <w:trHeight w:val="158"/>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5.</w:t>
            </w:r>
            <w:r w:rsidRPr="00514C11">
              <w:rPr>
                <w:color w:val="000000"/>
                <w:kern w:val="0"/>
              </w:rPr>
              <w:t>期末基金份额净值</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1.018</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1.017</w:t>
            </w:r>
          </w:p>
        </w:tc>
      </w:tr>
    </w:tbl>
    <w:p w:rsidR="00077707" w:rsidRDefault="00852D50">
      <w:pPr>
        <w:adjustRightInd w:val="0"/>
        <w:spacing w:before="29" w:line="360" w:lineRule="auto"/>
        <w:rPr>
          <w:color w:val="000000"/>
        </w:rPr>
      </w:pPr>
      <w:r>
        <w:rPr>
          <w:color w:val="000000"/>
        </w:rPr>
        <w:t>注：</w:t>
      </w:r>
      <w:r>
        <w:rPr>
          <w:color w:val="000000"/>
        </w:rPr>
        <w:t>1</w:t>
      </w:r>
      <w:r>
        <w:rPr>
          <w:color w:val="000000"/>
        </w:rPr>
        <w:t>、上述基金业绩指标不包括持有人认购或交易基金的各项费用，计入费用后的实际收益水平要低于所列数字。</w:t>
      </w:r>
      <w:r>
        <w:rPr>
          <w:color w:val="000000"/>
        </w:rPr>
        <w:t xml:space="preserve">  </w:t>
      </w:r>
    </w:p>
    <w:p w:rsidR="00077707" w:rsidRDefault="00852D50">
      <w:pPr>
        <w:adjustRightInd w:val="0"/>
        <w:spacing w:before="29" w:line="360" w:lineRule="auto"/>
        <w:rPr>
          <w:color w:val="000000"/>
        </w:rPr>
      </w:pPr>
      <w:r>
        <w:rPr>
          <w:color w:val="000000"/>
        </w:rPr>
        <w:t>2</w:t>
      </w:r>
      <w:r>
        <w:rPr>
          <w:color w:val="000000"/>
        </w:rPr>
        <w:t>、本期已实现收益指基金本期利息收入、投资收益、其他收入（不含公允价值变动收益）扣除相关费用后的余额，本期利润为本期已实现收益加上本期公允价值变动收益。</w:t>
      </w:r>
    </w:p>
    <w:p w:rsidR="004061AC" w:rsidRDefault="004061AC" w:rsidP="00DB1533">
      <w:pPr>
        <w:adjustRightInd w:val="0"/>
        <w:spacing w:before="29" w:line="360" w:lineRule="auto"/>
        <w:rPr>
          <w:color w:val="000000"/>
        </w:rPr>
      </w:pPr>
      <w:r w:rsidRPr="00514C11">
        <w:rPr>
          <w:color w:val="000000"/>
        </w:rPr>
        <w:t>3</w:t>
      </w:r>
      <w:r w:rsidRPr="00514C11">
        <w:rPr>
          <w:color w:val="000000"/>
        </w:rPr>
        <w:t>、交银施罗德荣和保本混合型证券投资基金从</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2</w:t>
      </w:r>
      <w:r w:rsidRPr="00514C11">
        <w:rPr>
          <w:color w:val="000000"/>
        </w:rPr>
        <w:t>日起正式转型为交银施罗德</w:t>
      </w:r>
      <w:r w:rsidR="00A37898">
        <w:rPr>
          <w:rFonts w:hint="eastAsia"/>
          <w:color w:val="000000"/>
        </w:rPr>
        <w:t>安心</w:t>
      </w:r>
      <w:r w:rsidRPr="00514C11">
        <w:rPr>
          <w:color w:val="000000"/>
        </w:rPr>
        <w:t>收益债券型证券投资基金。</w:t>
      </w:r>
    </w:p>
    <w:p w:rsidR="00A37898" w:rsidRPr="00A37898" w:rsidRDefault="00A37898" w:rsidP="00DB1533">
      <w:pPr>
        <w:adjustRightInd w:val="0"/>
        <w:spacing w:before="29" w:line="360" w:lineRule="auto"/>
        <w:rPr>
          <w:color w:val="000000"/>
        </w:rPr>
      </w:pPr>
    </w:p>
    <w:p w:rsidR="004061AC" w:rsidRPr="007A0E59" w:rsidRDefault="004061AC" w:rsidP="00DB1533">
      <w:pPr>
        <w:pStyle w:val="2"/>
        <w:spacing w:before="0" w:after="0"/>
        <w:rPr>
          <w:rFonts w:ascii="Times New Roman" w:hAnsi="Times New Roman" w:cs="Times New Roman"/>
          <w:color w:val="000000"/>
          <w:kern w:val="0"/>
          <w:sz w:val="21"/>
          <w:szCs w:val="21"/>
        </w:rPr>
      </w:pPr>
      <w:r w:rsidRPr="00514C11">
        <w:rPr>
          <w:rFonts w:ascii="Times New Roman" w:hAnsi="Times New Roman" w:cs="Times New Roman"/>
          <w:color w:val="000000"/>
          <w:kern w:val="0"/>
          <w:sz w:val="21"/>
          <w:szCs w:val="21"/>
        </w:rPr>
        <w:t xml:space="preserve">3.2 </w:t>
      </w:r>
      <w:r w:rsidRPr="00514C11">
        <w:rPr>
          <w:rFonts w:ascii="Times New Roman" w:hAnsi="Times New Roman" w:cs="Times New Roman"/>
          <w:color w:val="000000"/>
          <w:kern w:val="0"/>
          <w:sz w:val="21"/>
          <w:szCs w:val="21"/>
        </w:rPr>
        <w:t>基金净值表现</w:t>
      </w:r>
    </w:p>
    <w:p w:rsidR="002B7BAF" w:rsidRPr="00514C11" w:rsidRDefault="002B7BAF" w:rsidP="00DB1533">
      <w:pPr>
        <w:spacing w:line="360" w:lineRule="auto"/>
        <w:rPr>
          <w:b/>
          <w:color w:val="000000"/>
          <w:kern w:val="0"/>
        </w:rPr>
      </w:pPr>
      <w:r w:rsidRPr="00514C11">
        <w:rPr>
          <w:b/>
          <w:color w:val="000000"/>
          <w:kern w:val="0"/>
        </w:rPr>
        <w:t xml:space="preserve">3.2.1 </w:t>
      </w:r>
      <w:r w:rsidRPr="00514C11">
        <w:rPr>
          <w:b/>
          <w:color w:val="000000"/>
          <w:kern w:val="0"/>
        </w:rPr>
        <w:t>交银施罗德安心收益债券型证券投资基金</w:t>
      </w:r>
    </w:p>
    <w:p w:rsidR="002B7BAF" w:rsidRPr="00514C11" w:rsidRDefault="002B7BAF" w:rsidP="00DB1533">
      <w:pPr>
        <w:autoSpaceDE w:val="0"/>
        <w:autoSpaceDN w:val="0"/>
        <w:adjustRightInd w:val="0"/>
        <w:spacing w:before="29" w:line="360" w:lineRule="auto"/>
        <w:ind w:left="15"/>
        <w:jc w:val="left"/>
        <w:rPr>
          <w:b/>
          <w:color w:val="000000"/>
          <w:kern w:val="0"/>
        </w:rPr>
      </w:pPr>
      <w:r w:rsidRPr="00514C11">
        <w:rPr>
          <w:b/>
          <w:color w:val="000000"/>
          <w:kern w:val="0"/>
        </w:rPr>
        <w:t>（报告期：</w:t>
      </w:r>
      <w:r w:rsidRPr="00514C11">
        <w:rPr>
          <w:b/>
          <w:color w:val="000000"/>
          <w:kern w:val="0"/>
        </w:rPr>
        <w:t>2018</w:t>
      </w:r>
      <w:r w:rsidRPr="00514C11">
        <w:rPr>
          <w:b/>
          <w:color w:val="000000"/>
          <w:kern w:val="0"/>
        </w:rPr>
        <w:t>年</w:t>
      </w:r>
      <w:r w:rsidRPr="00514C11">
        <w:rPr>
          <w:b/>
          <w:color w:val="000000"/>
          <w:kern w:val="0"/>
        </w:rPr>
        <w:t>6</w:t>
      </w:r>
      <w:r w:rsidRPr="00514C11">
        <w:rPr>
          <w:b/>
          <w:color w:val="000000"/>
          <w:kern w:val="0"/>
        </w:rPr>
        <w:t>月</w:t>
      </w:r>
      <w:r w:rsidRPr="00514C11">
        <w:rPr>
          <w:b/>
          <w:color w:val="000000"/>
          <w:kern w:val="0"/>
        </w:rPr>
        <w:t>2</w:t>
      </w:r>
      <w:r w:rsidRPr="00514C11">
        <w:rPr>
          <w:b/>
          <w:color w:val="000000"/>
          <w:kern w:val="0"/>
        </w:rPr>
        <w:t>日</w:t>
      </w:r>
      <w:r w:rsidRPr="00514C11">
        <w:rPr>
          <w:b/>
          <w:color w:val="000000"/>
          <w:kern w:val="0"/>
        </w:rPr>
        <w:t>-2018</w:t>
      </w:r>
      <w:r w:rsidRPr="00514C11">
        <w:rPr>
          <w:b/>
          <w:color w:val="000000"/>
          <w:kern w:val="0"/>
        </w:rPr>
        <w:t>年</w:t>
      </w:r>
      <w:r w:rsidRPr="00514C11">
        <w:rPr>
          <w:b/>
          <w:color w:val="000000"/>
          <w:kern w:val="0"/>
        </w:rPr>
        <w:t>6</w:t>
      </w:r>
      <w:r w:rsidRPr="00514C11">
        <w:rPr>
          <w:b/>
          <w:color w:val="000000"/>
          <w:kern w:val="0"/>
        </w:rPr>
        <w:t>月</w:t>
      </w:r>
      <w:r w:rsidRPr="00514C11">
        <w:rPr>
          <w:b/>
          <w:color w:val="000000"/>
          <w:kern w:val="0"/>
        </w:rPr>
        <w:t>30</w:t>
      </w:r>
      <w:r w:rsidRPr="00514C11">
        <w:rPr>
          <w:b/>
          <w:color w:val="000000"/>
          <w:kern w:val="0"/>
        </w:rPr>
        <w:t>日）</w:t>
      </w:r>
    </w:p>
    <w:p w:rsidR="002B7BAF" w:rsidRPr="00514C11" w:rsidRDefault="002B7BAF" w:rsidP="00DB1533">
      <w:pPr>
        <w:spacing w:line="360" w:lineRule="auto"/>
        <w:rPr>
          <w:b/>
          <w:color w:val="000000"/>
          <w:kern w:val="0"/>
        </w:rPr>
      </w:pPr>
      <w:r w:rsidRPr="00514C11">
        <w:rPr>
          <w:b/>
          <w:color w:val="000000"/>
          <w:kern w:val="0"/>
        </w:rPr>
        <w:t xml:space="preserve">3.2.1.1 </w:t>
      </w:r>
      <w:r w:rsidRPr="00514C11">
        <w:rPr>
          <w:b/>
          <w:color w:val="000000"/>
          <w:kern w:val="0"/>
        </w:rPr>
        <w:t>本报告期基金份额净值增长率及其与同期业绩比较基准收益率的比较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220C32" w:rsidRPr="00514C11" w:rsidTr="00BD7703">
        <w:tc>
          <w:tcPr>
            <w:tcW w:w="1395"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阶段</w:t>
            </w:r>
          </w:p>
        </w:tc>
        <w:tc>
          <w:tcPr>
            <w:tcW w:w="1092"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净值增长率</w:t>
            </w:r>
            <w:r w:rsidRPr="00514C11">
              <w:rPr>
                <w:rFonts w:ascii="宋体" w:hAnsi="宋体" w:cs="宋体" w:hint="eastAsia"/>
                <w:color w:val="000000"/>
                <w:sz w:val="21"/>
              </w:rPr>
              <w:t>①</w:t>
            </w:r>
          </w:p>
        </w:tc>
        <w:tc>
          <w:tcPr>
            <w:tcW w:w="1161"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净值增长率标准差</w:t>
            </w:r>
            <w:r w:rsidRPr="00514C11">
              <w:rPr>
                <w:rFonts w:ascii="宋体" w:hAnsi="宋体" w:cs="宋体" w:hint="eastAsia"/>
                <w:color w:val="000000"/>
                <w:sz w:val="21"/>
              </w:rPr>
              <w:t>②</w:t>
            </w:r>
          </w:p>
        </w:tc>
        <w:tc>
          <w:tcPr>
            <w:tcW w:w="1181"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业绩比较基准收益率</w:t>
            </w:r>
            <w:r w:rsidRPr="00514C11">
              <w:rPr>
                <w:rFonts w:ascii="宋体" w:hAnsi="宋体" w:cs="宋体" w:hint="eastAsia"/>
                <w:color w:val="000000"/>
                <w:sz w:val="21"/>
              </w:rPr>
              <w:t>③</w:t>
            </w:r>
          </w:p>
        </w:tc>
        <w:tc>
          <w:tcPr>
            <w:tcW w:w="1188"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业绩比较基准收益率标准差</w:t>
            </w:r>
            <w:r w:rsidRPr="00514C11">
              <w:rPr>
                <w:rFonts w:ascii="宋体" w:hAnsi="宋体" w:cs="宋体" w:hint="eastAsia"/>
                <w:color w:val="000000"/>
                <w:sz w:val="21"/>
              </w:rPr>
              <w:t>④</w:t>
            </w:r>
          </w:p>
        </w:tc>
        <w:tc>
          <w:tcPr>
            <w:tcW w:w="1199"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rFonts w:ascii="宋体" w:hAnsi="宋体" w:cs="宋体" w:hint="eastAsia"/>
                <w:color w:val="000000"/>
                <w:sz w:val="21"/>
              </w:rPr>
              <w:t>①</w:t>
            </w:r>
            <w:r w:rsidRPr="00514C11">
              <w:rPr>
                <w:color w:val="000000"/>
                <w:sz w:val="21"/>
              </w:rPr>
              <w:t>-</w:t>
            </w:r>
            <w:r w:rsidRPr="00514C11">
              <w:rPr>
                <w:rFonts w:ascii="宋体" w:hAnsi="宋体" w:cs="宋体" w:hint="eastAsia"/>
                <w:color w:val="000000"/>
                <w:sz w:val="21"/>
              </w:rPr>
              <w:t>③</w:t>
            </w:r>
          </w:p>
        </w:tc>
        <w:tc>
          <w:tcPr>
            <w:tcW w:w="1204"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rFonts w:ascii="宋体" w:hAnsi="宋体" w:cs="宋体" w:hint="eastAsia"/>
                <w:color w:val="000000"/>
                <w:sz w:val="21"/>
              </w:rPr>
              <w:t>②</w:t>
            </w:r>
            <w:r w:rsidRPr="00514C11">
              <w:rPr>
                <w:color w:val="000000"/>
                <w:sz w:val="21"/>
              </w:rPr>
              <w:t>-</w:t>
            </w:r>
            <w:r w:rsidRPr="00514C11">
              <w:rPr>
                <w:rFonts w:ascii="宋体" w:hAnsi="宋体" w:cs="宋体" w:hint="eastAsia"/>
                <w:color w:val="000000"/>
                <w:sz w:val="21"/>
              </w:rPr>
              <w:t>④</w:t>
            </w:r>
          </w:p>
        </w:tc>
      </w:tr>
      <w:tr w:rsidR="00077707">
        <w:tc>
          <w:tcPr>
            <w:tcW w:w="1395" w:type="dxa"/>
            <w:vAlign w:val="center"/>
          </w:tcPr>
          <w:p w:rsidR="00077707" w:rsidRDefault="00852D50">
            <w:pPr>
              <w:jc w:val="left"/>
            </w:pPr>
            <w:r>
              <w:rPr>
                <w:color w:val="000000"/>
                <w:sz w:val="21"/>
              </w:rPr>
              <w:t>2018</w:t>
            </w:r>
            <w:r>
              <w:rPr>
                <w:color w:val="000000"/>
                <w:sz w:val="21"/>
              </w:rPr>
              <w:t>年</w:t>
            </w:r>
            <w:r>
              <w:rPr>
                <w:color w:val="000000"/>
                <w:sz w:val="21"/>
              </w:rPr>
              <w:t>6</w:t>
            </w:r>
            <w:r>
              <w:rPr>
                <w:color w:val="000000"/>
                <w:sz w:val="21"/>
              </w:rPr>
              <w:t>月</w:t>
            </w:r>
            <w:r>
              <w:rPr>
                <w:color w:val="000000"/>
                <w:sz w:val="21"/>
              </w:rPr>
              <w:t>2</w:t>
            </w:r>
            <w:r>
              <w:rPr>
                <w:color w:val="000000"/>
                <w:sz w:val="21"/>
              </w:rPr>
              <w:t>日</w:t>
            </w:r>
            <w:r>
              <w:rPr>
                <w:color w:val="000000"/>
                <w:sz w:val="21"/>
              </w:rPr>
              <w:t>-2018</w:t>
            </w:r>
            <w:r>
              <w:rPr>
                <w:color w:val="000000"/>
                <w:sz w:val="21"/>
              </w:rPr>
              <w:t>年</w:t>
            </w:r>
            <w:r>
              <w:rPr>
                <w:color w:val="000000"/>
                <w:sz w:val="21"/>
              </w:rPr>
              <w:t>6</w:t>
            </w:r>
            <w:r>
              <w:rPr>
                <w:color w:val="000000"/>
                <w:sz w:val="21"/>
              </w:rPr>
              <w:t>月</w:t>
            </w:r>
            <w:r>
              <w:rPr>
                <w:color w:val="000000"/>
                <w:sz w:val="21"/>
              </w:rPr>
              <w:t>30</w:t>
            </w:r>
            <w:r>
              <w:rPr>
                <w:color w:val="000000"/>
                <w:sz w:val="21"/>
              </w:rPr>
              <w:t>日</w:t>
            </w:r>
          </w:p>
        </w:tc>
        <w:tc>
          <w:tcPr>
            <w:tcW w:w="1092" w:type="dxa"/>
            <w:vAlign w:val="center"/>
          </w:tcPr>
          <w:p w:rsidR="00077707" w:rsidRDefault="00852D50">
            <w:pPr>
              <w:jc w:val="center"/>
            </w:pPr>
            <w:r>
              <w:rPr>
                <w:color w:val="000000"/>
                <w:sz w:val="21"/>
              </w:rPr>
              <w:t>0.10%</w:t>
            </w:r>
          </w:p>
        </w:tc>
        <w:tc>
          <w:tcPr>
            <w:tcW w:w="1161" w:type="dxa"/>
            <w:vAlign w:val="center"/>
          </w:tcPr>
          <w:p w:rsidR="00077707" w:rsidRDefault="00852D50">
            <w:pPr>
              <w:jc w:val="center"/>
            </w:pPr>
            <w:r>
              <w:rPr>
                <w:color w:val="000000"/>
                <w:sz w:val="21"/>
              </w:rPr>
              <w:t>0.08%</w:t>
            </w:r>
          </w:p>
        </w:tc>
        <w:tc>
          <w:tcPr>
            <w:tcW w:w="1181" w:type="dxa"/>
            <w:vAlign w:val="center"/>
          </w:tcPr>
          <w:p w:rsidR="00077707" w:rsidRDefault="00852D50">
            <w:pPr>
              <w:jc w:val="center"/>
            </w:pPr>
            <w:r>
              <w:rPr>
                <w:color w:val="000000"/>
                <w:sz w:val="21"/>
              </w:rPr>
              <w:t>0.37%</w:t>
            </w:r>
          </w:p>
        </w:tc>
        <w:tc>
          <w:tcPr>
            <w:tcW w:w="1188" w:type="dxa"/>
            <w:vAlign w:val="center"/>
          </w:tcPr>
          <w:p w:rsidR="00077707" w:rsidRDefault="00852D50">
            <w:pPr>
              <w:jc w:val="center"/>
            </w:pPr>
            <w:r>
              <w:rPr>
                <w:color w:val="000000"/>
                <w:sz w:val="21"/>
              </w:rPr>
              <w:t>0.06%</w:t>
            </w:r>
          </w:p>
        </w:tc>
        <w:tc>
          <w:tcPr>
            <w:tcW w:w="1199" w:type="dxa"/>
            <w:vAlign w:val="center"/>
          </w:tcPr>
          <w:p w:rsidR="00077707" w:rsidRDefault="00852D50">
            <w:pPr>
              <w:jc w:val="center"/>
            </w:pPr>
            <w:r>
              <w:rPr>
                <w:color w:val="000000"/>
                <w:sz w:val="21"/>
              </w:rPr>
              <w:t>-0.27%</w:t>
            </w:r>
          </w:p>
        </w:tc>
        <w:tc>
          <w:tcPr>
            <w:tcW w:w="1204" w:type="dxa"/>
            <w:vAlign w:val="center"/>
          </w:tcPr>
          <w:p w:rsidR="00077707" w:rsidRDefault="00852D50">
            <w:pPr>
              <w:jc w:val="center"/>
            </w:pPr>
            <w:r>
              <w:rPr>
                <w:color w:val="000000"/>
                <w:sz w:val="21"/>
              </w:rPr>
              <w:t>0.02%</w:t>
            </w:r>
          </w:p>
        </w:tc>
      </w:tr>
    </w:tbl>
    <w:p w:rsidR="004061AC" w:rsidRDefault="004061AC" w:rsidP="00DB1533">
      <w:pPr>
        <w:autoSpaceDE w:val="0"/>
        <w:autoSpaceDN w:val="0"/>
        <w:adjustRightInd w:val="0"/>
        <w:spacing w:line="360" w:lineRule="auto"/>
        <w:jc w:val="left"/>
        <w:rPr>
          <w:color w:val="000000"/>
          <w:kern w:val="0"/>
        </w:rPr>
      </w:pPr>
      <w:r w:rsidRPr="00514C11">
        <w:rPr>
          <w:color w:val="000000"/>
          <w:kern w:val="0"/>
        </w:rPr>
        <w:t>注：交银施罗德荣和保本混合型证券投资基金从</w:t>
      </w:r>
      <w:r w:rsidRPr="00514C11">
        <w:rPr>
          <w:color w:val="000000"/>
          <w:kern w:val="0"/>
        </w:rPr>
        <w:t>2018</w:t>
      </w:r>
      <w:r w:rsidRPr="00514C11">
        <w:rPr>
          <w:color w:val="000000"/>
          <w:kern w:val="0"/>
        </w:rPr>
        <w:t>年</w:t>
      </w:r>
      <w:r w:rsidRPr="00514C11">
        <w:rPr>
          <w:color w:val="000000"/>
          <w:kern w:val="0"/>
        </w:rPr>
        <w:t>6</w:t>
      </w:r>
      <w:r w:rsidRPr="00514C11">
        <w:rPr>
          <w:color w:val="000000"/>
          <w:kern w:val="0"/>
        </w:rPr>
        <w:t>月</w:t>
      </w:r>
      <w:r w:rsidRPr="00514C11">
        <w:rPr>
          <w:color w:val="000000"/>
          <w:kern w:val="0"/>
        </w:rPr>
        <w:t>2</w:t>
      </w:r>
      <w:r w:rsidRPr="00514C11">
        <w:rPr>
          <w:color w:val="000000"/>
          <w:kern w:val="0"/>
        </w:rPr>
        <w:t>日起正式转型为交银施罗德安心收益债券型证券投资基金，本表列示的是本报告期基金转型后的基金净值表现，转型后基金的业绩比较基准为中债综合全价指数。</w:t>
      </w:r>
    </w:p>
    <w:p w:rsidR="00AC39FD" w:rsidRPr="00514C11" w:rsidRDefault="00AC39FD" w:rsidP="00DB1533">
      <w:pPr>
        <w:autoSpaceDE w:val="0"/>
        <w:autoSpaceDN w:val="0"/>
        <w:adjustRightInd w:val="0"/>
        <w:spacing w:line="360" w:lineRule="auto"/>
        <w:jc w:val="left"/>
        <w:rPr>
          <w:color w:val="000000"/>
          <w:kern w:val="0"/>
        </w:rPr>
      </w:pPr>
    </w:p>
    <w:p w:rsidR="00C718EF" w:rsidRPr="00514C11" w:rsidRDefault="00C718EF" w:rsidP="00DB1533">
      <w:pPr>
        <w:spacing w:line="360" w:lineRule="auto"/>
        <w:rPr>
          <w:b/>
          <w:color w:val="000000"/>
          <w:kern w:val="0"/>
        </w:rPr>
      </w:pPr>
      <w:r w:rsidRPr="00514C11">
        <w:rPr>
          <w:b/>
          <w:color w:val="000000"/>
          <w:kern w:val="0"/>
        </w:rPr>
        <w:t>3.2.1.2</w:t>
      </w:r>
      <w:r w:rsidRPr="00514C11">
        <w:rPr>
          <w:b/>
          <w:color w:val="000000"/>
          <w:kern w:val="0"/>
        </w:rPr>
        <w:t>自基金转型以来基金份额累计净值增长率变动及其与同期业绩比较基准收益率变动的比较</w:t>
      </w:r>
    </w:p>
    <w:p w:rsidR="008606B6" w:rsidRPr="00514C11" w:rsidRDefault="008606B6" w:rsidP="00DB1533">
      <w:pPr>
        <w:spacing w:line="360" w:lineRule="auto"/>
        <w:jc w:val="center"/>
        <w:rPr>
          <w:color w:val="000000"/>
        </w:rPr>
      </w:pPr>
      <w:r w:rsidRPr="00514C11">
        <w:rPr>
          <w:color w:val="000000"/>
        </w:rPr>
        <w:t>交银施罗德安心收益债券型证券投资基金</w:t>
      </w:r>
    </w:p>
    <w:p w:rsidR="00C718EF" w:rsidRPr="00514C11" w:rsidRDefault="00C718EF" w:rsidP="00DB1533">
      <w:pPr>
        <w:spacing w:line="360" w:lineRule="auto"/>
        <w:jc w:val="center"/>
        <w:rPr>
          <w:color w:val="000000"/>
        </w:rPr>
      </w:pPr>
      <w:r w:rsidRPr="00514C11">
        <w:rPr>
          <w:color w:val="000000"/>
        </w:rPr>
        <w:t>份额累计净值增长率与业绩比较基准收益率历史走势对比图</w:t>
      </w:r>
    </w:p>
    <w:p w:rsidR="004061AC" w:rsidRPr="00514C11" w:rsidRDefault="00C37947" w:rsidP="00DB1533">
      <w:pPr>
        <w:spacing w:line="360" w:lineRule="auto"/>
        <w:jc w:val="center"/>
        <w:rPr>
          <w:rFonts w:eastAsiaTheme="minorEastAsia"/>
          <w:color w:val="000000" w:themeColor="text1"/>
        </w:rPr>
      </w:pP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2</w:t>
      </w:r>
      <w:r w:rsidRPr="00514C11">
        <w:rPr>
          <w:color w:val="000000"/>
        </w:rPr>
        <w:t>日</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30</w:t>
      </w:r>
      <w:r w:rsidRPr="00514C11">
        <w:rPr>
          <w:color w:val="000000"/>
        </w:rPr>
        <w:t>日</w:t>
      </w:r>
      <w:r w:rsidRPr="00514C11">
        <w:rPr>
          <w:color w:val="000000"/>
        </w:rPr>
        <w:t>)</w:t>
      </w:r>
      <w:r w:rsidR="00866CF2" w:rsidRPr="00514C11">
        <w:rPr>
          <w:rFonts w:eastAsiaTheme="minorEastAsia"/>
          <w:noProof/>
          <w:color w:val="000000" w:themeColor="text1"/>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061AC" w:rsidRDefault="004061AC" w:rsidP="00DB1533">
      <w:pPr>
        <w:tabs>
          <w:tab w:val="left" w:pos="1800"/>
        </w:tabs>
        <w:adjustRightInd w:val="0"/>
        <w:snapToGrid w:val="0"/>
        <w:spacing w:line="360" w:lineRule="auto"/>
        <w:rPr>
          <w:color w:val="000000"/>
        </w:rPr>
      </w:pPr>
      <w:r w:rsidRPr="00514C11">
        <w:rPr>
          <w:color w:val="000000"/>
        </w:rPr>
        <w:t>注：本基金由交银施罗德荣和保本混合型证券投资基金转型而来。本基金转型日为</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2</w:t>
      </w:r>
      <w:r w:rsidRPr="00514C11">
        <w:rPr>
          <w:color w:val="000000"/>
        </w:rPr>
        <w:t>日，基金转型日至报告期期末，本基金转型时间未满一年。本基金的投资转型期为交银施罗德荣和保本混合型证券投资基金保本周期到期期间截止日的次日（即</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2</w:t>
      </w:r>
      <w:r w:rsidRPr="00514C11">
        <w:rPr>
          <w:color w:val="000000"/>
        </w:rPr>
        <w:t>日）起的</w:t>
      </w:r>
      <w:r w:rsidRPr="00514C11">
        <w:rPr>
          <w:color w:val="000000"/>
        </w:rPr>
        <w:t>3</w:t>
      </w:r>
      <w:r w:rsidRPr="00514C11">
        <w:rPr>
          <w:color w:val="000000"/>
        </w:rPr>
        <w:t>个月。截止</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30</w:t>
      </w:r>
      <w:r w:rsidRPr="00514C11">
        <w:rPr>
          <w:color w:val="000000"/>
        </w:rPr>
        <w:t>日，本基金尚处于投资转型期。</w:t>
      </w:r>
    </w:p>
    <w:p w:rsidR="00AC39FD" w:rsidRPr="00514C11" w:rsidRDefault="00AC39FD" w:rsidP="00DB1533">
      <w:pPr>
        <w:tabs>
          <w:tab w:val="left" w:pos="1800"/>
        </w:tabs>
        <w:adjustRightInd w:val="0"/>
        <w:snapToGrid w:val="0"/>
        <w:spacing w:line="360" w:lineRule="auto"/>
        <w:rPr>
          <w:color w:val="000000"/>
        </w:rPr>
      </w:pPr>
    </w:p>
    <w:p w:rsidR="004D770C" w:rsidRPr="00514C11" w:rsidRDefault="004D770C" w:rsidP="00DB1533">
      <w:pPr>
        <w:autoSpaceDE w:val="0"/>
        <w:autoSpaceDN w:val="0"/>
        <w:adjustRightInd w:val="0"/>
        <w:spacing w:before="29" w:line="360" w:lineRule="auto"/>
        <w:ind w:left="15"/>
        <w:jc w:val="left"/>
        <w:rPr>
          <w:b/>
          <w:color w:val="000000"/>
          <w:kern w:val="0"/>
        </w:rPr>
      </w:pPr>
      <w:r w:rsidRPr="00514C11">
        <w:rPr>
          <w:b/>
          <w:color w:val="000000"/>
          <w:kern w:val="0"/>
        </w:rPr>
        <w:t xml:space="preserve">3.2.2 </w:t>
      </w:r>
      <w:r w:rsidRPr="00514C11">
        <w:rPr>
          <w:b/>
          <w:color w:val="000000"/>
          <w:kern w:val="0"/>
        </w:rPr>
        <w:t>交银施罗德荣和保本混合型证券投资基金</w:t>
      </w:r>
    </w:p>
    <w:p w:rsidR="004D770C" w:rsidRPr="00514C11" w:rsidRDefault="004D770C" w:rsidP="00DB1533">
      <w:pPr>
        <w:autoSpaceDE w:val="0"/>
        <w:autoSpaceDN w:val="0"/>
        <w:adjustRightInd w:val="0"/>
        <w:spacing w:before="29" w:line="360" w:lineRule="auto"/>
        <w:ind w:left="15"/>
        <w:jc w:val="left"/>
        <w:rPr>
          <w:b/>
          <w:color w:val="000000"/>
          <w:kern w:val="0"/>
        </w:rPr>
      </w:pPr>
      <w:r w:rsidRPr="00514C11">
        <w:rPr>
          <w:b/>
          <w:color w:val="000000"/>
          <w:kern w:val="0"/>
        </w:rPr>
        <w:t>（报告期：</w:t>
      </w:r>
      <w:r w:rsidRPr="00514C11">
        <w:rPr>
          <w:b/>
          <w:color w:val="000000"/>
          <w:kern w:val="0"/>
        </w:rPr>
        <w:t>2018</w:t>
      </w:r>
      <w:r w:rsidRPr="00514C11">
        <w:rPr>
          <w:b/>
          <w:color w:val="000000"/>
          <w:kern w:val="0"/>
        </w:rPr>
        <w:t>年</w:t>
      </w:r>
      <w:r w:rsidRPr="00514C11">
        <w:rPr>
          <w:b/>
          <w:color w:val="000000"/>
          <w:kern w:val="0"/>
        </w:rPr>
        <w:t>4</w:t>
      </w:r>
      <w:r w:rsidRPr="00514C11">
        <w:rPr>
          <w:b/>
          <w:color w:val="000000"/>
          <w:kern w:val="0"/>
        </w:rPr>
        <w:t>月</w:t>
      </w:r>
      <w:r w:rsidRPr="00514C11">
        <w:rPr>
          <w:b/>
          <w:color w:val="000000"/>
          <w:kern w:val="0"/>
        </w:rPr>
        <w:t>1</w:t>
      </w:r>
      <w:r w:rsidRPr="00514C11">
        <w:rPr>
          <w:b/>
          <w:color w:val="000000"/>
          <w:kern w:val="0"/>
        </w:rPr>
        <w:t>日</w:t>
      </w:r>
      <w:r w:rsidRPr="00514C11">
        <w:rPr>
          <w:b/>
          <w:color w:val="000000"/>
          <w:kern w:val="0"/>
        </w:rPr>
        <w:t>-2018</w:t>
      </w:r>
      <w:r w:rsidRPr="00514C11">
        <w:rPr>
          <w:b/>
          <w:color w:val="000000"/>
          <w:kern w:val="0"/>
        </w:rPr>
        <w:t>年</w:t>
      </w:r>
      <w:r w:rsidRPr="00514C11">
        <w:rPr>
          <w:b/>
          <w:color w:val="000000"/>
          <w:kern w:val="0"/>
        </w:rPr>
        <w:t>6</w:t>
      </w:r>
      <w:r w:rsidRPr="00514C11">
        <w:rPr>
          <w:b/>
          <w:color w:val="000000"/>
          <w:kern w:val="0"/>
        </w:rPr>
        <w:t>月</w:t>
      </w:r>
      <w:r w:rsidRPr="00514C11">
        <w:rPr>
          <w:b/>
          <w:color w:val="000000"/>
          <w:kern w:val="0"/>
        </w:rPr>
        <w:t>1</w:t>
      </w:r>
      <w:r w:rsidRPr="00514C11">
        <w:rPr>
          <w:b/>
          <w:color w:val="000000"/>
          <w:kern w:val="0"/>
        </w:rPr>
        <w:t>日）</w:t>
      </w:r>
    </w:p>
    <w:p w:rsidR="004D770C" w:rsidRPr="00514C11" w:rsidRDefault="004D770C" w:rsidP="00DB1533">
      <w:pPr>
        <w:autoSpaceDE w:val="0"/>
        <w:autoSpaceDN w:val="0"/>
        <w:adjustRightInd w:val="0"/>
        <w:spacing w:before="29" w:line="360" w:lineRule="auto"/>
        <w:ind w:left="15"/>
        <w:jc w:val="left"/>
        <w:rPr>
          <w:b/>
          <w:color w:val="000000"/>
          <w:kern w:val="0"/>
        </w:rPr>
      </w:pPr>
      <w:r w:rsidRPr="00514C11">
        <w:rPr>
          <w:b/>
          <w:color w:val="000000"/>
          <w:kern w:val="0"/>
        </w:rPr>
        <w:t>3.2.</w:t>
      </w:r>
      <w:r w:rsidR="00AB223D" w:rsidRPr="00514C11">
        <w:rPr>
          <w:b/>
          <w:color w:val="000000"/>
          <w:kern w:val="0"/>
        </w:rPr>
        <w:t>2</w:t>
      </w:r>
      <w:r w:rsidRPr="00514C11">
        <w:rPr>
          <w:b/>
          <w:color w:val="000000"/>
          <w:kern w:val="0"/>
        </w:rPr>
        <w:t xml:space="preserve">.1 </w:t>
      </w:r>
      <w:r w:rsidRPr="00514C11">
        <w:rPr>
          <w:b/>
          <w:color w:val="000000"/>
          <w:kern w:val="0"/>
        </w:rPr>
        <w:t>本报告期基金份额净值增长率及其与同期业绩比较基准收益率的比较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4D770C" w:rsidRPr="00514C11" w:rsidTr="00496743">
        <w:tc>
          <w:tcPr>
            <w:tcW w:w="1395"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阶段</w:t>
            </w:r>
          </w:p>
        </w:tc>
        <w:tc>
          <w:tcPr>
            <w:tcW w:w="1092"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净值增长率</w:t>
            </w:r>
            <w:r w:rsidRPr="00514C11">
              <w:rPr>
                <w:rFonts w:ascii="宋体" w:hAnsi="宋体" w:cs="宋体" w:hint="eastAsia"/>
                <w:color w:val="000000"/>
                <w:sz w:val="21"/>
              </w:rPr>
              <w:t>①</w:t>
            </w:r>
          </w:p>
        </w:tc>
        <w:tc>
          <w:tcPr>
            <w:tcW w:w="1161"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净值增长率标准差</w:t>
            </w:r>
            <w:r w:rsidRPr="00514C11">
              <w:rPr>
                <w:rFonts w:ascii="宋体" w:hAnsi="宋体" w:cs="宋体" w:hint="eastAsia"/>
                <w:color w:val="000000"/>
                <w:sz w:val="21"/>
              </w:rPr>
              <w:t>②</w:t>
            </w:r>
          </w:p>
        </w:tc>
        <w:tc>
          <w:tcPr>
            <w:tcW w:w="1181"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业绩比较基准收益率</w:t>
            </w:r>
            <w:r w:rsidRPr="00514C11">
              <w:rPr>
                <w:rFonts w:ascii="宋体" w:hAnsi="宋体" w:cs="宋体" w:hint="eastAsia"/>
                <w:color w:val="000000"/>
                <w:sz w:val="21"/>
              </w:rPr>
              <w:t>③</w:t>
            </w:r>
          </w:p>
        </w:tc>
        <w:tc>
          <w:tcPr>
            <w:tcW w:w="1188"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业绩比较基准收益率标准差</w:t>
            </w:r>
            <w:r w:rsidRPr="00514C11">
              <w:rPr>
                <w:rFonts w:ascii="宋体" w:hAnsi="宋体" w:cs="宋体" w:hint="eastAsia"/>
                <w:color w:val="000000"/>
                <w:sz w:val="21"/>
              </w:rPr>
              <w:t>④</w:t>
            </w:r>
          </w:p>
        </w:tc>
        <w:tc>
          <w:tcPr>
            <w:tcW w:w="1199"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rFonts w:ascii="宋体" w:hAnsi="宋体" w:cs="宋体" w:hint="eastAsia"/>
                <w:color w:val="000000"/>
                <w:sz w:val="21"/>
              </w:rPr>
              <w:t>①</w:t>
            </w:r>
            <w:r w:rsidRPr="00514C11">
              <w:rPr>
                <w:color w:val="000000"/>
                <w:sz w:val="21"/>
              </w:rPr>
              <w:t>-</w:t>
            </w:r>
            <w:r w:rsidRPr="00514C11">
              <w:rPr>
                <w:rFonts w:ascii="宋体" w:hAnsi="宋体" w:cs="宋体" w:hint="eastAsia"/>
                <w:color w:val="000000"/>
                <w:sz w:val="21"/>
              </w:rPr>
              <w:t>③</w:t>
            </w:r>
          </w:p>
        </w:tc>
        <w:tc>
          <w:tcPr>
            <w:tcW w:w="1204"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rFonts w:ascii="宋体" w:hAnsi="宋体" w:cs="宋体" w:hint="eastAsia"/>
                <w:color w:val="000000"/>
                <w:sz w:val="21"/>
              </w:rPr>
              <w:t>②</w:t>
            </w:r>
            <w:r w:rsidRPr="00514C11">
              <w:rPr>
                <w:color w:val="000000"/>
                <w:sz w:val="21"/>
              </w:rPr>
              <w:t>-</w:t>
            </w:r>
            <w:r w:rsidRPr="00514C11">
              <w:rPr>
                <w:rFonts w:ascii="宋体" w:hAnsi="宋体" w:cs="宋体" w:hint="eastAsia"/>
                <w:color w:val="000000"/>
                <w:sz w:val="21"/>
              </w:rPr>
              <w:t>④</w:t>
            </w:r>
          </w:p>
        </w:tc>
      </w:tr>
      <w:tr w:rsidR="00077707">
        <w:tc>
          <w:tcPr>
            <w:tcW w:w="1395" w:type="dxa"/>
            <w:vAlign w:val="center"/>
          </w:tcPr>
          <w:p w:rsidR="00077707" w:rsidRDefault="00852D50">
            <w:pPr>
              <w:jc w:val="left"/>
            </w:pPr>
            <w:r>
              <w:rPr>
                <w:color w:val="000000"/>
                <w:sz w:val="21"/>
              </w:rPr>
              <w:t>2018</w:t>
            </w:r>
            <w:r>
              <w:rPr>
                <w:color w:val="000000"/>
                <w:sz w:val="21"/>
              </w:rPr>
              <w:t>年</w:t>
            </w:r>
            <w:r>
              <w:rPr>
                <w:color w:val="000000"/>
                <w:sz w:val="21"/>
              </w:rPr>
              <w:t>4</w:t>
            </w:r>
            <w:r>
              <w:rPr>
                <w:color w:val="000000"/>
                <w:sz w:val="21"/>
              </w:rPr>
              <w:t>月</w:t>
            </w:r>
            <w:r>
              <w:rPr>
                <w:color w:val="000000"/>
                <w:sz w:val="21"/>
              </w:rPr>
              <w:t>1</w:t>
            </w:r>
            <w:r>
              <w:rPr>
                <w:color w:val="000000"/>
                <w:sz w:val="21"/>
              </w:rPr>
              <w:t>日</w:t>
            </w:r>
            <w:r>
              <w:rPr>
                <w:color w:val="000000"/>
                <w:sz w:val="21"/>
              </w:rPr>
              <w:t>-2018</w:t>
            </w:r>
            <w:r>
              <w:rPr>
                <w:color w:val="000000"/>
                <w:sz w:val="21"/>
              </w:rPr>
              <w:t>年</w:t>
            </w:r>
            <w:r>
              <w:rPr>
                <w:color w:val="000000"/>
                <w:sz w:val="21"/>
              </w:rPr>
              <w:t>6</w:t>
            </w:r>
            <w:r>
              <w:rPr>
                <w:color w:val="000000"/>
                <w:sz w:val="21"/>
              </w:rPr>
              <w:t>月</w:t>
            </w:r>
            <w:r>
              <w:rPr>
                <w:color w:val="000000"/>
                <w:sz w:val="21"/>
              </w:rPr>
              <w:t>1</w:t>
            </w:r>
            <w:r>
              <w:rPr>
                <w:color w:val="000000"/>
                <w:sz w:val="21"/>
              </w:rPr>
              <w:t>日</w:t>
            </w:r>
          </w:p>
        </w:tc>
        <w:tc>
          <w:tcPr>
            <w:tcW w:w="1092" w:type="dxa"/>
            <w:vAlign w:val="center"/>
          </w:tcPr>
          <w:p w:rsidR="00077707" w:rsidRDefault="00852D50">
            <w:pPr>
              <w:jc w:val="center"/>
            </w:pPr>
            <w:r>
              <w:rPr>
                <w:color w:val="000000"/>
                <w:sz w:val="21"/>
              </w:rPr>
              <w:t>0.59%</w:t>
            </w:r>
          </w:p>
        </w:tc>
        <w:tc>
          <w:tcPr>
            <w:tcW w:w="1161" w:type="dxa"/>
            <w:vAlign w:val="center"/>
          </w:tcPr>
          <w:p w:rsidR="00077707" w:rsidRDefault="00852D50">
            <w:pPr>
              <w:jc w:val="center"/>
            </w:pPr>
            <w:r>
              <w:rPr>
                <w:color w:val="000000"/>
                <w:sz w:val="21"/>
              </w:rPr>
              <w:t>0.04%</w:t>
            </w:r>
          </w:p>
        </w:tc>
        <w:tc>
          <w:tcPr>
            <w:tcW w:w="1181" w:type="dxa"/>
            <w:vAlign w:val="center"/>
          </w:tcPr>
          <w:p w:rsidR="00077707" w:rsidRDefault="00852D50">
            <w:pPr>
              <w:jc w:val="center"/>
            </w:pPr>
            <w:r>
              <w:rPr>
                <w:color w:val="000000"/>
                <w:sz w:val="21"/>
              </w:rPr>
              <w:t>0.47%</w:t>
            </w:r>
          </w:p>
        </w:tc>
        <w:tc>
          <w:tcPr>
            <w:tcW w:w="1188" w:type="dxa"/>
            <w:vAlign w:val="center"/>
          </w:tcPr>
          <w:p w:rsidR="00077707" w:rsidRDefault="00852D50">
            <w:pPr>
              <w:jc w:val="center"/>
            </w:pPr>
            <w:r>
              <w:rPr>
                <w:color w:val="000000"/>
                <w:sz w:val="21"/>
              </w:rPr>
              <w:t>0.01%</w:t>
            </w:r>
          </w:p>
        </w:tc>
        <w:tc>
          <w:tcPr>
            <w:tcW w:w="1199" w:type="dxa"/>
            <w:vAlign w:val="center"/>
          </w:tcPr>
          <w:p w:rsidR="00077707" w:rsidRDefault="00852D50">
            <w:pPr>
              <w:jc w:val="center"/>
            </w:pPr>
            <w:r>
              <w:rPr>
                <w:color w:val="000000"/>
                <w:sz w:val="21"/>
              </w:rPr>
              <w:t>0.12%</w:t>
            </w:r>
          </w:p>
        </w:tc>
        <w:tc>
          <w:tcPr>
            <w:tcW w:w="1204" w:type="dxa"/>
            <w:vAlign w:val="center"/>
          </w:tcPr>
          <w:p w:rsidR="00077707" w:rsidRDefault="00852D50">
            <w:pPr>
              <w:jc w:val="center"/>
            </w:pPr>
            <w:r>
              <w:rPr>
                <w:color w:val="000000"/>
                <w:sz w:val="21"/>
              </w:rPr>
              <w:t>0.03%</w:t>
            </w:r>
          </w:p>
        </w:tc>
      </w:tr>
    </w:tbl>
    <w:p w:rsidR="004D770C" w:rsidRDefault="004D770C" w:rsidP="00DB1533">
      <w:pPr>
        <w:autoSpaceDE w:val="0"/>
        <w:autoSpaceDN w:val="0"/>
        <w:adjustRightInd w:val="0"/>
        <w:spacing w:line="360" w:lineRule="auto"/>
        <w:jc w:val="left"/>
        <w:rPr>
          <w:color w:val="000000"/>
          <w:kern w:val="0"/>
        </w:rPr>
      </w:pPr>
      <w:r w:rsidRPr="00514C11">
        <w:rPr>
          <w:color w:val="000000"/>
          <w:kern w:val="0"/>
        </w:rPr>
        <w:t>注：交银施罗德荣和保本混合型证券投资基金从</w:t>
      </w:r>
      <w:r w:rsidRPr="00514C11">
        <w:rPr>
          <w:color w:val="000000"/>
          <w:kern w:val="0"/>
        </w:rPr>
        <w:t>2018</w:t>
      </w:r>
      <w:r w:rsidRPr="00514C11">
        <w:rPr>
          <w:color w:val="000000"/>
          <w:kern w:val="0"/>
        </w:rPr>
        <w:t>年</w:t>
      </w:r>
      <w:r w:rsidRPr="00514C11">
        <w:rPr>
          <w:color w:val="000000"/>
          <w:kern w:val="0"/>
        </w:rPr>
        <w:t>6</w:t>
      </w:r>
      <w:r w:rsidRPr="00514C11">
        <w:rPr>
          <w:color w:val="000000"/>
          <w:kern w:val="0"/>
        </w:rPr>
        <w:t>月</w:t>
      </w:r>
      <w:r w:rsidRPr="00514C11">
        <w:rPr>
          <w:color w:val="000000"/>
          <w:kern w:val="0"/>
        </w:rPr>
        <w:t>2</w:t>
      </w:r>
      <w:r w:rsidRPr="00514C11">
        <w:rPr>
          <w:color w:val="000000"/>
          <w:kern w:val="0"/>
        </w:rPr>
        <w:t>日起正式转型为交银施罗德安心收益债券型证券投资基金，本表列示的是本报告期基金转型前的基金净值表现，转型前基金的业绩比较基准为三年期银行定期存款税后收益率。</w:t>
      </w:r>
    </w:p>
    <w:p w:rsidR="00AC39FD" w:rsidRPr="00514C11" w:rsidRDefault="00AC39FD" w:rsidP="00DB1533">
      <w:pPr>
        <w:autoSpaceDE w:val="0"/>
        <w:autoSpaceDN w:val="0"/>
        <w:adjustRightInd w:val="0"/>
        <w:spacing w:line="360" w:lineRule="auto"/>
        <w:jc w:val="left"/>
        <w:rPr>
          <w:color w:val="000000"/>
          <w:kern w:val="0"/>
        </w:rPr>
      </w:pPr>
    </w:p>
    <w:p w:rsidR="004D770C" w:rsidRPr="00514C11" w:rsidRDefault="004D770C" w:rsidP="00DB1533">
      <w:pPr>
        <w:spacing w:line="360" w:lineRule="auto"/>
        <w:ind w:rightChars="-60" w:right="-126"/>
        <w:rPr>
          <w:b/>
          <w:color w:val="000000"/>
          <w:kern w:val="0"/>
        </w:rPr>
      </w:pPr>
      <w:r w:rsidRPr="00514C11">
        <w:rPr>
          <w:b/>
          <w:color w:val="000000"/>
          <w:kern w:val="0"/>
        </w:rPr>
        <w:t>3.2.</w:t>
      </w:r>
      <w:r w:rsidR="00AB223D" w:rsidRPr="00514C11">
        <w:rPr>
          <w:b/>
          <w:color w:val="000000"/>
          <w:kern w:val="0"/>
        </w:rPr>
        <w:t>2</w:t>
      </w:r>
      <w:r w:rsidRPr="00514C11">
        <w:rPr>
          <w:b/>
          <w:color w:val="000000"/>
          <w:kern w:val="0"/>
        </w:rPr>
        <w:t>.2</w:t>
      </w:r>
      <w:r w:rsidR="001911DE">
        <w:rPr>
          <w:b/>
          <w:color w:val="000000"/>
          <w:kern w:val="0"/>
        </w:rPr>
        <w:t>自基金</w:t>
      </w:r>
      <w:r w:rsidR="001911DE">
        <w:rPr>
          <w:rFonts w:hint="eastAsia"/>
          <w:b/>
          <w:color w:val="000000"/>
          <w:kern w:val="0"/>
        </w:rPr>
        <w:t>合同生效</w:t>
      </w:r>
      <w:r w:rsidRPr="00514C11">
        <w:rPr>
          <w:b/>
          <w:color w:val="000000"/>
          <w:kern w:val="0"/>
        </w:rPr>
        <w:t>以来基金份额累计净值增长率变动及其与同期业绩比较基准收益率变动的比较</w:t>
      </w:r>
    </w:p>
    <w:p w:rsidR="004D770C" w:rsidRPr="00514C11" w:rsidRDefault="004D770C" w:rsidP="00DB1533">
      <w:pPr>
        <w:spacing w:line="360" w:lineRule="auto"/>
        <w:jc w:val="center"/>
        <w:rPr>
          <w:color w:val="000000"/>
        </w:rPr>
      </w:pPr>
      <w:r w:rsidRPr="00514C11">
        <w:rPr>
          <w:color w:val="000000"/>
        </w:rPr>
        <w:t>交银施罗德荣和保本混合型证券投资基金</w:t>
      </w:r>
    </w:p>
    <w:p w:rsidR="004D770C" w:rsidRPr="00514C11" w:rsidRDefault="004D770C" w:rsidP="00DB1533">
      <w:pPr>
        <w:spacing w:line="360" w:lineRule="auto"/>
        <w:jc w:val="center"/>
        <w:rPr>
          <w:color w:val="000000"/>
        </w:rPr>
      </w:pPr>
      <w:r w:rsidRPr="00514C11">
        <w:rPr>
          <w:color w:val="000000"/>
        </w:rPr>
        <w:t>份额累计净值增长率与业绩比较基准收益率历史走势对比图</w:t>
      </w:r>
    </w:p>
    <w:p w:rsidR="004D770C" w:rsidRPr="00514C11" w:rsidRDefault="004D770C" w:rsidP="00DB1533">
      <w:pPr>
        <w:spacing w:line="360" w:lineRule="auto"/>
        <w:jc w:val="center"/>
        <w:rPr>
          <w:color w:val="000000"/>
        </w:rPr>
      </w:pPr>
      <w:r w:rsidRPr="00514C11">
        <w:rPr>
          <w:color w:val="000000"/>
        </w:rPr>
        <w:t>(201</w:t>
      </w:r>
      <w:r w:rsidR="008C38C5">
        <w:rPr>
          <w:color w:val="000000"/>
        </w:rPr>
        <w:t>5</w:t>
      </w:r>
      <w:r w:rsidRPr="00514C11">
        <w:rPr>
          <w:color w:val="000000"/>
        </w:rPr>
        <w:t>年</w:t>
      </w:r>
      <w:r w:rsidR="008C38C5">
        <w:rPr>
          <w:color w:val="000000"/>
        </w:rPr>
        <w:t>5</w:t>
      </w:r>
      <w:r w:rsidRPr="00514C11">
        <w:rPr>
          <w:color w:val="000000"/>
        </w:rPr>
        <w:t>月</w:t>
      </w:r>
      <w:r w:rsidR="008C38C5">
        <w:rPr>
          <w:color w:val="000000"/>
        </w:rPr>
        <w:t>29</w:t>
      </w:r>
      <w:r w:rsidRPr="00514C11">
        <w:rPr>
          <w:color w:val="000000"/>
        </w:rPr>
        <w:t>日</w:t>
      </w:r>
      <w:r w:rsidRPr="00514C11">
        <w:rPr>
          <w:color w:val="000000"/>
        </w:rPr>
        <w:t>-2018</w:t>
      </w:r>
      <w:r w:rsidRPr="00514C11">
        <w:rPr>
          <w:color w:val="000000"/>
        </w:rPr>
        <w:t>年</w:t>
      </w:r>
      <w:r w:rsidRPr="00514C11">
        <w:rPr>
          <w:color w:val="000000"/>
        </w:rPr>
        <w:t>6</w:t>
      </w:r>
      <w:r w:rsidRPr="00514C11">
        <w:rPr>
          <w:color w:val="000000"/>
        </w:rPr>
        <w:t>月</w:t>
      </w:r>
      <w:r w:rsidRPr="00514C11">
        <w:rPr>
          <w:color w:val="000000"/>
        </w:rPr>
        <w:t>1</w:t>
      </w:r>
      <w:r w:rsidRPr="00514C11">
        <w:rPr>
          <w:color w:val="000000"/>
        </w:rPr>
        <w:t>日</w:t>
      </w:r>
      <w:r w:rsidRPr="00514C11">
        <w:rPr>
          <w:color w:val="000000"/>
        </w:rPr>
        <w:t>)</w:t>
      </w:r>
    </w:p>
    <w:p w:rsidR="00AB223D" w:rsidRPr="00514C11" w:rsidRDefault="00AB223D" w:rsidP="00DB1533">
      <w:pPr>
        <w:pStyle w:val="a5"/>
        <w:snapToGrid w:val="0"/>
        <w:spacing w:before="120" w:line="360" w:lineRule="auto"/>
        <w:jc w:val="center"/>
        <w:rPr>
          <w:rFonts w:ascii="Times New Roman" w:eastAsiaTheme="minorEastAsia" w:hAnsi="Times New Roman" w:cs="Times New Roman"/>
          <w:color w:val="000000" w:themeColor="text1"/>
        </w:rPr>
      </w:pPr>
      <w:r w:rsidRPr="00514C11">
        <w:rPr>
          <w:rFonts w:ascii="Times New Roman" w:eastAsiaTheme="minorEastAsia" w:hAnsi="Times New Roman" w:cs="Times New Roman"/>
          <w:noProof/>
          <w:color w:val="000000" w:themeColor="text1"/>
        </w:rPr>
        <w:drawing>
          <wp:inline distT="0" distB="0" distL="0" distR="0">
            <wp:extent cx="5276850" cy="3086100"/>
            <wp:effectExtent l="0" t="0" r="0" b="0"/>
            <wp:docPr id="3" name="图片 3"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D770C" w:rsidRPr="00514C11" w:rsidRDefault="004D770C" w:rsidP="00DB1533">
      <w:pPr>
        <w:tabs>
          <w:tab w:val="left" w:pos="1800"/>
        </w:tabs>
        <w:adjustRightInd w:val="0"/>
        <w:snapToGrid w:val="0"/>
        <w:spacing w:line="360" w:lineRule="auto"/>
        <w:rPr>
          <w:color w:val="000000"/>
        </w:rPr>
      </w:pPr>
      <w:r w:rsidRPr="00514C11">
        <w:rPr>
          <w:color w:val="000000"/>
        </w:rPr>
        <w:t>注：本基金建仓期为自基金合同生效日起的</w:t>
      </w:r>
      <w:r w:rsidRPr="00514C11">
        <w:rPr>
          <w:color w:val="000000"/>
        </w:rPr>
        <w:t>6</w:t>
      </w:r>
      <w:r w:rsidRPr="00514C11">
        <w:rPr>
          <w:color w:val="000000"/>
        </w:rPr>
        <w:t>个月。截至建仓期结束，本基金各项资产配置比例符合基金合同及招募说明书有关投资比例的约定。</w:t>
      </w:r>
    </w:p>
    <w:p w:rsidR="00496743" w:rsidRPr="00DB1533" w:rsidRDefault="00496743" w:rsidP="00DB1533">
      <w:pPr>
        <w:autoSpaceDE w:val="0"/>
        <w:autoSpaceDN w:val="0"/>
        <w:adjustRightInd w:val="0"/>
        <w:spacing w:line="360" w:lineRule="auto"/>
        <w:jc w:val="left"/>
        <w:rPr>
          <w:rFonts w:eastAsiaTheme="minorEastAsia"/>
          <w:color w:val="000000" w:themeColor="text1"/>
        </w:rPr>
      </w:pPr>
    </w:p>
    <w:p w:rsidR="004061AC" w:rsidRPr="00DE44C3" w:rsidRDefault="004061AC" w:rsidP="005452EC">
      <w:pPr>
        <w:pStyle w:val="1"/>
        <w:spacing w:beforeLines="50" w:before="156" w:afterLines="50" w:after="156" w:line="360" w:lineRule="auto"/>
        <w:jc w:val="center"/>
        <w:rPr>
          <w:color w:val="000000"/>
          <w:kern w:val="0"/>
          <w:sz w:val="21"/>
          <w:szCs w:val="21"/>
        </w:rPr>
      </w:pPr>
      <w:r w:rsidRPr="00514C11">
        <w:rPr>
          <w:color w:val="000000"/>
          <w:kern w:val="0"/>
          <w:sz w:val="21"/>
          <w:szCs w:val="21"/>
        </w:rPr>
        <w:t xml:space="preserve">§4  </w:t>
      </w:r>
      <w:r w:rsidRPr="00514C11">
        <w:rPr>
          <w:color w:val="000000"/>
          <w:kern w:val="0"/>
          <w:sz w:val="21"/>
          <w:szCs w:val="21"/>
        </w:rPr>
        <w:t>管理人报告</w:t>
      </w:r>
    </w:p>
    <w:p w:rsidR="00B12B7D" w:rsidRPr="00514C11" w:rsidRDefault="004061AC" w:rsidP="00DB1533">
      <w:pPr>
        <w:pStyle w:val="2"/>
        <w:spacing w:before="0" w:after="0"/>
        <w:rPr>
          <w:rFonts w:ascii="Times New Roman" w:hAnsi="Times New Roman" w:cs="Times New Roman"/>
          <w:b w:val="0"/>
          <w:color w:val="000000"/>
          <w:kern w:val="0"/>
          <w:sz w:val="21"/>
          <w:szCs w:val="21"/>
        </w:rPr>
      </w:pPr>
      <w:r w:rsidRPr="00514C11">
        <w:rPr>
          <w:rFonts w:ascii="Times New Roman" w:hAnsi="Times New Roman" w:cs="Times New Roman"/>
          <w:color w:val="000000"/>
          <w:kern w:val="0"/>
          <w:sz w:val="21"/>
          <w:szCs w:val="21"/>
        </w:rPr>
        <w:t xml:space="preserve">4.1 </w:t>
      </w:r>
      <w:r w:rsidRPr="00514C11">
        <w:rPr>
          <w:rFonts w:ascii="Times New Roman" w:hAnsi="Times New Roman" w:cs="Times New Roman"/>
          <w:color w:val="000000"/>
          <w:kern w:val="0"/>
          <w:sz w:val="21"/>
          <w:szCs w:val="21"/>
        </w:rPr>
        <w:t>基金经理</w:t>
      </w:r>
      <w:r w:rsidR="00D57B7C" w:rsidRPr="00514C11">
        <w:rPr>
          <w:rFonts w:ascii="Times New Roman" w:hAnsi="Times New Roman" w:cs="Times New Roman"/>
          <w:color w:val="000000"/>
          <w:kern w:val="0"/>
          <w:sz w:val="21"/>
          <w:szCs w:val="21"/>
        </w:rPr>
        <w:t>(</w:t>
      </w:r>
      <w:r w:rsidRPr="00514C11">
        <w:rPr>
          <w:rFonts w:ascii="Times New Roman" w:hAnsi="Times New Roman" w:cs="Times New Roman"/>
          <w:color w:val="000000"/>
          <w:kern w:val="0"/>
          <w:sz w:val="21"/>
          <w:szCs w:val="21"/>
        </w:rPr>
        <w:t>或基金经理小组</w:t>
      </w:r>
      <w:r w:rsidR="00D57B7C" w:rsidRPr="00514C11">
        <w:rPr>
          <w:rFonts w:ascii="Times New Roman" w:hAnsi="Times New Roman" w:cs="Times New Roman"/>
          <w:color w:val="000000"/>
          <w:kern w:val="0"/>
          <w:sz w:val="21"/>
          <w:szCs w:val="21"/>
        </w:rPr>
        <w:t>)</w:t>
      </w:r>
      <w:r w:rsidRPr="00514C11">
        <w:rPr>
          <w:rFonts w:ascii="Times New Roman" w:hAnsi="Times New Roman" w:cs="Times New Roman"/>
          <w:color w:val="000000"/>
          <w:kern w:val="0"/>
          <w:sz w:val="21"/>
          <w:szCs w:val="21"/>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220C32" w:rsidRPr="00514C11" w:rsidTr="00B32AA7">
        <w:trPr>
          <w:cantSplit/>
          <w:trHeight w:val="292"/>
        </w:trPr>
        <w:tc>
          <w:tcPr>
            <w:tcW w:w="851" w:type="dxa"/>
            <w:vMerge w:val="restart"/>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姓名</w:t>
            </w:r>
          </w:p>
        </w:tc>
        <w:tc>
          <w:tcPr>
            <w:tcW w:w="850" w:type="dxa"/>
            <w:vMerge w:val="restart"/>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职务</w:t>
            </w:r>
          </w:p>
        </w:tc>
        <w:tc>
          <w:tcPr>
            <w:tcW w:w="3119" w:type="dxa"/>
            <w:gridSpan w:val="2"/>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任本基金的基金经理期限</w:t>
            </w:r>
          </w:p>
        </w:tc>
        <w:tc>
          <w:tcPr>
            <w:tcW w:w="1417" w:type="dxa"/>
            <w:vMerge w:val="restart"/>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证券从业年限</w:t>
            </w:r>
          </w:p>
        </w:tc>
        <w:tc>
          <w:tcPr>
            <w:tcW w:w="2694" w:type="dxa"/>
            <w:vMerge w:val="restart"/>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说明</w:t>
            </w:r>
          </w:p>
        </w:tc>
      </w:tr>
      <w:tr w:rsidR="00220C32" w:rsidRPr="00514C11" w:rsidTr="00B32AA7">
        <w:trPr>
          <w:cantSplit/>
        </w:trPr>
        <w:tc>
          <w:tcPr>
            <w:tcW w:w="851" w:type="dxa"/>
            <w:vMerge/>
            <w:vAlign w:val="center"/>
          </w:tcPr>
          <w:p w:rsidR="004061AC" w:rsidRPr="00514C11" w:rsidRDefault="004061AC" w:rsidP="00DB1533">
            <w:pPr>
              <w:autoSpaceDE w:val="0"/>
              <w:autoSpaceDN w:val="0"/>
              <w:adjustRightInd w:val="0"/>
              <w:spacing w:before="29" w:line="360" w:lineRule="auto"/>
              <w:ind w:left="15"/>
              <w:jc w:val="center"/>
              <w:rPr>
                <w:color w:val="000000"/>
                <w:kern w:val="0"/>
              </w:rPr>
            </w:pPr>
          </w:p>
        </w:tc>
        <w:tc>
          <w:tcPr>
            <w:tcW w:w="850" w:type="dxa"/>
            <w:vMerge/>
            <w:vAlign w:val="center"/>
          </w:tcPr>
          <w:p w:rsidR="004061AC" w:rsidRPr="00514C11" w:rsidRDefault="004061AC" w:rsidP="00DB1533">
            <w:pPr>
              <w:autoSpaceDE w:val="0"/>
              <w:autoSpaceDN w:val="0"/>
              <w:adjustRightInd w:val="0"/>
              <w:spacing w:before="29" w:line="360" w:lineRule="auto"/>
              <w:ind w:left="15"/>
              <w:jc w:val="center"/>
              <w:rPr>
                <w:color w:val="000000"/>
                <w:kern w:val="0"/>
              </w:rPr>
            </w:pPr>
          </w:p>
        </w:tc>
        <w:tc>
          <w:tcPr>
            <w:tcW w:w="1560" w:type="dxa"/>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任职日期</w:t>
            </w:r>
          </w:p>
        </w:tc>
        <w:tc>
          <w:tcPr>
            <w:tcW w:w="1559" w:type="dxa"/>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离任日期</w:t>
            </w:r>
          </w:p>
        </w:tc>
        <w:tc>
          <w:tcPr>
            <w:tcW w:w="1417" w:type="dxa"/>
            <w:vMerge/>
            <w:vAlign w:val="center"/>
          </w:tcPr>
          <w:p w:rsidR="004061AC" w:rsidRPr="00514C11" w:rsidRDefault="004061AC" w:rsidP="00DB1533">
            <w:pPr>
              <w:autoSpaceDE w:val="0"/>
              <w:autoSpaceDN w:val="0"/>
              <w:adjustRightInd w:val="0"/>
              <w:spacing w:before="29" w:line="360" w:lineRule="auto"/>
              <w:ind w:left="15"/>
              <w:jc w:val="center"/>
              <w:rPr>
                <w:color w:val="000000"/>
                <w:kern w:val="0"/>
              </w:rPr>
            </w:pPr>
          </w:p>
        </w:tc>
        <w:tc>
          <w:tcPr>
            <w:tcW w:w="2694" w:type="dxa"/>
            <w:vMerge/>
            <w:vAlign w:val="center"/>
          </w:tcPr>
          <w:p w:rsidR="004061AC" w:rsidRPr="00514C11" w:rsidRDefault="004061AC" w:rsidP="00DB1533">
            <w:pPr>
              <w:autoSpaceDE w:val="0"/>
              <w:autoSpaceDN w:val="0"/>
              <w:adjustRightInd w:val="0"/>
              <w:spacing w:before="29" w:line="360" w:lineRule="auto"/>
              <w:ind w:left="15"/>
              <w:jc w:val="center"/>
              <w:rPr>
                <w:color w:val="000000"/>
                <w:kern w:val="0"/>
              </w:rPr>
            </w:pPr>
          </w:p>
        </w:tc>
      </w:tr>
      <w:tr w:rsidR="00077707">
        <w:tc>
          <w:tcPr>
            <w:tcW w:w="851" w:type="dxa"/>
            <w:vAlign w:val="center"/>
          </w:tcPr>
          <w:p w:rsidR="00077707" w:rsidRDefault="00852D50">
            <w:pPr>
              <w:jc w:val="center"/>
            </w:pPr>
            <w:r>
              <w:rPr>
                <w:color w:val="000000"/>
                <w:kern w:val="0"/>
              </w:rPr>
              <w:t>王少成</w:t>
            </w:r>
          </w:p>
        </w:tc>
        <w:tc>
          <w:tcPr>
            <w:tcW w:w="850" w:type="dxa"/>
            <w:vAlign w:val="center"/>
          </w:tcPr>
          <w:p w:rsidR="00077707" w:rsidRDefault="00852D50" w:rsidP="00ED0AE3">
            <w:pPr>
              <w:jc w:val="center"/>
            </w:pPr>
            <w:r>
              <w:rPr>
                <w:color w:val="000000"/>
                <w:kern w:val="0"/>
              </w:rPr>
              <w:t>交银成长混合、交银策略回报灵活配置混合、交银成长</w:t>
            </w:r>
            <w:r>
              <w:rPr>
                <w:color w:val="000000"/>
                <w:kern w:val="0"/>
              </w:rPr>
              <w:t>30</w:t>
            </w:r>
            <w:r>
              <w:rPr>
                <w:color w:val="000000"/>
                <w:kern w:val="0"/>
              </w:rPr>
              <w:t>混合、交银</w:t>
            </w:r>
            <w:r w:rsidR="00ED0AE3">
              <w:rPr>
                <w:rFonts w:hint="eastAsia"/>
                <w:color w:val="000000"/>
                <w:kern w:val="0"/>
              </w:rPr>
              <w:t>荣和保本</w:t>
            </w:r>
            <w:r>
              <w:rPr>
                <w:color w:val="000000"/>
                <w:kern w:val="0"/>
              </w:rPr>
              <w:t>的基金经理，公司权益投资总监</w:t>
            </w:r>
          </w:p>
        </w:tc>
        <w:tc>
          <w:tcPr>
            <w:tcW w:w="1560" w:type="dxa"/>
            <w:vAlign w:val="center"/>
          </w:tcPr>
          <w:p w:rsidR="00077707" w:rsidRDefault="00852D50">
            <w:pPr>
              <w:jc w:val="center"/>
            </w:pPr>
            <w:r>
              <w:rPr>
                <w:color w:val="000000"/>
                <w:kern w:val="0"/>
              </w:rPr>
              <w:t>2015-11-07</w:t>
            </w:r>
          </w:p>
        </w:tc>
        <w:tc>
          <w:tcPr>
            <w:tcW w:w="1559" w:type="dxa"/>
            <w:vAlign w:val="center"/>
          </w:tcPr>
          <w:p w:rsidR="00077707" w:rsidRDefault="00852D50">
            <w:pPr>
              <w:jc w:val="center"/>
            </w:pPr>
            <w:r>
              <w:rPr>
                <w:color w:val="000000"/>
                <w:kern w:val="0"/>
              </w:rPr>
              <w:t>2018-05-16</w:t>
            </w:r>
          </w:p>
        </w:tc>
        <w:tc>
          <w:tcPr>
            <w:tcW w:w="1417" w:type="dxa"/>
            <w:vAlign w:val="center"/>
          </w:tcPr>
          <w:p w:rsidR="00077707" w:rsidRDefault="00852D50">
            <w:pPr>
              <w:jc w:val="center"/>
            </w:pPr>
            <w:r>
              <w:rPr>
                <w:color w:val="000000"/>
                <w:kern w:val="0"/>
              </w:rPr>
              <w:t>14</w:t>
            </w:r>
            <w:r>
              <w:rPr>
                <w:color w:val="000000"/>
                <w:kern w:val="0"/>
              </w:rPr>
              <w:t>年</w:t>
            </w:r>
          </w:p>
        </w:tc>
        <w:tc>
          <w:tcPr>
            <w:tcW w:w="2694" w:type="dxa"/>
            <w:vAlign w:val="center"/>
          </w:tcPr>
          <w:p w:rsidR="00077707" w:rsidRDefault="00852D50">
            <w:r>
              <w:rPr>
                <w:color w:val="000000"/>
                <w:kern w:val="0"/>
              </w:rPr>
              <w:t>王少成先生，复旦大学硕士学历。历任上海融昌资产管理公司研究员，中原证券投资经理，信诚基金管理有限公司研究总监助理，东吴基金管理有限公司投资经理、基金经理、投资部副总经理。其中</w:t>
            </w:r>
            <w:r>
              <w:rPr>
                <w:color w:val="000000"/>
                <w:kern w:val="0"/>
              </w:rPr>
              <w:t>2010</w:t>
            </w:r>
            <w:r>
              <w:rPr>
                <w:color w:val="000000"/>
                <w:kern w:val="0"/>
              </w:rPr>
              <w:t>年</w:t>
            </w:r>
            <w:r>
              <w:rPr>
                <w:color w:val="000000"/>
                <w:kern w:val="0"/>
              </w:rPr>
              <w:t>9</w:t>
            </w:r>
            <w:r>
              <w:rPr>
                <w:color w:val="000000"/>
                <w:kern w:val="0"/>
              </w:rPr>
              <w:t>月至</w:t>
            </w:r>
            <w:r>
              <w:rPr>
                <w:color w:val="000000"/>
                <w:kern w:val="0"/>
              </w:rPr>
              <w:t>2012</w:t>
            </w:r>
            <w:r>
              <w:rPr>
                <w:color w:val="000000"/>
                <w:kern w:val="0"/>
              </w:rPr>
              <w:t>年</w:t>
            </w:r>
            <w:r>
              <w:rPr>
                <w:color w:val="000000"/>
                <w:kern w:val="0"/>
              </w:rPr>
              <w:t>10</w:t>
            </w:r>
            <w:r>
              <w:rPr>
                <w:color w:val="000000"/>
                <w:kern w:val="0"/>
              </w:rPr>
              <w:t>月担任东吴新创业股票型证券投资基金基金经理，</w:t>
            </w:r>
            <w:r>
              <w:rPr>
                <w:color w:val="000000"/>
                <w:kern w:val="0"/>
              </w:rPr>
              <w:t>2011</w:t>
            </w:r>
            <w:r>
              <w:rPr>
                <w:color w:val="000000"/>
                <w:kern w:val="0"/>
              </w:rPr>
              <w:t>年</w:t>
            </w:r>
            <w:r>
              <w:rPr>
                <w:color w:val="000000"/>
                <w:kern w:val="0"/>
              </w:rPr>
              <w:t>2</w:t>
            </w:r>
            <w:r>
              <w:rPr>
                <w:color w:val="000000"/>
                <w:kern w:val="0"/>
              </w:rPr>
              <w:t>月至</w:t>
            </w:r>
            <w:r>
              <w:rPr>
                <w:color w:val="000000"/>
                <w:kern w:val="0"/>
              </w:rPr>
              <w:t>2012</w:t>
            </w:r>
            <w:r>
              <w:rPr>
                <w:color w:val="000000"/>
                <w:kern w:val="0"/>
              </w:rPr>
              <w:t>年</w:t>
            </w:r>
            <w:r>
              <w:rPr>
                <w:color w:val="000000"/>
                <w:kern w:val="0"/>
              </w:rPr>
              <w:t>11</w:t>
            </w:r>
            <w:r>
              <w:rPr>
                <w:color w:val="000000"/>
                <w:kern w:val="0"/>
              </w:rPr>
              <w:t>月担任东吴中证新兴产业指数证券投资基金基金经理，</w:t>
            </w:r>
            <w:r>
              <w:rPr>
                <w:color w:val="000000"/>
                <w:kern w:val="0"/>
              </w:rPr>
              <w:t>2011</w:t>
            </w:r>
            <w:r>
              <w:rPr>
                <w:color w:val="000000"/>
                <w:kern w:val="0"/>
              </w:rPr>
              <w:t>年</w:t>
            </w:r>
            <w:r>
              <w:rPr>
                <w:color w:val="000000"/>
                <w:kern w:val="0"/>
              </w:rPr>
              <w:t>5</w:t>
            </w:r>
            <w:r>
              <w:rPr>
                <w:color w:val="000000"/>
                <w:kern w:val="0"/>
              </w:rPr>
              <w:t>月至</w:t>
            </w:r>
            <w:r>
              <w:rPr>
                <w:color w:val="000000"/>
                <w:kern w:val="0"/>
              </w:rPr>
              <w:t>2012</w:t>
            </w:r>
            <w:r>
              <w:rPr>
                <w:color w:val="000000"/>
                <w:kern w:val="0"/>
              </w:rPr>
              <w:t>年</w:t>
            </w:r>
            <w:r>
              <w:rPr>
                <w:color w:val="000000"/>
                <w:kern w:val="0"/>
              </w:rPr>
              <w:t>11</w:t>
            </w:r>
            <w:r>
              <w:rPr>
                <w:color w:val="000000"/>
                <w:kern w:val="0"/>
              </w:rPr>
              <w:t>月担任东吴价值成长双动力股票型证券投资基金基金经理。</w:t>
            </w:r>
            <w:r>
              <w:rPr>
                <w:color w:val="000000"/>
                <w:kern w:val="0"/>
              </w:rPr>
              <w:t>2012</w:t>
            </w:r>
            <w:r>
              <w:rPr>
                <w:color w:val="000000"/>
                <w:kern w:val="0"/>
              </w:rPr>
              <w:t>年加入交银施罗德基金管理有限公司，历任公司权益部副总经理。</w:t>
            </w:r>
            <w:r>
              <w:rPr>
                <w:color w:val="000000"/>
                <w:kern w:val="0"/>
              </w:rPr>
              <w:t>2013</w:t>
            </w:r>
            <w:r>
              <w:rPr>
                <w:color w:val="000000"/>
                <w:kern w:val="0"/>
              </w:rPr>
              <w:t>年</w:t>
            </w:r>
            <w:r>
              <w:rPr>
                <w:color w:val="000000"/>
                <w:kern w:val="0"/>
              </w:rPr>
              <w:t>3</w:t>
            </w:r>
            <w:r>
              <w:rPr>
                <w:color w:val="000000"/>
                <w:kern w:val="0"/>
              </w:rPr>
              <w:t>月</w:t>
            </w:r>
            <w:r>
              <w:rPr>
                <w:color w:val="000000"/>
                <w:kern w:val="0"/>
              </w:rPr>
              <w:t>21</w:t>
            </w:r>
            <w:r>
              <w:rPr>
                <w:color w:val="000000"/>
                <w:kern w:val="0"/>
              </w:rPr>
              <w:t>日至</w:t>
            </w:r>
            <w:r>
              <w:rPr>
                <w:color w:val="000000"/>
                <w:kern w:val="0"/>
              </w:rPr>
              <w:t>2015</w:t>
            </w:r>
            <w:r>
              <w:rPr>
                <w:color w:val="000000"/>
                <w:kern w:val="0"/>
              </w:rPr>
              <w:t>年</w:t>
            </w:r>
            <w:r>
              <w:rPr>
                <w:color w:val="000000"/>
                <w:kern w:val="0"/>
              </w:rPr>
              <w:t>8</w:t>
            </w:r>
            <w:r>
              <w:rPr>
                <w:color w:val="000000"/>
                <w:kern w:val="0"/>
              </w:rPr>
              <w:t>月</w:t>
            </w:r>
            <w:r>
              <w:rPr>
                <w:color w:val="000000"/>
                <w:kern w:val="0"/>
              </w:rPr>
              <w:t>14</w:t>
            </w:r>
            <w:r>
              <w:rPr>
                <w:color w:val="000000"/>
                <w:kern w:val="0"/>
              </w:rPr>
              <w:t>日担任交银施罗德先进制造混合型证券投资基金（原交银施罗德先进制造股票证券投资基金）基金经理，</w:t>
            </w:r>
            <w:r>
              <w:rPr>
                <w:color w:val="000000"/>
                <w:kern w:val="0"/>
              </w:rPr>
              <w:t>2013</w:t>
            </w:r>
            <w:r>
              <w:rPr>
                <w:color w:val="000000"/>
                <w:kern w:val="0"/>
              </w:rPr>
              <w:t>年</w:t>
            </w:r>
            <w:r>
              <w:rPr>
                <w:color w:val="000000"/>
                <w:kern w:val="0"/>
              </w:rPr>
              <w:t>5</w:t>
            </w:r>
            <w:r>
              <w:rPr>
                <w:color w:val="000000"/>
                <w:kern w:val="0"/>
              </w:rPr>
              <w:t>月</w:t>
            </w:r>
            <w:r>
              <w:rPr>
                <w:color w:val="000000"/>
                <w:kern w:val="0"/>
              </w:rPr>
              <w:t>29</w:t>
            </w:r>
            <w:r>
              <w:rPr>
                <w:color w:val="000000"/>
                <w:kern w:val="0"/>
              </w:rPr>
              <w:t>日至</w:t>
            </w:r>
            <w:r>
              <w:rPr>
                <w:color w:val="000000"/>
                <w:kern w:val="0"/>
              </w:rPr>
              <w:t>2015</w:t>
            </w:r>
            <w:r>
              <w:rPr>
                <w:color w:val="000000"/>
                <w:kern w:val="0"/>
              </w:rPr>
              <w:t>年</w:t>
            </w:r>
            <w:r>
              <w:rPr>
                <w:color w:val="000000"/>
                <w:kern w:val="0"/>
              </w:rPr>
              <w:t>8</w:t>
            </w:r>
            <w:r>
              <w:rPr>
                <w:color w:val="000000"/>
                <w:kern w:val="0"/>
              </w:rPr>
              <w:t>月</w:t>
            </w:r>
            <w:r>
              <w:rPr>
                <w:color w:val="000000"/>
                <w:kern w:val="0"/>
              </w:rPr>
              <w:t>14</w:t>
            </w:r>
            <w:r>
              <w:rPr>
                <w:color w:val="000000"/>
                <w:kern w:val="0"/>
              </w:rPr>
              <w:t>日担任交银施罗德先锋混合型证券投资基金（原交银施罗德先锋股票证券投资基金）基金经理，</w:t>
            </w:r>
            <w:r>
              <w:rPr>
                <w:color w:val="000000"/>
                <w:kern w:val="0"/>
              </w:rPr>
              <w:t>2015</w:t>
            </w:r>
            <w:r>
              <w:rPr>
                <w:color w:val="000000"/>
                <w:kern w:val="0"/>
              </w:rPr>
              <w:t>年</w:t>
            </w:r>
            <w:r>
              <w:rPr>
                <w:color w:val="000000"/>
                <w:kern w:val="0"/>
              </w:rPr>
              <w:t>11</w:t>
            </w:r>
            <w:r>
              <w:rPr>
                <w:color w:val="000000"/>
                <w:kern w:val="0"/>
              </w:rPr>
              <w:t>月</w:t>
            </w:r>
            <w:r>
              <w:rPr>
                <w:color w:val="000000"/>
                <w:kern w:val="0"/>
              </w:rPr>
              <w:t>7</w:t>
            </w:r>
            <w:r>
              <w:rPr>
                <w:color w:val="000000"/>
                <w:kern w:val="0"/>
              </w:rPr>
              <w:t>日至</w:t>
            </w:r>
            <w:r>
              <w:rPr>
                <w:color w:val="000000"/>
                <w:kern w:val="0"/>
              </w:rPr>
              <w:t>2018</w:t>
            </w:r>
            <w:r>
              <w:rPr>
                <w:color w:val="000000"/>
                <w:kern w:val="0"/>
              </w:rPr>
              <w:t>年</w:t>
            </w:r>
            <w:r>
              <w:rPr>
                <w:color w:val="000000"/>
                <w:kern w:val="0"/>
              </w:rPr>
              <w:t>5</w:t>
            </w:r>
            <w:r>
              <w:rPr>
                <w:color w:val="000000"/>
                <w:kern w:val="0"/>
              </w:rPr>
              <w:t>月</w:t>
            </w:r>
            <w:r>
              <w:rPr>
                <w:color w:val="000000"/>
                <w:kern w:val="0"/>
              </w:rPr>
              <w:t>15</w:t>
            </w:r>
            <w:r>
              <w:rPr>
                <w:color w:val="000000"/>
                <w:kern w:val="0"/>
              </w:rPr>
              <w:t>日担任交银施罗德荣和保本混合型证券投资基金的基金经理，</w:t>
            </w:r>
            <w:r>
              <w:rPr>
                <w:color w:val="000000"/>
                <w:kern w:val="0"/>
              </w:rPr>
              <w:t>2015</w:t>
            </w:r>
            <w:r>
              <w:rPr>
                <w:color w:val="000000"/>
                <w:kern w:val="0"/>
              </w:rPr>
              <w:t>年</w:t>
            </w:r>
            <w:r>
              <w:rPr>
                <w:color w:val="000000"/>
                <w:kern w:val="0"/>
              </w:rPr>
              <w:t>11</w:t>
            </w:r>
            <w:r>
              <w:rPr>
                <w:color w:val="000000"/>
                <w:kern w:val="0"/>
              </w:rPr>
              <w:t>月</w:t>
            </w:r>
            <w:r>
              <w:rPr>
                <w:color w:val="000000"/>
                <w:kern w:val="0"/>
              </w:rPr>
              <w:t>7</w:t>
            </w:r>
            <w:r>
              <w:rPr>
                <w:color w:val="000000"/>
                <w:kern w:val="0"/>
              </w:rPr>
              <w:t>日至</w:t>
            </w:r>
            <w:r>
              <w:rPr>
                <w:color w:val="000000"/>
                <w:kern w:val="0"/>
              </w:rPr>
              <w:t>2018</w:t>
            </w:r>
            <w:r>
              <w:rPr>
                <w:color w:val="000000"/>
                <w:kern w:val="0"/>
              </w:rPr>
              <w:t>年</w:t>
            </w:r>
            <w:r>
              <w:rPr>
                <w:color w:val="000000"/>
                <w:kern w:val="0"/>
              </w:rPr>
              <w:t>6</w:t>
            </w:r>
            <w:r>
              <w:rPr>
                <w:color w:val="000000"/>
                <w:kern w:val="0"/>
              </w:rPr>
              <w:t>月</w:t>
            </w:r>
            <w:r>
              <w:rPr>
                <w:color w:val="000000"/>
                <w:kern w:val="0"/>
              </w:rPr>
              <w:t>7</w:t>
            </w:r>
            <w:r>
              <w:rPr>
                <w:color w:val="000000"/>
                <w:kern w:val="0"/>
              </w:rPr>
              <w:t>日担任交银施罗德策略回报灵活配置混合型证券投资基金的基金经理。</w:t>
            </w:r>
          </w:p>
        </w:tc>
      </w:tr>
      <w:tr w:rsidR="00077707">
        <w:tc>
          <w:tcPr>
            <w:tcW w:w="851" w:type="dxa"/>
            <w:vAlign w:val="center"/>
          </w:tcPr>
          <w:p w:rsidR="00077707" w:rsidRDefault="00852D50">
            <w:pPr>
              <w:jc w:val="center"/>
            </w:pPr>
            <w:r>
              <w:rPr>
                <w:color w:val="000000"/>
                <w:kern w:val="0"/>
              </w:rPr>
              <w:t>唐赟</w:t>
            </w:r>
          </w:p>
        </w:tc>
        <w:tc>
          <w:tcPr>
            <w:tcW w:w="850" w:type="dxa"/>
            <w:vAlign w:val="center"/>
          </w:tcPr>
          <w:p w:rsidR="00077707" w:rsidRDefault="00852D50">
            <w:pPr>
              <w:jc w:val="center"/>
            </w:pPr>
            <w:r>
              <w:rPr>
                <w:color w:val="000000"/>
                <w:kern w:val="0"/>
              </w:rPr>
              <w:t>交银信用添利债券</w:t>
            </w:r>
            <w:r>
              <w:rPr>
                <w:color w:val="000000"/>
                <w:kern w:val="0"/>
              </w:rPr>
              <w:t>(LOF)</w:t>
            </w:r>
            <w:r>
              <w:rPr>
                <w:color w:val="000000"/>
                <w:kern w:val="0"/>
              </w:rPr>
              <w:t>、交银双利债券、交银双轮动债券、交银裕通纯债债券、交银安心收益债券的基金经理</w:t>
            </w:r>
          </w:p>
        </w:tc>
        <w:tc>
          <w:tcPr>
            <w:tcW w:w="1560" w:type="dxa"/>
            <w:vAlign w:val="center"/>
          </w:tcPr>
          <w:p w:rsidR="00077707" w:rsidRDefault="00852D50">
            <w:pPr>
              <w:jc w:val="center"/>
            </w:pPr>
            <w:r>
              <w:rPr>
                <w:color w:val="000000"/>
                <w:kern w:val="0"/>
              </w:rPr>
              <w:t>2015-11-07</w:t>
            </w:r>
          </w:p>
        </w:tc>
        <w:tc>
          <w:tcPr>
            <w:tcW w:w="1559" w:type="dxa"/>
            <w:vAlign w:val="center"/>
          </w:tcPr>
          <w:p w:rsidR="00077707" w:rsidRDefault="00852D50">
            <w:pPr>
              <w:jc w:val="center"/>
            </w:pPr>
            <w:r>
              <w:rPr>
                <w:color w:val="000000"/>
                <w:kern w:val="0"/>
              </w:rPr>
              <w:t>-</w:t>
            </w:r>
          </w:p>
        </w:tc>
        <w:tc>
          <w:tcPr>
            <w:tcW w:w="1417" w:type="dxa"/>
            <w:vAlign w:val="center"/>
          </w:tcPr>
          <w:p w:rsidR="00077707" w:rsidRDefault="00852D50">
            <w:pPr>
              <w:jc w:val="center"/>
            </w:pPr>
            <w:r>
              <w:rPr>
                <w:color w:val="000000"/>
                <w:kern w:val="0"/>
              </w:rPr>
              <w:t>6</w:t>
            </w:r>
            <w:r>
              <w:rPr>
                <w:color w:val="000000"/>
                <w:kern w:val="0"/>
              </w:rPr>
              <w:t>年</w:t>
            </w:r>
          </w:p>
        </w:tc>
        <w:tc>
          <w:tcPr>
            <w:tcW w:w="2694" w:type="dxa"/>
            <w:vAlign w:val="center"/>
          </w:tcPr>
          <w:p w:rsidR="00077707" w:rsidRDefault="00852D50" w:rsidP="00B125F0">
            <w:r>
              <w:rPr>
                <w:color w:val="000000"/>
                <w:kern w:val="0"/>
              </w:rPr>
              <w:t>唐赟先生，香港城市大学电子工程硕士。历任渣打银行环球企业部助理客户经理、平安资产管理公司信用分析员。</w:t>
            </w:r>
            <w:r>
              <w:rPr>
                <w:color w:val="000000"/>
                <w:kern w:val="0"/>
              </w:rPr>
              <w:t>2012</w:t>
            </w:r>
            <w:r>
              <w:rPr>
                <w:color w:val="000000"/>
                <w:kern w:val="0"/>
              </w:rPr>
              <w:t>年加入交银施罗德基金管理有限公司，历任固定收益研究员、基金经理助理。</w:t>
            </w:r>
            <w:r>
              <w:rPr>
                <w:color w:val="000000"/>
                <w:kern w:val="0"/>
              </w:rPr>
              <w:t>2015</w:t>
            </w:r>
            <w:r>
              <w:rPr>
                <w:color w:val="000000"/>
                <w:kern w:val="0"/>
              </w:rPr>
              <w:t>年</w:t>
            </w:r>
            <w:r>
              <w:rPr>
                <w:color w:val="000000"/>
                <w:kern w:val="0"/>
              </w:rPr>
              <w:t>11</w:t>
            </w:r>
            <w:r>
              <w:rPr>
                <w:color w:val="000000"/>
                <w:kern w:val="0"/>
              </w:rPr>
              <w:t>月</w:t>
            </w:r>
            <w:r>
              <w:rPr>
                <w:color w:val="000000"/>
                <w:kern w:val="0"/>
              </w:rPr>
              <w:t>7</w:t>
            </w:r>
            <w:r>
              <w:rPr>
                <w:color w:val="000000"/>
                <w:kern w:val="0"/>
              </w:rPr>
              <w:t>日至</w:t>
            </w:r>
            <w:r>
              <w:rPr>
                <w:color w:val="000000"/>
                <w:kern w:val="0"/>
              </w:rPr>
              <w:t>2018</w:t>
            </w:r>
            <w:r>
              <w:rPr>
                <w:color w:val="000000"/>
                <w:kern w:val="0"/>
              </w:rPr>
              <w:t>年</w:t>
            </w:r>
            <w:r>
              <w:rPr>
                <w:color w:val="000000"/>
                <w:kern w:val="0"/>
              </w:rPr>
              <w:t>6</w:t>
            </w:r>
            <w:r>
              <w:rPr>
                <w:color w:val="000000"/>
                <w:kern w:val="0"/>
              </w:rPr>
              <w:t>月</w:t>
            </w:r>
            <w:r>
              <w:rPr>
                <w:color w:val="000000"/>
                <w:kern w:val="0"/>
              </w:rPr>
              <w:t>1</w:t>
            </w:r>
            <w:r>
              <w:rPr>
                <w:color w:val="000000"/>
                <w:kern w:val="0"/>
              </w:rPr>
              <w:t>日担任</w:t>
            </w:r>
            <w:r w:rsidR="00ED0AE3">
              <w:rPr>
                <w:rFonts w:hint="eastAsia"/>
                <w:color w:val="000000"/>
                <w:kern w:val="0"/>
              </w:rPr>
              <w:t>转型前</w:t>
            </w:r>
            <w:r w:rsidR="00ED0AE3">
              <w:rPr>
                <w:color w:val="000000"/>
                <w:kern w:val="0"/>
              </w:rPr>
              <w:t>的</w:t>
            </w:r>
            <w:r>
              <w:rPr>
                <w:color w:val="000000"/>
                <w:kern w:val="0"/>
              </w:rPr>
              <w:t>交银施罗德荣和保本混合型证券投资基金的基金经理。</w:t>
            </w:r>
          </w:p>
        </w:tc>
      </w:tr>
    </w:tbl>
    <w:p w:rsidR="004061AC" w:rsidRDefault="004061AC" w:rsidP="00DB1533">
      <w:pPr>
        <w:autoSpaceDE w:val="0"/>
        <w:autoSpaceDN w:val="0"/>
        <w:adjustRightInd w:val="0"/>
        <w:spacing w:before="29" w:line="360" w:lineRule="auto"/>
        <w:jc w:val="left"/>
        <w:rPr>
          <w:color w:val="000000"/>
        </w:rPr>
      </w:pPr>
      <w:r w:rsidRPr="00514C11">
        <w:rPr>
          <w:color w:val="000000"/>
        </w:rPr>
        <w:t>注：基金经理（或基金经理小组）期后变动（如有）敬请关注基金管理人发布的相关公告。</w:t>
      </w:r>
    </w:p>
    <w:p w:rsidR="00AC39FD" w:rsidRPr="00514C11" w:rsidRDefault="00AC39FD" w:rsidP="00DB1533">
      <w:pPr>
        <w:autoSpaceDE w:val="0"/>
        <w:autoSpaceDN w:val="0"/>
        <w:adjustRightInd w:val="0"/>
        <w:spacing w:before="29" w:line="360" w:lineRule="auto"/>
        <w:jc w:val="left"/>
        <w:rPr>
          <w:color w:val="000000"/>
        </w:rPr>
      </w:pPr>
    </w:p>
    <w:p w:rsidR="004061AC" w:rsidRPr="008B304A" w:rsidRDefault="004061AC" w:rsidP="00DB1533">
      <w:pPr>
        <w:pStyle w:val="2"/>
        <w:spacing w:before="0" w:after="0"/>
        <w:rPr>
          <w:rFonts w:ascii="Times New Roman" w:hAnsi="Times New Roman" w:cs="Times New Roman"/>
          <w:color w:val="000000"/>
          <w:kern w:val="0"/>
          <w:sz w:val="21"/>
          <w:szCs w:val="21"/>
        </w:rPr>
      </w:pPr>
      <w:r w:rsidRPr="00514C11">
        <w:rPr>
          <w:rFonts w:ascii="Times New Roman" w:hAnsi="Times New Roman" w:cs="Times New Roman"/>
          <w:color w:val="000000"/>
          <w:kern w:val="0"/>
          <w:sz w:val="21"/>
          <w:szCs w:val="21"/>
        </w:rPr>
        <w:t xml:space="preserve">4.2 </w:t>
      </w:r>
      <w:r w:rsidRPr="00514C11">
        <w:rPr>
          <w:rFonts w:ascii="Times New Roman" w:hAnsi="Times New Roman" w:cs="Times New Roman"/>
          <w:color w:val="000000"/>
          <w:kern w:val="0"/>
          <w:sz w:val="21"/>
          <w:szCs w:val="21"/>
        </w:rPr>
        <w:t>管理人对报告期内本基金运作遵规守信情况的说明</w:t>
      </w:r>
    </w:p>
    <w:p w:rsidR="004061AC" w:rsidRDefault="004061AC" w:rsidP="00DB1533">
      <w:pPr>
        <w:spacing w:line="360" w:lineRule="auto"/>
        <w:ind w:firstLineChars="200" w:firstLine="420"/>
        <w:rPr>
          <w:color w:val="000000"/>
        </w:rPr>
      </w:pPr>
      <w:r w:rsidRPr="00514C11">
        <w:rPr>
          <w:color w:val="000000"/>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AC39FD" w:rsidRPr="00514C11" w:rsidRDefault="00AC39FD" w:rsidP="00DB1533">
      <w:pPr>
        <w:spacing w:line="360" w:lineRule="auto"/>
        <w:ind w:firstLineChars="200" w:firstLine="420"/>
        <w:rPr>
          <w:rFonts w:eastAsiaTheme="minorEastAsia"/>
          <w:color w:val="000000" w:themeColor="text1"/>
        </w:rPr>
      </w:pPr>
    </w:p>
    <w:p w:rsidR="004061AC" w:rsidRPr="008B304A" w:rsidRDefault="004061AC" w:rsidP="00DB1533">
      <w:pPr>
        <w:pStyle w:val="2"/>
        <w:spacing w:before="0" w:after="0"/>
        <w:rPr>
          <w:rFonts w:ascii="Times New Roman" w:hAnsi="Times New Roman" w:cs="Times New Roman"/>
          <w:color w:val="000000"/>
          <w:kern w:val="0"/>
          <w:sz w:val="21"/>
          <w:szCs w:val="21"/>
        </w:rPr>
      </w:pPr>
      <w:r w:rsidRPr="00514C11">
        <w:rPr>
          <w:rFonts w:ascii="Times New Roman" w:hAnsi="Times New Roman" w:cs="Times New Roman"/>
          <w:color w:val="000000"/>
          <w:kern w:val="0"/>
          <w:sz w:val="21"/>
          <w:szCs w:val="21"/>
        </w:rPr>
        <w:t xml:space="preserve">4.3 </w:t>
      </w:r>
      <w:r w:rsidRPr="00514C11">
        <w:rPr>
          <w:rFonts w:ascii="Times New Roman" w:hAnsi="Times New Roman" w:cs="Times New Roman"/>
          <w:color w:val="000000"/>
          <w:kern w:val="0"/>
          <w:sz w:val="21"/>
          <w:szCs w:val="21"/>
        </w:rPr>
        <w:t>公平交易专项说明</w:t>
      </w:r>
    </w:p>
    <w:p w:rsidR="004061AC" w:rsidRPr="00DE2966" w:rsidRDefault="004061AC" w:rsidP="00DB1533">
      <w:pPr>
        <w:autoSpaceDE w:val="0"/>
        <w:autoSpaceDN w:val="0"/>
        <w:adjustRightInd w:val="0"/>
        <w:spacing w:before="29" w:line="360" w:lineRule="auto"/>
        <w:ind w:left="15"/>
        <w:jc w:val="left"/>
        <w:rPr>
          <w:color w:val="000000"/>
          <w:kern w:val="0"/>
        </w:rPr>
      </w:pPr>
      <w:r w:rsidRPr="00DE2966">
        <w:rPr>
          <w:color w:val="000000"/>
          <w:kern w:val="0"/>
        </w:rPr>
        <w:t xml:space="preserve">4.3.1 </w:t>
      </w:r>
      <w:r w:rsidRPr="00DE2966">
        <w:rPr>
          <w:color w:val="000000"/>
          <w:kern w:val="0"/>
        </w:rPr>
        <w:t>公平交易制度的执行情况</w:t>
      </w:r>
    </w:p>
    <w:p w:rsidR="00077707" w:rsidRDefault="00852D50">
      <w:pPr>
        <w:adjustRightInd w:val="0"/>
        <w:spacing w:before="30" w:line="360" w:lineRule="auto"/>
        <w:ind w:firstLineChars="200" w:firstLine="420"/>
        <w:rPr>
          <w:color w:val="000000"/>
        </w:rPr>
      </w:pPr>
      <w:r>
        <w:rPr>
          <w:color w:val="000000"/>
        </w:rPr>
        <w:t>本公司制定了严格的投资控制制度和公平交易监控制度来保证旗下基金运作的公平，旗下所管理的所有资产组合，包括证券投资基金和特定客户资产管理专户均严格遵循制度进行公平交易。</w:t>
      </w:r>
    </w:p>
    <w:p w:rsidR="00077707" w:rsidRDefault="00852D50">
      <w:pPr>
        <w:adjustRightInd w:val="0"/>
        <w:spacing w:before="30" w:line="360" w:lineRule="auto"/>
        <w:ind w:firstLineChars="200" w:firstLine="420"/>
        <w:rPr>
          <w:color w:val="000000"/>
        </w:rPr>
      </w:pPr>
      <w:r>
        <w:rPr>
          <w:color w:val="000000"/>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rPr>
        <w:t>“</w:t>
      </w:r>
      <w:r>
        <w:rPr>
          <w:color w:val="000000"/>
        </w:rPr>
        <w:t>时间优先、价格优先、比例分配</w:t>
      </w:r>
      <w:r>
        <w:rPr>
          <w:color w:val="000000"/>
        </w:rPr>
        <w:t>”</w:t>
      </w:r>
      <w:r>
        <w:rPr>
          <w:color w:val="000000"/>
        </w:rPr>
        <w:t>的原则，全部通过交易系统进行比例分配；对于非集中竞价交易、以公司名义进行的场外交易，遵循</w:t>
      </w:r>
      <w:r>
        <w:rPr>
          <w:color w:val="000000"/>
        </w:rPr>
        <w:t>“</w:t>
      </w:r>
      <w:r>
        <w:rPr>
          <w:color w:val="000000"/>
        </w:rPr>
        <w:t>价格优先、比例分配</w:t>
      </w:r>
      <w:r>
        <w:rPr>
          <w:color w:val="000000"/>
        </w:rPr>
        <w:t>”</w:t>
      </w:r>
      <w:r>
        <w:rPr>
          <w:color w:val="000000"/>
        </w:rPr>
        <w:t>的原则按事前独立确定的投资方案对交易结果进行分配。</w:t>
      </w:r>
    </w:p>
    <w:p w:rsidR="00077707" w:rsidRDefault="00852D50">
      <w:pPr>
        <w:adjustRightInd w:val="0"/>
        <w:spacing w:before="30" w:line="360" w:lineRule="auto"/>
        <w:ind w:firstLineChars="200" w:firstLine="420"/>
        <w:rPr>
          <w:color w:val="000000"/>
        </w:rPr>
      </w:pPr>
      <w:r>
        <w:rPr>
          <w:color w:val="000000"/>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514C11" w:rsidRDefault="004061AC" w:rsidP="00DB1533">
      <w:pPr>
        <w:adjustRightInd w:val="0"/>
        <w:spacing w:before="30" w:line="360" w:lineRule="auto"/>
        <w:ind w:firstLineChars="200" w:firstLine="420"/>
        <w:rPr>
          <w:color w:val="000000"/>
        </w:rPr>
      </w:pPr>
      <w:r w:rsidRPr="00514C11">
        <w:rPr>
          <w:color w:val="000000"/>
        </w:rPr>
        <w:t>报告期内本公司严格执行公平交易制度，公平对待旗下各投资组合，未发现任何违反公平交易的行为。</w:t>
      </w:r>
    </w:p>
    <w:p w:rsidR="004061AC" w:rsidRPr="00DE2966" w:rsidRDefault="004061AC" w:rsidP="00DB1533">
      <w:pPr>
        <w:adjustRightInd w:val="0"/>
        <w:spacing w:before="29" w:line="360" w:lineRule="auto"/>
        <w:rPr>
          <w:color w:val="000000"/>
          <w:kern w:val="0"/>
        </w:rPr>
      </w:pPr>
      <w:r w:rsidRPr="00DE2966">
        <w:rPr>
          <w:color w:val="000000"/>
          <w:kern w:val="0"/>
        </w:rPr>
        <w:t xml:space="preserve">4.3.2 </w:t>
      </w:r>
      <w:r w:rsidRPr="00DE2966">
        <w:rPr>
          <w:color w:val="000000"/>
          <w:kern w:val="0"/>
        </w:rPr>
        <w:t>异常交易行为的专项说明</w:t>
      </w:r>
    </w:p>
    <w:p w:rsidR="004061AC" w:rsidRDefault="00957594" w:rsidP="00DB1533">
      <w:pPr>
        <w:spacing w:line="360" w:lineRule="auto"/>
        <w:ind w:firstLineChars="200" w:firstLine="420"/>
        <w:rPr>
          <w:color w:val="000000"/>
        </w:rPr>
      </w:pPr>
      <w:r w:rsidRPr="00514C11">
        <w:rPr>
          <w:color w:val="000000"/>
        </w:rPr>
        <w:t>本基金于本报告期内不存在异常交易行为。本报告期内，本公司管理的所有投资组合参与的交易所公开竞价同日反向交易成交较少的单边交易量没有超过该证券当日总成交量</w:t>
      </w:r>
      <w:r w:rsidRPr="00514C11">
        <w:rPr>
          <w:color w:val="000000"/>
        </w:rPr>
        <w:t>5%</w:t>
      </w:r>
      <w:r w:rsidRPr="00514C11">
        <w:rPr>
          <w:color w:val="000000"/>
        </w:rPr>
        <w:t>的情形，本基金与本公司管理的其他投资组合在不同时间窗下（如日内、</w:t>
      </w:r>
      <w:r w:rsidRPr="00514C11">
        <w:rPr>
          <w:color w:val="000000"/>
        </w:rPr>
        <w:t>3</w:t>
      </w:r>
      <w:r w:rsidRPr="00514C11">
        <w:rPr>
          <w:color w:val="000000"/>
        </w:rPr>
        <w:t>日内、</w:t>
      </w:r>
      <w:r w:rsidRPr="00514C11">
        <w:rPr>
          <w:color w:val="000000"/>
        </w:rPr>
        <w:t>5</w:t>
      </w:r>
      <w:r w:rsidRPr="00514C11">
        <w:rPr>
          <w:color w:val="000000"/>
        </w:rPr>
        <w:t>日内）同向交易的交易价差未出现异常。</w:t>
      </w:r>
    </w:p>
    <w:p w:rsidR="00AC39FD" w:rsidRPr="00514C11" w:rsidRDefault="00AC39FD" w:rsidP="00DB1533">
      <w:pPr>
        <w:spacing w:line="360" w:lineRule="auto"/>
        <w:ind w:firstLineChars="200" w:firstLine="420"/>
        <w:rPr>
          <w:color w:val="000000"/>
        </w:rPr>
      </w:pPr>
    </w:p>
    <w:p w:rsidR="001911DE" w:rsidRPr="007F52FA" w:rsidRDefault="001911DE" w:rsidP="001911DE">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77707" w:rsidRPr="00AC39FD" w:rsidRDefault="00852D50" w:rsidP="00AC39FD">
      <w:pPr>
        <w:spacing w:line="360" w:lineRule="auto"/>
        <w:ind w:firstLineChars="200" w:firstLine="420"/>
        <w:rPr>
          <w:color w:val="000000"/>
        </w:rPr>
      </w:pPr>
      <w:r w:rsidRPr="00AC39FD">
        <w:rPr>
          <w:color w:val="000000"/>
        </w:rPr>
        <w:t>二季度以来在意外降准、表外融资持续收缩、经济通胀趋弱、贸易战局势反复发酵等多方面因素交织的背景下，债券收益率呈现出先下后上继而再次大幅下行的宽幅波动中。四月上旬债券收益率延续了一季度以来的下行趋势，稳步下行。央行在四月宣布降准</w:t>
      </w:r>
      <w:r w:rsidRPr="00AC39FD">
        <w:rPr>
          <w:color w:val="000000"/>
        </w:rPr>
        <w:t>1</w:t>
      </w:r>
      <w:r w:rsidRPr="00AC39FD">
        <w:rPr>
          <w:color w:val="000000"/>
        </w:rPr>
        <w:t>个百分点置换</w:t>
      </w:r>
      <w:r w:rsidRPr="00AC39FD">
        <w:rPr>
          <w:color w:val="000000"/>
        </w:rPr>
        <w:t>MLF</w:t>
      </w:r>
      <w:r w:rsidRPr="00AC39FD">
        <w:rPr>
          <w:color w:val="000000"/>
        </w:rPr>
        <w:t>操作，债券市场在反复预期中终于确认货币政策已经实质性转松，债市强势上涨，收益率大幅下行。四月下旬开始由于降准释放资金和缴税缴准错位，季末流动性紧张，叠加资管新规的出台，收益率震荡上行。进入六月后随着最新社会融资规模数据公布，信用收紧格局下收益率重回下行通道。六月底央行再一次降准</w:t>
      </w:r>
      <w:r w:rsidRPr="00AC39FD">
        <w:rPr>
          <w:color w:val="000000"/>
        </w:rPr>
        <w:t>0.5</w:t>
      </w:r>
      <w:r w:rsidRPr="00AC39FD">
        <w:rPr>
          <w:color w:val="000000"/>
        </w:rPr>
        <w:t>个百分点，收益率再次开启大幅下行空间。</w:t>
      </w:r>
    </w:p>
    <w:p w:rsidR="00077707" w:rsidRPr="00AC39FD" w:rsidRDefault="00852D50" w:rsidP="00AC39FD">
      <w:pPr>
        <w:spacing w:line="360" w:lineRule="auto"/>
        <w:ind w:firstLineChars="200" w:firstLine="420"/>
        <w:rPr>
          <w:color w:val="000000"/>
        </w:rPr>
      </w:pPr>
      <w:r w:rsidRPr="00AC39FD">
        <w:rPr>
          <w:color w:val="000000"/>
        </w:rPr>
        <w:t>报告期内，本基金转型为二级债券基金。基于对收益率下行大趋势的判断，本基金债券部分维持了较高的久期配置。同时，基于对权益市场较为谨慎的看法，组合控制整体权益仓位配置，选择个别具有防御性板块个股进行波段操作为组合增强收益。</w:t>
      </w:r>
    </w:p>
    <w:p w:rsidR="00077707" w:rsidRPr="00AC39FD" w:rsidRDefault="00852D50" w:rsidP="00AC39FD">
      <w:pPr>
        <w:spacing w:line="360" w:lineRule="auto"/>
        <w:ind w:firstLineChars="200" w:firstLine="420"/>
        <w:rPr>
          <w:color w:val="000000"/>
        </w:rPr>
      </w:pPr>
      <w:r w:rsidRPr="00AC39FD">
        <w:rPr>
          <w:color w:val="000000"/>
        </w:rPr>
        <w:t>展望三季度，我们判断债市收益率下行的趋势不改。经济基本面仍面临一定的下行压力，一方面体现在融资环境收缩对地产和基建投资的挤压上，另一方面表现为中美贸易摩擦升级对出口的负面影响上。随着去杠杆政策的持续推进，为了避免信用风险发酵带来流动性危机和经济失速下滑，我们预计货币政策将保持较为宽松态势，宽货币紧信用大逻辑继续支持债券市场收益率下行。风险方面，我们关注监管政策落地带来的短期调整风险和不断压缩的中美利差可能阶段性地成为制约债市收益率下行的因素。整体而言，我们认为债券市场上涨的机会大于下跌的风险。随着去杠杆进程的推进，信用风险逐渐暴露，我们认为低等级信用债利差未能充分反应未来的信用风险，我们将继续规避中低评级信用债，以中高等级的信用债为底仓，保持中性偏高久期债券配置。</w:t>
      </w:r>
    </w:p>
    <w:p w:rsidR="00077707" w:rsidRPr="00AC39FD" w:rsidRDefault="00852D50" w:rsidP="00AC39FD">
      <w:pPr>
        <w:spacing w:line="360" w:lineRule="auto"/>
        <w:ind w:firstLineChars="200" w:firstLine="420"/>
        <w:rPr>
          <w:color w:val="000000"/>
        </w:rPr>
      </w:pPr>
      <w:r w:rsidRPr="00AC39FD">
        <w:rPr>
          <w:color w:val="000000"/>
        </w:rPr>
        <w:t>可转债方面，权益市场表现低迷，三季度我们认为转债缺乏系统性的机会，我们将在控制转债仓位的前提下，关注新兴行业转债个券，灵活操作尽力为组合增强收益。</w:t>
      </w:r>
    </w:p>
    <w:p w:rsidR="001911DE" w:rsidRPr="00AC39FD" w:rsidRDefault="001911DE" w:rsidP="00AC39FD">
      <w:pPr>
        <w:spacing w:line="360" w:lineRule="auto"/>
        <w:ind w:firstLineChars="200" w:firstLine="420"/>
        <w:rPr>
          <w:color w:val="000000"/>
        </w:rPr>
      </w:pPr>
      <w:r w:rsidRPr="00AC39FD">
        <w:rPr>
          <w:color w:val="000000"/>
        </w:rPr>
        <w:t>权益市场方面，我们对三季度权益类资产持谨慎态度，关注风格是否持续，计划权益类资产将继续保持中性仓位，在尽力控制回撤的前提下争取增强组合的收益。</w:t>
      </w:r>
    </w:p>
    <w:p w:rsidR="001911DE" w:rsidRPr="007F52FA" w:rsidRDefault="001911DE" w:rsidP="001911DE">
      <w:pPr>
        <w:spacing w:before="29" w:line="288" w:lineRule="auto"/>
        <w:ind w:firstLineChars="200" w:firstLine="480"/>
        <w:rPr>
          <w:color w:val="000000"/>
          <w:sz w:val="24"/>
        </w:rPr>
      </w:pPr>
    </w:p>
    <w:p w:rsidR="001911DE" w:rsidRPr="007F52FA" w:rsidRDefault="001911DE" w:rsidP="001911DE">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077707" w:rsidRPr="00AC39FD" w:rsidRDefault="00852D50" w:rsidP="00AC39FD">
      <w:pPr>
        <w:spacing w:line="360" w:lineRule="auto"/>
        <w:ind w:firstLineChars="200" w:firstLine="420"/>
        <w:rPr>
          <w:color w:val="000000"/>
        </w:rPr>
      </w:pPr>
      <w:r w:rsidRPr="00AC39FD">
        <w:rPr>
          <w:color w:val="000000"/>
        </w:rPr>
        <w:t>截至</w:t>
      </w:r>
      <w:r w:rsidRPr="00AC39FD">
        <w:rPr>
          <w:color w:val="000000"/>
        </w:rPr>
        <w:t>2018</w:t>
      </w:r>
      <w:r w:rsidRPr="00AC39FD">
        <w:rPr>
          <w:color w:val="000000"/>
        </w:rPr>
        <w:t>年</w:t>
      </w:r>
      <w:r w:rsidRPr="00AC39FD">
        <w:rPr>
          <w:color w:val="000000"/>
        </w:rPr>
        <w:t>6</w:t>
      </w:r>
      <w:r w:rsidRPr="00AC39FD">
        <w:rPr>
          <w:color w:val="000000"/>
        </w:rPr>
        <w:t>月</w:t>
      </w:r>
      <w:r w:rsidRPr="00AC39FD">
        <w:rPr>
          <w:color w:val="000000"/>
        </w:rPr>
        <w:t>30</w:t>
      </w:r>
      <w:r w:rsidRPr="00AC39FD">
        <w:rPr>
          <w:color w:val="000000"/>
        </w:rPr>
        <w:t>日，交银施罗德安心收益债券型证券投资基金份额净值为</w:t>
      </w:r>
      <w:r w:rsidRPr="00AC39FD">
        <w:rPr>
          <w:color w:val="000000"/>
        </w:rPr>
        <w:t>1.018</w:t>
      </w:r>
      <w:r w:rsidRPr="00AC39FD">
        <w:rPr>
          <w:color w:val="000000"/>
        </w:rPr>
        <w:t>元，自</w:t>
      </w:r>
      <w:r w:rsidRPr="00AC39FD">
        <w:rPr>
          <w:color w:val="000000"/>
        </w:rPr>
        <w:t>2018</w:t>
      </w:r>
      <w:r w:rsidRPr="00AC39FD">
        <w:rPr>
          <w:color w:val="000000"/>
        </w:rPr>
        <w:t>年</w:t>
      </w:r>
      <w:r w:rsidRPr="00AC39FD">
        <w:rPr>
          <w:color w:val="000000"/>
        </w:rPr>
        <w:t>6</w:t>
      </w:r>
      <w:r w:rsidRPr="00AC39FD">
        <w:rPr>
          <w:color w:val="000000"/>
        </w:rPr>
        <w:t>月</w:t>
      </w:r>
      <w:r w:rsidRPr="00AC39FD">
        <w:rPr>
          <w:color w:val="000000"/>
        </w:rPr>
        <w:t>2</w:t>
      </w:r>
      <w:r w:rsidRPr="00AC39FD">
        <w:rPr>
          <w:color w:val="000000"/>
        </w:rPr>
        <w:t>日至</w:t>
      </w:r>
      <w:r w:rsidRPr="00AC39FD">
        <w:rPr>
          <w:color w:val="000000"/>
        </w:rPr>
        <w:t>2018</w:t>
      </w:r>
      <w:r w:rsidRPr="00AC39FD">
        <w:rPr>
          <w:color w:val="000000"/>
        </w:rPr>
        <w:t>年</w:t>
      </w:r>
      <w:r w:rsidRPr="00AC39FD">
        <w:rPr>
          <w:color w:val="000000"/>
        </w:rPr>
        <w:t>6</w:t>
      </w:r>
      <w:r w:rsidRPr="00AC39FD">
        <w:rPr>
          <w:color w:val="000000"/>
        </w:rPr>
        <w:t>月</w:t>
      </w:r>
      <w:r w:rsidRPr="00AC39FD">
        <w:rPr>
          <w:color w:val="000000"/>
        </w:rPr>
        <w:t>30</w:t>
      </w:r>
      <w:r w:rsidRPr="00AC39FD">
        <w:rPr>
          <w:color w:val="000000"/>
        </w:rPr>
        <w:t>日其份额净值增长率为</w:t>
      </w:r>
      <w:r w:rsidRPr="00AC39FD">
        <w:rPr>
          <w:color w:val="000000"/>
        </w:rPr>
        <w:t>0.10%</w:t>
      </w:r>
      <w:r w:rsidRPr="00AC39FD">
        <w:rPr>
          <w:color w:val="000000"/>
        </w:rPr>
        <w:t>，同期业绩比较基准增长率为</w:t>
      </w:r>
      <w:r w:rsidRPr="00AC39FD">
        <w:rPr>
          <w:color w:val="000000"/>
        </w:rPr>
        <w:t>0.37%</w:t>
      </w:r>
      <w:r w:rsidRPr="00AC39FD">
        <w:rPr>
          <w:color w:val="000000"/>
        </w:rPr>
        <w:t>。</w:t>
      </w:r>
    </w:p>
    <w:p w:rsidR="001911DE" w:rsidRPr="00AC39FD" w:rsidRDefault="001911DE" w:rsidP="00AC39FD">
      <w:pPr>
        <w:spacing w:line="360" w:lineRule="auto"/>
        <w:ind w:firstLineChars="200" w:firstLine="420"/>
        <w:rPr>
          <w:color w:val="000000"/>
        </w:rPr>
      </w:pPr>
      <w:r w:rsidRPr="00AC39FD">
        <w:rPr>
          <w:color w:val="000000"/>
        </w:rPr>
        <w:t>截至</w:t>
      </w:r>
      <w:r w:rsidRPr="00AC39FD">
        <w:rPr>
          <w:color w:val="000000"/>
        </w:rPr>
        <w:t>2018</w:t>
      </w:r>
      <w:r w:rsidRPr="00AC39FD">
        <w:rPr>
          <w:color w:val="000000"/>
        </w:rPr>
        <w:t>年</w:t>
      </w:r>
      <w:r w:rsidRPr="00AC39FD">
        <w:rPr>
          <w:color w:val="000000"/>
        </w:rPr>
        <w:t>6</w:t>
      </w:r>
      <w:r w:rsidRPr="00AC39FD">
        <w:rPr>
          <w:color w:val="000000"/>
        </w:rPr>
        <w:t>月</w:t>
      </w:r>
      <w:r w:rsidRPr="00AC39FD">
        <w:rPr>
          <w:color w:val="000000"/>
        </w:rPr>
        <w:t>1</w:t>
      </w:r>
      <w:r w:rsidRPr="00AC39FD">
        <w:rPr>
          <w:color w:val="000000"/>
        </w:rPr>
        <w:t>日，交银施罗德荣和保本混合型证券投资基金份额净值为</w:t>
      </w:r>
      <w:r w:rsidRPr="00AC39FD">
        <w:rPr>
          <w:color w:val="000000"/>
        </w:rPr>
        <w:t>1.017</w:t>
      </w:r>
      <w:r w:rsidRPr="00AC39FD">
        <w:rPr>
          <w:color w:val="000000"/>
        </w:rPr>
        <w:t>元，自</w:t>
      </w:r>
      <w:r w:rsidRPr="00AC39FD">
        <w:rPr>
          <w:color w:val="000000"/>
        </w:rPr>
        <w:t>2018</w:t>
      </w:r>
      <w:r w:rsidRPr="00AC39FD">
        <w:rPr>
          <w:color w:val="000000"/>
        </w:rPr>
        <w:t>年</w:t>
      </w:r>
      <w:r w:rsidRPr="00AC39FD">
        <w:rPr>
          <w:color w:val="000000"/>
        </w:rPr>
        <w:t>4</w:t>
      </w:r>
      <w:r w:rsidRPr="00AC39FD">
        <w:rPr>
          <w:color w:val="000000"/>
        </w:rPr>
        <w:t>月</w:t>
      </w:r>
      <w:r w:rsidRPr="00AC39FD">
        <w:rPr>
          <w:color w:val="000000"/>
        </w:rPr>
        <w:t>1</w:t>
      </w:r>
      <w:r w:rsidRPr="00AC39FD">
        <w:rPr>
          <w:color w:val="000000"/>
        </w:rPr>
        <w:t>日至</w:t>
      </w:r>
      <w:r w:rsidRPr="00AC39FD">
        <w:rPr>
          <w:color w:val="000000"/>
        </w:rPr>
        <w:t>2018</w:t>
      </w:r>
      <w:r w:rsidRPr="00AC39FD">
        <w:rPr>
          <w:color w:val="000000"/>
        </w:rPr>
        <w:t>年</w:t>
      </w:r>
      <w:r w:rsidRPr="00AC39FD">
        <w:rPr>
          <w:color w:val="000000"/>
        </w:rPr>
        <w:t>6</w:t>
      </w:r>
      <w:r w:rsidRPr="00AC39FD">
        <w:rPr>
          <w:color w:val="000000"/>
        </w:rPr>
        <w:t>月</w:t>
      </w:r>
      <w:r w:rsidRPr="00AC39FD">
        <w:rPr>
          <w:color w:val="000000"/>
        </w:rPr>
        <w:t>1</w:t>
      </w:r>
      <w:r w:rsidRPr="00AC39FD">
        <w:rPr>
          <w:color w:val="000000"/>
        </w:rPr>
        <w:t>日其份额净值增长率为</w:t>
      </w:r>
      <w:r w:rsidRPr="00AC39FD">
        <w:rPr>
          <w:color w:val="000000"/>
        </w:rPr>
        <w:t>0.59%</w:t>
      </w:r>
      <w:r w:rsidRPr="00AC39FD">
        <w:rPr>
          <w:color w:val="000000"/>
        </w:rPr>
        <w:t>，同期业绩比较基准增长率为</w:t>
      </w:r>
      <w:r w:rsidRPr="00AC39FD">
        <w:rPr>
          <w:color w:val="000000"/>
        </w:rPr>
        <w:t>0.47%</w:t>
      </w:r>
      <w:r w:rsidRPr="00AC39FD">
        <w:rPr>
          <w:color w:val="000000"/>
        </w:rPr>
        <w:t>。</w:t>
      </w:r>
    </w:p>
    <w:p w:rsidR="001911DE" w:rsidRPr="007F52FA" w:rsidRDefault="001911DE" w:rsidP="001911DE">
      <w:pPr>
        <w:spacing w:before="29" w:line="288" w:lineRule="auto"/>
        <w:ind w:firstLineChars="200" w:firstLine="480"/>
        <w:rPr>
          <w:color w:val="000000"/>
          <w:sz w:val="24"/>
        </w:rPr>
      </w:pPr>
    </w:p>
    <w:p w:rsidR="001911DE" w:rsidRPr="002070B4" w:rsidRDefault="001911DE" w:rsidP="001911DE">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911DE" w:rsidRPr="00AC39FD" w:rsidRDefault="001911DE" w:rsidP="00AC39FD">
      <w:pPr>
        <w:spacing w:line="360" w:lineRule="auto"/>
        <w:ind w:firstLineChars="200" w:firstLine="420"/>
        <w:rPr>
          <w:color w:val="000000"/>
        </w:rPr>
      </w:pPr>
      <w:r w:rsidRPr="00AC39FD">
        <w:rPr>
          <w:color w:val="000000"/>
        </w:rPr>
        <w:t>本基金本报告期内无需预警说明。</w:t>
      </w:r>
    </w:p>
    <w:p w:rsidR="004061AC" w:rsidRPr="00DE44C3" w:rsidRDefault="004061AC" w:rsidP="005452EC">
      <w:pPr>
        <w:pStyle w:val="1"/>
        <w:spacing w:beforeLines="50" w:before="156" w:afterLines="50" w:after="156" w:line="360" w:lineRule="auto"/>
        <w:jc w:val="center"/>
        <w:rPr>
          <w:color w:val="000000"/>
          <w:kern w:val="0"/>
          <w:sz w:val="21"/>
          <w:szCs w:val="21"/>
        </w:rPr>
      </w:pPr>
      <w:r w:rsidRPr="00514C11">
        <w:rPr>
          <w:color w:val="000000"/>
          <w:kern w:val="0"/>
          <w:sz w:val="21"/>
          <w:szCs w:val="21"/>
        </w:rPr>
        <w:t>§</w:t>
      </w:r>
      <w:r w:rsidR="001C0993" w:rsidRPr="00514C11">
        <w:rPr>
          <w:color w:val="000000"/>
          <w:kern w:val="0"/>
          <w:sz w:val="21"/>
          <w:szCs w:val="21"/>
        </w:rPr>
        <w:t>5</w:t>
      </w:r>
      <w:r w:rsidRPr="00514C11">
        <w:rPr>
          <w:color w:val="000000"/>
          <w:kern w:val="0"/>
          <w:sz w:val="21"/>
          <w:szCs w:val="21"/>
        </w:rPr>
        <w:t xml:space="preserve">  </w:t>
      </w:r>
      <w:r w:rsidRPr="00514C11">
        <w:rPr>
          <w:color w:val="000000"/>
          <w:kern w:val="0"/>
          <w:sz w:val="21"/>
          <w:szCs w:val="21"/>
        </w:rPr>
        <w:t>投资组合报告</w:t>
      </w:r>
    </w:p>
    <w:p w:rsidR="0010032F" w:rsidRPr="00514C11" w:rsidRDefault="0010032F" w:rsidP="00DB1533">
      <w:pPr>
        <w:pStyle w:val="2"/>
        <w:spacing w:before="0" w:after="0"/>
        <w:rPr>
          <w:rFonts w:ascii="Times New Roman" w:hAnsi="Times New Roman" w:cs="Times New Roman"/>
          <w:b w:val="0"/>
          <w:color w:val="000000"/>
          <w:kern w:val="0"/>
          <w:sz w:val="21"/>
          <w:szCs w:val="21"/>
        </w:rPr>
      </w:pPr>
      <w:r w:rsidRPr="00514C11">
        <w:rPr>
          <w:rFonts w:ascii="Times New Roman" w:hAnsi="Times New Roman" w:cs="Times New Roman"/>
          <w:color w:val="000000"/>
          <w:kern w:val="0"/>
          <w:sz w:val="21"/>
          <w:szCs w:val="21"/>
        </w:rPr>
        <w:t xml:space="preserve">5.1 </w:t>
      </w:r>
      <w:r w:rsidRPr="00514C11">
        <w:rPr>
          <w:rFonts w:ascii="Times New Roman" w:hAnsi="Times New Roman" w:cs="Times New Roman"/>
          <w:color w:val="000000"/>
          <w:kern w:val="0"/>
          <w:sz w:val="21"/>
          <w:szCs w:val="21"/>
        </w:rPr>
        <w:t>交银施罗德安心收益债券型证券投资基金</w:t>
      </w:r>
    </w:p>
    <w:p w:rsidR="0010032F" w:rsidRPr="00514C11" w:rsidRDefault="0010032F" w:rsidP="00DB1533">
      <w:pPr>
        <w:autoSpaceDE w:val="0"/>
        <w:autoSpaceDN w:val="0"/>
        <w:adjustRightInd w:val="0"/>
        <w:spacing w:before="29" w:line="360" w:lineRule="auto"/>
        <w:ind w:left="15"/>
        <w:jc w:val="left"/>
        <w:rPr>
          <w:b/>
          <w:color w:val="000000"/>
          <w:kern w:val="0"/>
        </w:rPr>
      </w:pPr>
      <w:r w:rsidRPr="00514C11">
        <w:rPr>
          <w:b/>
          <w:color w:val="000000"/>
          <w:kern w:val="0"/>
        </w:rPr>
        <w:t>（报告期：</w:t>
      </w:r>
      <w:r w:rsidRPr="00514C11">
        <w:rPr>
          <w:b/>
          <w:color w:val="000000"/>
          <w:kern w:val="0"/>
        </w:rPr>
        <w:t>2018</w:t>
      </w:r>
      <w:r w:rsidRPr="00514C11">
        <w:rPr>
          <w:b/>
          <w:color w:val="000000"/>
          <w:kern w:val="0"/>
        </w:rPr>
        <w:t>年</w:t>
      </w:r>
      <w:r w:rsidRPr="00514C11">
        <w:rPr>
          <w:b/>
          <w:color w:val="000000"/>
          <w:kern w:val="0"/>
        </w:rPr>
        <w:t>6</w:t>
      </w:r>
      <w:r w:rsidRPr="00514C11">
        <w:rPr>
          <w:b/>
          <w:color w:val="000000"/>
          <w:kern w:val="0"/>
        </w:rPr>
        <w:t>月</w:t>
      </w:r>
      <w:r w:rsidRPr="00514C11">
        <w:rPr>
          <w:b/>
          <w:color w:val="000000"/>
          <w:kern w:val="0"/>
        </w:rPr>
        <w:t>2</w:t>
      </w:r>
      <w:r w:rsidRPr="00514C11">
        <w:rPr>
          <w:b/>
          <w:color w:val="000000"/>
          <w:kern w:val="0"/>
        </w:rPr>
        <w:t>日</w:t>
      </w:r>
      <w:r w:rsidRPr="00514C11">
        <w:rPr>
          <w:b/>
          <w:color w:val="000000"/>
          <w:kern w:val="0"/>
        </w:rPr>
        <w:t>-2018</w:t>
      </w:r>
      <w:r w:rsidRPr="00514C11">
        <w:rPr>
          <w:b/>
          <w:color w:val="000000"/>
          <w:kern w:val="0"/>
        </w:rPr>
        <w:t>年</w:t>
      </w:r>
      <w:r w:rsidRPr="00514C11">
        <w:rPr>
          <w:b/>
          <w:color w:val="000000"/>
          <w:kern w:val="0"/>
        </w:rPr>
        <w:t>6</w:t>
      </w:r>
      <w:r w:rsidRPr="00514C11">
        <w:rPr>
          <w:b/>
          <w:color w:val="000000"/>
          <w:kern w:val="0"/>
        </w:rPr>
        <w:t>月</w:t>
      </w:r>
      <w:r w:rsidRPr="00514C11">
        <w:rPr>
          <w:b/>
          <w:color w:val="000000"/>
          <w:kern w:val="0"/>
        </w:rPr>
        <w:t>30</w:t>
      </w:r>
      <w:r w:rsidRPr="00514C11">
        <w:rPr>
          <w:b/>
          <w:color w:val="000000"/>
          <w:kern w:val="0"/>
        </w:rPr>
        <w:t>日）</w:t>
      </w:r>
    </w:p>
    <w:p w:rsidR="004061AC" w:rsidRPr="00514C11"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5.1</w:t>
      </w:r>
      <w:r w:rsidR="0010032F" w:rsidRPr="00514C11">
        <w:rPr>
          <w:b/>
          <w:color w:val="000000"/>
          <w:kern w:val="0"/>
        </w:rPr>
        <w:t>.1</w:t>
      </w:r>
      <w:r w:rsidRPr="00514C11">
        <w:rPr>
          <w:b/>
          <w:color w:val="000000"/>
          <w:kern w:val="0"/>
        </w:rPr>
        <w:t xml:space="preserve"> </w:t>
      </w:r>
      <w:r w:rsidRPr="00514C11">
        <w:rPr>
          <w:b/>
          <w:color w:val="000000"/>
          <w:kern w:val="0"/>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220C32" w:rsidRPr="00514C11" w:rsidTr="008D3C75">
        <w:trPr>
          <w:jc w:val="center"/>
        </w:trPr>
        <w:tc>
          <w:tcPr>
            <w:tcW w:w="720"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3357"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项目</w:t>
            </w:r>
          </w:p>
        </w:tc>
        <w:tc>
          <w:tcPr>
            <w:tcW w:w="2977"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金额</w:t>
            </w:r>
            <w:r w:rsidR="00D57B7C" w:rsidRPr="00514C11">
              <w:rPr>
                <w:color w:val="000000"/>
                <w:sz w:val="21"/>
              </w:rPr>
              <w:t>(</w:t>
            </w:r>
            <w:r w:rsidRPr="00514C11">
              <w:rPr>
                <w:color w:val="000000"/>
                <w:sz w:val="21"/>
              </w:rPr>
              <w:t>元</w:t>
            </w:r>
            <w:r w:rsidR="00D57B7C" w:rsidRPr="00514C11">
              <w:rPr>
                <w:color w:val="000000"/>
                <w:sz w:val="21"/>
              </w:rPr>
              <w:t>)</w:t>
            </w:r>
          </w:p>
        </w:tc>
        <w:tc>
          <w:tcPr>
            <w:tcW w:w="1843"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占基金总资产的比例</w:t>
            </w:r>
            <w:r w:rsidR="00D57B7C" w:rsidRPr="00514C11">
              <w:rPr>
                <w:color w:val="000000"/>
                <w:sz w:val="21"/>
              </w:rPr>
              <w:t>(</w:t>
            </w:r>
            <w:r w:rsidRPr="00514C11">
              <w:rPr>
                <w:color w:val="000000"/>
                <w:sz w:val="21"/>
              </w:rPr>
              <w:t>%</w:t>
            </w:r>
            <w:r w:rsidR="00D57B7C" w:rsidRPr="00514C11">
              <w:rPr>
                <w:color w:val="000000"/>
                <w:sz w:val="21"/>
              </w:rPr>
              <w:t>)</w:t>
            </w:r>
          </w:p>
        </w:tc>
      </w:tr>
      <w:tr w:rsidR="00220C32" w:rsidRPr="00514C11" w:rsidTr="008D3C75">
        <w:trPr>
          <w:jc w:val="center"/>
        </w:trPr>
        <w:tc>
          <w:tcPr>
            <w:tcW w:w="720"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1</w:t>
            </w:r>
          </w:p>
        </w:tc>
        <w:tc>
          <w:tcPr>
            <w:tcW w:w="3357" w:type="dxa"/>
            <w:vAlign w:val="center"/>
          </w:tcPr>
          <w:p w:rsidR="00853140" w:rsidRPr="00514C11" w:rsidRDefault="00853140" w:rsidP="00DB1533">
            <w:pPr>
              <w:autoSpaceDE w:val="0"/>
              <w:autoSpaceDN w:val="0"/>
              <w:adjustRightInd w:val="0"/>
              <w:spacing w:before="29" w:line="360" w:lineRule="auto"/>
              <w:ind w:left="15"/>
              <w:jc w:val="left"/>
              <w:rPr>
                <w:color w:val="000000"/>
                <w:sz w:val="21"/>
              </w:rPr>
            </w:pPr>
            <w:r w:rsidRPr="00514C11">
              <w:rPr>
                <w:color w:val="000000"/>
                <w:sz w:val="21"/>
              </w:rPr>
              <w:t>权益投资</w:t>
            </w:r>
          </w:p>
        </w:tc>
        <w:tc>
          <w:tcPr>
            <w:tcW w:w="2977" w:type="dxa"/>
            <w:vAlign w:val="center"/>
          </w:tcPr>
          <w:p w:rsidR="00853140" w:rsidRPr="00514C11" w:rsidRDefault="00C77AEF" w:rsidP="00DB1533">
            <w:pPr>
              <w:autoSpaceDE w:val="0"/>
              <w:autoSpaceDN w:val="0"/>
              <w:adjustRightInd w:val="0"/>
              <w:spacing w:before="29" w:line="360" w:lineRule="auto"/>
              <w:ind w:left="15"/>
              <w:jc w:val="right"/>
              <w:rPr>
                <w:color w:val="000000"/>
                <w:sz w:val="21"/>
              </w:rPr>
            </w:pPr>
            <w:r w:rsidRPr="00514C11">
              <w:rPr>
                <w:color w:val="000000"/>
                <w:sz w:val="21"/>
              </w:rPr>
              <w:t>4,476,010.80</w:t>
            </w:r>
          </w:p>
        </w:tc>
        <w:tc>
          <w:tcPr>
            <w:tcW w:w="1843" w:type="dxa"/>
            <w:vAlign w:val="center"/>
          </w:tcPr>
          <w:p w:rsidR="00853140" w:rsidRPr="00514C11" w:rsidRDefault="001675CD" w:rsidP="00DB1533">
            <w:pPr>
              <w:autoSpaceDE w:val="0"/>
              <w:autoSpaceDN w:val="0"/>
              <w:adjustRightInd w:val="0"/>
              <w:spacing w:before="29" w:line="360" w:lineRule="auto"/>
              <w:ind w:left="15"/>
              <w:jc w:val="right"/>
              <w:rPr>
                <w:color w:val="000000"/>
                <w:sz w:val="21"/>
              </w:rPr>
            </w:pPr>
            <w:r w:rsidRPr="00514C11">
              <w:rPr>
                <w:color w:val="000000"/>
                <w:sz w:val="21"/>
              </w:rPr>
              <w:t>3.48</w:t>
            </w:r>
          </w:p>
        </w:tc>
      </w:tr>
      <w:tr w:rsidR="00220C32" w:rsidRPr="00514C11" w:rsidTr="008D3C75">
        <w:trPr>
          <w:jc w:val="center"/>
        </w:trPr>
        <w:tc>
          <w:tcPr>
            <w:tcW w:w="720"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p>
        </w:tc>
        <w:tc>
          <w:tcPr>
            <w:tcW w:w="3357" w:type="dxa"/>
            <w:vAlign w:val="center"/>
          </w:tcPr>
          <w:p w:rsidR="00853140" w:rsidRPr="00514C11" w:rsidRDefault="00853140" w:rsidP="00DB1533">
            <w:pPr>
              <w:autoSpaceDE w:val="0"/>
              <w:autoSpaceDN w:val="0"/>
              <w:adjustRightInd w:val="0"/>
              <w:spacing w:before="29" w:line="360" w:lineRule="auto"/>
              <w:ind w:left="15"/>
              <w:jc w:val="left"/>
              <w:rPr>
                <w:color w:val="000000"/>
                <w:sz w:val="21"/>
              </w:rPr>
            </w:pPr>
            <w:r w:rsidRPr="00514C11">
              <w:rPr>
                <w:color w:val="000000"/>
                <w:sz w:val="21"/>
              </w:rPr>
              <w:t>其中：股票</w:t>
            </w:r>
          </w:p>
        </w:tc>
        <w:tc>
          <w:tcPr>
            <w:tcW w:w="2977" w:type="dxa"/>
            <w:vAlign w:val="center"/>
          </w:tcPr>
          <w:p w:rsidR="00853140" w:rsidRPr="00514C11" w:rsidRDefault="001675CD" w:rsidP="00DB1533">
            <w:pPr>
              <w:autoSpaceDE w:val="0"/>
              <w:autoSpaceDN w:val="0"/>
              <w:adjustRightInd w:val="0"/>
              <w:spacing w:before="29" w:line="360" w:lineRule="auto"/>
              <w:ind w:left="15"/>
              <w:jc w:val="right"/>
              <w:rPr>
                <w:color w:val="000000"/>
                <w:sz w:val="21"/>
              </w:rPr>
            </w:pPr>
            <w:r w:rsidRPr="00514C11">
              <w:rPr>
                <w:color w:val="000000"/>
                <w:sz w:val="21"/>
              </w:rPr>
              <w:t>4,476,010.80</w:t>
            </w:r>
          </w:p>
        </w:tc>
        <w:tc>
          <w:tcPr>
            <w:tcW w:w="1843" w:type="dxa"/>
            <w:vAlign w:val="center"/>
          </w:tcPr>
          <w:p w:rsidR="00853140" w:rsidRPr="00514C11" w:rsidRDefault="001675CD" w:rsidP="00DB1533">
            <w:pPr>
              <w:autoSpaceDE w:val="0"/>
              <w:autoSpaceDN w:val="0"/>
              <w:adjustRightInd w:val="0"/>
              <w:spacing w:before="29" w:line="360" w:lineRule="auto"/>
              <w:ind w:left="15"/>
              <w:jc w:val="right"/>
              <w:rPr>
                <w:color w:val="000000"/>
                <w:sz w:val="21"/>
              </w:rPr>
            </w:pPr>
            <w:r w:rsidRPr="00514C11">
              <w:rPr>
                <w:color w:val="000000"/>
                <w:sz w:val="21"/>
              </w:rPr>
              <w:t>3.48</w:t>
            </w:r>
          </w:p>
        </w:tc>
      </w:tr>
      <w:tr w:rsidR="003B1826" w:rsidRPr="00514C11" w:rsidTr="008D3C75">
        <w:trPr>
          <w:jc w:val="center"/>
        </w:trPr>
        <w:tc>
          <w:tcPr>
            <w:tcW w:w="720" w:type="dxa"/>
            <w:vAlign w:val="center"/>
          </w:tcPr>
          <w:p w:rsidR="003B1826" w:rsidRPr="00C51B4E" w:rsidRDefault="003B1826" w:rsidP="00CD187D">
            <w:pPr>
              <w:spacing w:before="29" w:line="360" w:lineRule="auto"/>
              <w:ind w:left="17"/>
              <w:jc w:val="center"/>
              <w:rPr>
                <w:rFonts w:eastAsiaTheme="minorEastAsia"/>
                <w:color w:val="000000" w:themeColor="text1"/>
              </w:rPr>
            </w:pPr>
            <w:r w:rsidRPr="00C51B4E">
              <w:rPr>
                <w:rFonts w:eastAsiaTheme="minorEastAsia" w:hint="eastAsia"/>
                <w:color w:val="000000" w:themeColor="text1"/>
              </w:rPr>
              <w:t>2</w:t>
            </w:r>
          </w:p>
        </w:tc>
        <w:tc>
          <w:tcPr>
            <w:tcW w:w="3357" w:type="dxa"/>
            <w:vAlign w:val="center"/>
          </w:tcPr>
          <w:p w:rsidR="003B1826" w:rsidRPr="00C51B4E" w:rsidRDefault="003B1826" w:rsidP="00CD187D">
            <w:pPr>
              <w:spacing w:before="29" w:line="360" w:lineRule="auto"/>
              <w:ind w:left="17"/>
              <w:jc w:val="left"/>
              <w:rPr>
                <w:rFonts w:eastAsiaTheme="minorEastAsia"/>
                <w:color w:val="000000" w:themeColor="text1"/>
              </w:rPr>
            </w:pPr>
            <w:r w:rsidRPr="00C51B4E">
              <w:rPr>
                <w:rFonts w:ascii="宋体" w:hAnsi="宋体" w:hint="eastAsia"/>
                <w:sz w:val="24"/>
              </w:rPr>
              <w:t>基金投资</w:t>
            </w:r>
          </w:p>
        </w:tc>
        <w:tc>
          <w:tcPr>
            <w:tcW w:w="2977" w:type="dxa"/>
            <w:vAlign w:val="center"/>
          </w:tcPr>
          <w:p w:rsidR="003B1826" w:rsidRPr="00C51B4E" w:rsidRDefault="003B1826" w:rsidP="00CD187D">
            <w:pPr>
              <w:spacing w:before="29" w:line="360" w:lineRule="auto"/>
              <w:ind w:left="17"/>
              <w:jc w:val="right"/>
              <w:rPr>
                <w:rFonts w:eastAsiaTheme="minorEastAsia"/>
                <w:color w:val="000000" w:themeColor="text1"/>
              </w:rPr>
            </w:pPr>
            <w:r w:rsidRPr="00C51B4E">
              <w:rPr>
                <w:rFonts w:eastAsiaTheme="minorEastAsia" w:hint="eastAsia"/>
                <w:color w:val="000000" w:themeColor="text1"/>
              </w:rPr>
              <w:t>-</w:t>
            </w:r>
          </w:p>
        </w:tc>
        <w:tc>
          <w:tcPr>
            <w:tcW w:w="1843" w:type="dxa"/>
            <w:vAlign w:val="center"/>
          </w:tcPr>
          <w:p w:rsidR="003B1826" w:rsidRPr="00C51B4E" w:rsidRDefault="003B1826" w:rsidP="00CD187D">
            <w:pPr>
              <w:spacing w:before="29" w:line="360" w:lineRule="auto"/>
              <w:ind w:left="17"/>
              <w:jc w:val="right"/>
              <w:rPr>
                <w:rFonts w:eastAsiaTheme="minorEastAsia"/>
                <w:color w:val="000000" w:themeColor="text1"/>
              </w:rPr>
            </w:pPr>
            <w:r w:rsidRPr="00C51B4E">
              <w:rPr>
                <w:rFonts w:eastAsiaTheme="minorEastAsia" w:hint="eastAsia"/>
                <w:color w:val="000000" w:themeColor="text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3</w:t>
            </w: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固定收益投资</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75,456,300.00</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58.64</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其中：债券</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75,456,300.00</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58.64</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p>
        </w:tc>
        <w:tc>
          <w:tcPr>
            <w:tcW w:w="3357" w:type="dxa"/>
            <w:vAlign w:val="center"/>
          </w:tcPr>
          <w:p w:rsidR="003B1826" w:rsidRPr="00514C11" w:rsidRDefault="003B1826" w:rsidP="00DB1533">
            <w:pPr>
              <w:autoSpaceDE w:val="0"/>
              <w:autoSpaceDN w:val="0"/>
              <w:adjustRightInd w:val="0"/>
              <w:spacing w:before="29" w:line="360" w:lineRule="auto"/>
              <w:ind w:left="15" w:firstLineChars="250" w:firstLine="525"/>
              <w:jc w:val="left"/>
              <w:rPr>
                <w:color w:val="000000"/>
                <w:sz w:val="21"/>
              </w:rPr>
            </w:pPr>
            <w:r w:rsidRPr="00514C11">
              <w:rPr>
                <w:color w:val="000000"/>
                <w:sz w:val="21"/>
              </w:rPr>
              <w:t>资产支持证券</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4</w:t>
            </w:r>
          </w:p>
        </w:tc>
        <w:tc>
          <w:tcPr>
            <w:tcW w:w="3357" w:type="dxa"/>
            <w:vAlign w:val="center"/>
          </w:tcPr>
          <w:p w:rsidR="003B1826" w:rsidRPr="00514C11" w:rsidRDefault="003B1826" w:rsidP="00DB1533">
            <w:pPr>
              <w:autoSpaceDE w:val="0"/>
              <w:autoSpaceDN w:val="0"/>
              <w:adjustRightInd w:val="0"/>
              <w:spacing w:before="29" w:line="360" w:lineRule="auto"/>
              <w:rPr>
                <w:color w:val="000000"/>
                <w:sz w:val="21"/>
              </w:rPr>
            </w:pPr>
            <w:r w:rsidRPr="00514C11">
              <w:rPr>
                <w:color w:val="000000"/>
                <w:sz w:val="21"/>
              </w:rPr>
              <w:t>贵金属投资</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5</w:t>
            </w: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金融衍生品投资</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6</w:t>
            </w: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买入返售金融资产</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20,000,000.00</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15.54</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其中：买断式回购的买入返售金融资产</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7</w:t>
            </w: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银行存款和结算备付金合计</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9,795,528.20</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7.61</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sidRPr="00514C11">
              <w:rPr>
                <w:color w:val="000000"/>
                <w:sz w:val="21"/>
              </w:rPr>
              <w:t>7</w:t>
            </w:r>
          </w:p>
        </w:tc>
        <w:tc>
          <w:tcPr>
            <w:tcW w:w="3357" w:type="dxa"/>
            <w:vAlign w:val="center"/>
          </w:tcPr>
          <w:p w:rsidR="003B1826" w:rsidRPr="00514C11" w:rsidRDefault="003B1826" w:rsidP="00DB1533">
            <w:pPr>
              <w:autoSpaceDE w:val="0"/>
              <w:autoSpaceDN w:val="0"/>
              <w:adjustRightInd w:val="0"/>
              <w:spacing w:line="360" w:lineRule="auto"/>
              <w:ind w:left="15"/>
              <w:jc w:val="left"/>
              <w:rPr>
                <w:color w:val="000000"/>
                <w:sz w:val="21"/>
              </w:rPr>
            </w:pPr>
            <w:r w:rsidRPr="00514C11">
              <w:rPr>
                <w:color w:val="000000"/>
                <w:sz w:val="21"/>
              </w:rPr>
              <w:t>其他各项资产</w:t>
            </w:r>
          </w:p>
        </w:tc>
        <w:tc>
          <w:tcPr>
            <w:tcW w:w="2977" w:type="dxa"/>
            <w:vAlign w:val="center"/>
          </w:tcPr>
          <w:p w:rsidR="003B1826" w:rsidRPr="00514C11" w:rsidRDefault="003B1826" w:rsidP="00DB1533">
            <w:pPr>
              <w:autoSpaceDE w:val="0"/>
              <w:autoSpaceDN w:val="0"/>
              <w:adjustRightInd w:val="0"/>
              <w:spacing w:line="360" w:lineRule="auto"/>
              <w:ind w:left="15"/>
              <w:jc w:val="right"/>
              <w:rPr>
                <w:color w:val="000000"/>
                <w:sz w:val="21"/>
              </w:rPr>
            </w:pPr>
            <w:r w:rsidRPr="00514C11">
              <w:rPr>
                <w:color w:val="000000"/>
                <w:sz w:val="21"/>
              </w:rPr>
              <w:t>18,948,663.23</w:t>
            </w:r>
          </w:p>
        </w:tc>
        <w:tc>
          <w:tcPr>
            <w:tcW w:w="1843" w:type="dxa"/>
            <w:vAlign w:val="center"/>
          </w:tcPr>
          <w:p w:rsidR="003B1826" w:rsidRPr="00514C11" w:rsidRDefault="003B1826" w:rsidP="00DB1533">
            <w:pPr>
              <w:autoSpaceDE w:val="0"/>
              <w:autoSpaceDN w:val="0"/>
              <w:adjustRightInd w:val="0"/>
              <w:spacing w:line="360" w:lineRule="auto"/>
              <w:ind w:left="15"/>
              <w:jc w:val="right"/>
              <w:rPr>
                <w:color w:val="000000"/>
                <w:sz w:val="21"/>
              </w:rPr>
            </w:pPr>
            <w:r w:rsidRPr="00514C11">
              <w:rPr>
                <w:color w:val="000000"/>
                <w:sz w:val="21"/>
              </w:rPr>
              <w:t>14.73</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sidRPr="00514C11">
              <w:rPr>
                <w:color w:val="000000"/>
                <w:sz w:val="21"/>
              </w:rPr>
              <w:t>8</w:t>
            </w:r>
          </w:p>
        </w:tc>
        <w:tc>
          <w:tcPr>
            <w:tcW w:w="3357" w:type="dxa"/>
            <w:vAlign w:val="center"/>
          </w:tcPr>
          <w:p w:rsidR="003B1826" w:rsidRPr="00514C11" w:rsidRDefault="003B1826" w:rsidP="00DB1533">
            <w:pPr>
              <w:autoSpaceDE w:val="0"/>
              <w:autoSpaceDN w:val="0"/>
              <w:adjustRightInd w:val="0"/>
              <w:spacing w:line="360" w:lineRule="auto"/>
              <w:ind w:left="15"/>
              <w:jc w:val="left"/>
              <w:rPr>
                <w:color w:val="000000"/>
                <w:sz w:val="21"/>
              </w:rPr>
            </w:pPr>
            <w:r w:rsidRPr="00514C11">
              <w:rPr>
                <w:color w:val="000000"/>
                <w:sz w:val="21"/>
              </w:rPr>
              <w:t>合计</w:t>
            </w:r>
          </w:p>
        </w:tc>
        <w:tc>
          <w:tcPr>
            <w:tcW w:w="2977" w:type="dxa"/>
            <w:vAlign w:val="center"/>
          </w:tcPr>
          <w:p w:rsidR="003B1826" w:rsidRPr="00514C11" w:rsidRDefault="003B1826" w:rsidP="00DB1533">
            <w:pPr>
              <w:autoSpaceDE w:val="0"/>
              <w:autoSpaceDN w:val="0"/>
              <w:adjustRightInd w:val="0"/>
              <w:spacing w:line="360" w:lineRule="auto"/>
              <w:ind w:left="15"/>
              <w:jc w:val="right"/>
              <w:rPr>
                <w:color w:val="000000"/>
                <w:sz w:val="21"/>
              </w:rPr>
            </w:pPr>
            <w:r w:rsidRPr="00514C11">
              <w:rPr>
                <w:color w:val="000000"/>
                <w:sz w:val="21"/>
              </w:rPr>
              <w:t>128,676,502.23</w:t>
            </w:r>
          </w:p>
        </w:tc>
        <w:tc>
          <w:tcPr>
            <w:tcW w:w="1843" w:type="dxa"/>
            <w:vAlign w:val="center"/>
          </w:tcPr>
          <w:p w:rsidR="003B1826" w:rsidRPr="00514C11" w:rsidRDefault="003B1826" w:rsidP="00DB1533">
            <w:pPr>
              <w:autoSpaceDE w:val="0"/>
              <w:autoSpaceDN w:val="0"/>
              <w:adjustRightInd w:val="0"/>
              <w:spacing w:line="360" w:lineRule="auto"/>
              <w:ind w:left="15"/>
              <w:jc w:val="right"/>
              <w:rPr>
                <w:color w:val="000000"/>
                <w:sz w:val="21"/>
              </w:rPr>
            </w:pPr>
            <w:r w:rsidRPr="00514C11">
              <w:rPr>
                <w:color w:val="000000"/>
                <w:sz w:val="21"/>
              </w:rPr>
              <w:t>100.00</w:t>
            </w:r>
          </w:p>
        </w:tc>
      </w:tr>
    </w:tbl>
    <w:p w:rsidR="00AC39FD" w:rsidRDefault="00AC39FD" w:rsidP="00DB1533">
      <w:pPr>
        <w:autoSpaceDE w:val="0"/>
        <w:autoSpaceDN w:val="0"/>
        <w:adjustRightInd w:val="0"/>
        <w:spacing w:before="29" w:line="360" w:lineRule="auto"/>
        <w:ind w:left="15"/>
        <w:jc w:val="left"/>
        <w:rPr>
          <w:b/>
          <w:color w:val="000000"/>
          <w:kern w:val="0"/>
        </w:rPr>
      </w:pPr>
    </w:p>
    <w:p w:rsidR="004061AC" w:rsidRPr="00514C11"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6F2F95" w:rsidRPr="00514C11">
        <w:rPr>
          <w:b/>
          <w:color w:val="000000"/>
          <w:kern w:val="0"/>
        </w:rPr>
        <w:t>1.</w:t>
      </w:r>
      <w:r w:rsidRPr="00514C11">
        <w:rPr>
          <w:b/>
          <w:color w:val="000000"/>
          <w:kern w:val="0"/>
        </w:rPr>
        <w:t xml:space="preserve">2 </w:t>
      </w:r>
      <w:r w:rsidRPr="00514C11">
        <w:rPr>
          <w:b/>
          <w:color w:val="000000"/>
          <w:kern w:val="0"/>
        </w:rPr>
        <w:t>报告期末按行业分类的股票投资组合</w:t>
      </w:r>
    </w:p>
    <w:p w:rsidR="0082115D" w:rsidRPr="00514C11" w:rsidRDefault="0082115D" w:rsidP="00DB1533">
      <w:pPr>
        <w:spacing w:line="360" w:lineRule="auto"/>
        <w:rPr>
          <w:b/>
        </w:rPr>
      </w:pPr>
      <w:r w:rsidRPr="00514C11">
        <w:rPr>
          <w:rFonts w:eastAsiaTheme="minorEastAsia"/>
          <w:b/>
          <w:color w:val="000000" w:themeColor="text1"/>
          <w:kern w:val="0"/>
        </w:rPr>
        <w:t>5.1.2.1</w:t>
      </w:r>
      <w:r w:rsidR="003A5489">
        <w:rPr>
          <w:rFonts w:eastAsiaTheme="minorEastAsia" w:hint="eastAsia"/>
          <w:b/>
          <w:color w:val="000000" w:themeColor="text1"/>
          <w:kern w:val="0"/>
        </w:rPr>
        <w:t xml:space="preserve"> </w:t>
      </w:r>
      <w:r w:rsidRPr="00514C11">
        <w:rPr>
          <w:rFonts w:eastAsiaTheme="minorEastAsia"/>
          <w:b/>
          <w:color w:val="000000" w:themeColor="text1"/>
          <w:kern w:val="0"/>
        </w:rPr>
        <w:t>报告期末按行业分类的境内股票投资组合</w:t>
      </w:r>
    </w:p>
    <w:tbl>
      <w:tblPr>
        <w:tblW w:w="8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986"/>
        <w:gridCol w:w="2551"/>
        <w:gridCol w:w="1780"/>
      </w:tblGrid>
      <w:tr w:rsidR="00220C32" w:rsidRPr="00514C11" w:rsidTr="0060084E">
        <w:trPr>
          <w:trHeight w:val="390"/>
          <w:jc w:val="center"/>
        </w:trPr>
        <w:tc>
          <w:tcPr>
            <w:tcW w:w="540" w:type="dxa"/>
            <w:tcBorders>
              <w:top w:val="single" w:sz="4" w:space="0" w:color="000000"/>
              <w:left w:val="single" w:sz="4" w:space="0" w:color="000000"/>
              <w:bottom w:val="single" w:sz="4" w:space="0" w:color="000000"/>
              <w:right w:val="single" w:sz="4" w:space="0" w:color="000000"/>
            </w:tcBorders>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代码</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行业类别</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公允价值（元）</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占基金资产净值比例（％）</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A</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农、林、牧、渔业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adjustRightInd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B</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left"/>
              <w:rPr>
                <w:color w:val="000000"/>
                <w:kern w:val="0"/>
              </w:rPr>
            </w:pPr>
            <w:r w:rsidRPr="00514C11">
              <w:rPr>
                <w:color w:val="000000"/>
                <w:kern w:val="0"/>
              </w:rPr>
              <w:t>采矿业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adjustRightInd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C</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制造业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2,434,910.80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2.31</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D</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电力、热力、燃气及水生产和供应业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E</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建筑业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F</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批发和零售业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G</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交通运输、仓储和邮政业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H</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住宿和餐饮业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I</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信息传输、软件和信息技术服务业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1,180,100.00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1.12</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J</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金融业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K</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房地产业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L</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租赁和商务服务业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M</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科学研究和技术服务业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N</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水利、环境和公共设施管理业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O</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居民服务、修理和其他服务业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P</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教育</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Q</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卫生和社会工作</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R</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文化、体育和娱乐业</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861,000.00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0.82</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r w:rsidRPr="00514C11">
              <w:rPr>
                <w:color w:val="000000"/>
                <w:kern w:val="0"/>
              </w:rPr>
              <w:t>S</w:t>
            </w: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综合</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w:t>
            </w:r>
          </w:p>
        </w:tc>
      </w:tr>
      <w:tr w:rsidR="00220C32" w:rsidRPr="00514C11" w:rsidTr="0060084E">
        <w:trPr>
          <w:trHeight w:val="285"/>
          <w:jc w:val="center"/>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jc w:val="center"/>
              <w:rPr>
                <w:color w:val="000000"/>
                <w:kern w:val="0"/>
              </w:rPr>
            </w:pPr>
          </w:p>
        </w:tc>
        <w:tc>
          <w:tcPr>
            <w:tcW w:w="398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31F10" w:rsidRPr="00514C11" w:rsidRDefault="00531F10" w:rsidP="00DB1533">
            <w:pPr>
              <w:autoSpaceDE w:val="0"/>
              <w:autoSpaceDN w:val="0"/>
              <w:adjustRightInd w:val="0"/>
              <w:spacing w:before="29" w:line="360" w:lineRule="auto"/>
              <w:ind w:left="15"/>
              <w:rPr>
                <w:color w:val="000000"/>
                <w:kern w:val="0"/>
              </w:rPr>
            </w:pPr>
            <w:r w:rsidRPr="00514C11">
              <w:rPr>
                <w:color w:val="000000"/>
                <w:kern w:val="0"/>
              </w:rPr>
              <w:t>合计</w:t>
            </w:r>
          </w:p>
        </w:tc>
        <w:tc>
          <w:tcPr>
            <w:tcW w:w="2551" w:type="dxa"/>
            <w:tcBorders>
              <w:top w:val="single" w:sz="4" w:space="0" w:color="000000"/>
              <w:left w:val="single" w:sz="4" w:space="0" w:color="auto"/>
              <w:bottom w:val="single" w:sz="4" w:space="0" w:color="000000"/>
              <w:right w:val="single" w:sz="4" w:space="0" w:color="000000"/>
            </w:tcBorders>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4,476,010.80</w:t>
            </w:r>
          </w:p>
        </w:tc>
        <w:tc>
          <w:tcPr>
            <w:tcW w:w="17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31F10" w:rsidRPr="00514C11" w:rsidRDefault="00531F10" w:rsidP="00DB1533">
            <w:pPr>
              <w:autoSpaceDE w:val="0"/>
              <w:autoSpaceDN w:val="0"/>
              <w:spacing w:before="29" w:line="360" w:lineRule="auto"/>
              <w:ind w:left="15"/>
              <w:jc w:val="right"/>
              <w:rPr>
                <w:color w:val="000000"/>
                <w:kern w:val="0"/>
              </w:rPr>
            </w:pPr>
            <w:r w:rsidRPr="00514C11">
              <w:rPr>
                <w:color w:val="000000"/>
                <w:kern w:val="0"/>
              </w:rPr>
              <w:t>4.24</w:t>
            </w:r>
          </w:p>
        </w:tc>
      </w:tr>
    </w:tbl>
    <w:p w:rsidR="0082115D" w:rsidRPr="00514C11" w:rsidRDefault="0082115D" w:rsidP="00DB1533">
      <w:pPr>
        <w:spacing w:line="360" w:lineRule="auto"/>
        <w:jc w:val="left"/>
        <w:rPr>
          <w:rFonts w:eastAsiaTheme="minorEastAsia"/>
          <w:color w:val="000000" w:themeColor="text1"/>
        </w:rPr>
      </w:pPr>
      <w:r w:rsidRPr="00514C11">
        <w:rPr>
          <w:rFonts w:eastAsiaTheme="minorEastAsia"/>
          <w:b/>
          <w:color w:val="000000" w:themeColor="text1"/>
          <w:kern w:val="0"/>
        </w:rPr>
        <w:t>5.1.2.2</w:t>
      </w:r>
      <w:r w:rsidR="003A5489">
        <w:rPr>
          <w:rFonts w:eastAsiaTheme="minorEastAsia" w:hint="eastAsia"/>
          <w:b/>
          <w:color w:val="000000" w:themeColor="text1"/>
          <w:kern w:val="0"/>
        </w:rPr>
        <w:t xml:space="preserve"> </w:t>
      </w:r>
      <w:r w:rsidR="00BC2BDA">
        <w:rPr>
          <w:rFonts w:eastAsiaTheme="minorEastAsia"/>
          <w:b/>
          <w:color w:val="000000" w:themeColor="text1"/>
          <w:kern w:val="0"/>
        </w:rPr>
        <w:t>报告期末按行业分类的</w:t>
      </w:r>
      <w:r w:rsidRPr="00514C11">
        <w:rPr>
          <w:rFonts w:eastAsiaTheme="minorEastAsia"/>
          <w:b/>
          <w:color w:val="000000" w:themeColor="text1"/>
          <w:kern w:val="0"/>
        </w:rPr>
        <w:t>港</w:t>
      </w:r>
      <w:r w:rsidR="00BC2BDA">
        <w:rPr>
          <w:rFonts w:eastAsiaTheme="minorEastAsia" w:hint="eastAsia"/>
          <w:b/>
          <w:color w:val="000000" w:themeColor="text1"/>
          <w:kern w:val="0"/>
        </w:rPr>
        <w:t>股</w:t>
      </w:r>
      <w:r w:rsidRPr="00514C11">
        <w:rPr>
          <w:rFonts w:eastAsiaTheme="minorEastAsia"/>
          <w:b/>
          <w:color w:val="000000" w:themeColor="text1"/>
          <w:kern w:val="0"/>
        </w:rPr>
        <w:t>通投资股票投资组合</w:t>
      </w:r>
    </w:p>
    <w:p w:rsidR="0082115D" w:rsidRDefault="0082115D" w:rsidP="00DB1533">
      <w:pPr>
        <w:autoSpaceDE w:val="0"/>
        <w:autoSpaceDN w:val="0"/>
        <w:adjustRightInd w:val="0"/>
        <w:spacing w:before="29" w:line="360" w:lineRule="auto"/>
        <w:ind w:left="15"/>
        <w:jc w:val="left"/>
        <w:rPr>
          <w:color w:val="000000"/>
          <w:kern w:val="0"/>
        </w:rPr>
      </w:pPr>
      <w:r w:rsidRPr="00514C11">
        <w:rPr>
          <w:color w:val="000000"/>
          <w:kern w:val="0"/>
        </w:rPr>
        <w:t>本基金本报告期末未持有通过港股通投资的股票。</w:t>
      </w:r>
    </w:p>
    <w:p w:rsidR="004061AC" w:rsidRPr="00514C11"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6F2F95" w:rsidRPr="00514C11">
        <w:rPr>
          <w:b/>
          <w:color w:val="000000"/>
          <w:kern w:val="0"/>
        </w:rPr>
        <w:t>1.</w:t>
      </w:r>
      <w:r w:rsidRPr="00514C11">
        <w:rPr>
          <w:b/>
          <w:color w:val="000000"/>
          <w:kern w:val="0"/>
        </w:rPr>
        <w:t xml:space="preserve">3 </w:t>
      </w:r>
      <w:r w:rsidRPr="00514C11">
        <w:rPr>
          <w:b/>
          <w:color w:val="000000"/>
          <w:kern w:val="0"/>
        </w:rPr>
        <w:t>报告期末按公允价值占基金资产净值比例大小排序的前十名股票投资明细</w:t>
      </w:r>
    </w:p>
    <w:tbl>
      <w:tblPr>
        <w:tblStyle w:val="af7"/>
        <w:tblW w:w="8789" w:type="dxa"/>
        <w:tblInd w:w="-176" w:type="dxa"/>
        <w:tblLayout w:type="fixed"/>
        <w:tblLook w:val="04A0" w:firstRow="1" w:lastRow="0" w:firstColumn="1" w:lastColumn="0" w:noHBand="0" w:noVBand="1"/>
      </w:tblPr>
      <w:tblGrid>
        <w:gridCol w:w="993"/>
        <w:gridCol w:w="1276"/>
        <w:gridCol w:w="1559"/>
        <w:gridCol w:w="1418"/>
        <w:gridCol w:w="1842"/>
        <w:gridCol w:w="1701"/>
      </w:tblGrid>
      <w:tr w:rsidR="00220C32" w:rsidRPr="00514C11" w:rsidTr="00D0083B">
        <w:tc>
          <w:tcPr>
            <w:tcW w:w="993"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1276"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股票代码</w:t>
            </w:r>
          </w:p>
        </w:tc>
        <w:tc>
          <w:tcPr>
            <w:tcW w:w="1559"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股票名称</w:t>
            </w:r>
          </w:p>
        </w:tc>
        <w:tc>
          <w:tcPr>
            <w:tcW w:w="1418"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数量</w:t>
            </w:r>
            <w:r w:rsidR="00D57B7C" w:rsidRPr="00514C11">
              <w:rPr>
                <w:color w:val="000000"/>
                <w:sz w:val="21"/>
              </w:rPr>
              <w:t>(</w:t>
            </w:r>
            <w:r w:rsidRPr="00514C11">
              <w:rPr>
                <w:color w:val="000000"/>
                <w:sz w:val="21"/>
              </w:rPr>
              <w:t>股</w:t>
            </w:r>
            <w:r w:rsidR="00D57B7C" w:rsidRPr="00514C11">
              <w:rPr>
                <w:color w:val="000000"/>
                <w:sz w:val="21"/>
              </w:rPr>
              <w:t>)</w:t>
            </w:r>
          </w:p>
        </w:tc>
        <w:tc>
          <w:tcPr>
            <w:tcW w:w="1842"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公允价值</w:t>
            </w:r>
            <w:r w:rsidRPr="00514C11">
              <w:rPr>
                <w:color w:val="000000"/>
                <w:sz w:val="21"/>
              </w:rPr>
              <w:t>(</w:t>
            </w:r>
            <w:r w:rsidRPr="00514C11">
              <w:rPr>
                <w:color w:val="000000"/>
                <w:sz w:val="21"/>
              </w:rPr>
              <w:t>元</w:t>
            </w:r>
            <w:r w:rsidRPr="00514C11">
              <w:rPr>
                <w:color w:val="000000"/>
                <w:sz w:val="21"/>
              </w:rPr>
              <w:t>)</w:t>
            </w:r>
          </w:p>
        </w:tc>
        <w:tc>
          <w:tcPr>
            <w:tcW w:w="1701"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占基金资产净值比例</w:t>
            </w:r>
            <w:r w:rsidR="00D57B7C" w:rsidRPr="00514C11">
              <w:rPr>
                <w:color w:val="000000"/>
                <w:sz w:val="21"/>
              </w:rPr>
              <w:t>(</w:t>
            </w:r>
            <w:r w:rsidRPr="00514C11">
              <w:rPr>
                <w:color w:val="000000"/>
                <w:sz w:val="21"/>
              </w:rPr>
              <w:t>％</w:t>
            </w:r>
            <w:r w:rsidR="00D57B7C" w:rsidRPr="00514C11">
              <w:rPr>
                <w:color w:val="000000"/>
                <w:sz w:val="21"/>
              </w:rPr>
              <w:t>)</w:t>
            </w:r>
          </w:p>
        </w:tc>
      </w:tr>
      <w:tr w:rsidR="00077707">
        <w:tc>
          <w:tcPr>
            <w:tcW w:w="993" w:type="dxa"/>
            <w:vAlign w:val="center"/>
          </w:tcPr>
          <w:p w:rsidR="00077707" w:rsidRDefault="00852D50">
            <w:pPr>
              <w:jc w:val="center"/>
            </w:pPr>
            <w:r>
              <w:rPr>
                <w:color w:val="000000"/>
                <w:sz w:val="21"/>
              </w:rPr>
              <w:t>1</w:t>
            </w:r>
          </w:p>
        </w:tc>
        <w:tc>
          <w:tcPr>
            <w:tcW w:w="1276" w:type="dxa"/>
            <w:vAlign w:val="center"/>
          </w:tcPr>
          <w:p w:rsidR="00077707" w:rsidRDefault="00852D50">
            <w:pPr>
              <w:jc w:val="center"/>
            </w:pPr>
            <w:r>
              <w:rPr>
                <w:color w:val="000000"/>
                <w:sz w:val="21"/>
              </w:rPr>
              <w:t>300595</w:t>
            </w:r>
          </w:p>
        </w:tc>
        <w:tc>
          <w:tcPr>
            <w:tcW w:w="1559" w:type="dxa"/>
            <w:vAlign w:val="center"/>
          </w:tcPr>
          <w:p w:rsidR="00077707" w:rsidRDefault="00852D50">
            <w:pPr>
              <w:jc w:val="center"/>
            </w:pPr>
            <w:r>
              <w:rPr>
                <w:color w:val="000000"/>
                <w:sz w:val="21"/>
              </w:rPr>
              <w:t>欧普康视</w:t>
            </w:r>
          </w:p>
        </w:tc>
        <w:tc>
          <w:tcPr>
            <w:tcW w:w="1418" w:type="dxa"/>
            <w:vAlign w:val="center"/>
          </w:tcPr>
          <w:p w:rsidR="00077707" w:rsidRDefault="00852D50">
            <w:pPr>
              <w:jc w:val="right"/>
            </w:pPr>
            <w:r>
              <w:rPr>
                <w:color w:val="000000"/>
                <w:sz w:val="21"/>
              </w:rPr>
              <w:t>24,940</w:t>
            </w:r>
          </w:p>
        </w:tc>
        <w:tc>
          <w:tcPr>
            <w:tcW w:w="1842" w:type="dxa"/>
            <w:vAlign w:val="center"/>
          </w:tcPr>
          <w:p w:rsidR="00077707" w:rsidRDefault="00852D50">
            <w:pPr>
              <w:jc w:val="right"/>
            </w:pPr>
            <w:r>
              <w:rPr>
                <w:color w:val="000000"/>
                <w:sz w:val="21"/>
              </w:rPr>
              <w:t>1,117,810.80</w:t>
            </w:r>
          </w:p>
        </w:tc>
        <w:tc>
          <w:tcPr>
            <w:tcW w:w="1701" w:type="dxa"/>
            <w:vAlign w:val="center"/>
          </w:tcPr>
          <w:p w:rsidR="00077707" w:rsidRDefault="00852D50">
            <w:pPr>
              <w:jc w:val="right"/>
            </w:pPr>
            <w:r>
              <w:rPr>
                <w:color w:val="000000"/>
                <w:sz w:val="21"/>
              </w:rPr>
              <w:t>1.06</w:t>
            </w:r>
          </w:p>
        </w:tc>
      </w:tr>
      <w:tr w:rsidR="00077707">
        <w:tc>
          <w:tcPr>
            <w:tcW w:w="993" w:type="dxa"/>
            <w:vAlign w:val="center"/>
          </w:tcPr>
          <w:p w:rsidR="00077707" w:rsidRDefault="00852D50">
            <w:pPr>
              <w:jc w:val="center"/>
            </w:pPr>
            <w:r>
              <w:rPr>
                <w:color w:val="000000"/>
                <w:sz w:val="21"/>
              </w:rPr>
              <w:t>2</w:t>
            </w:r>
          </w:p>
        </w:tc>
        <w:tc>
          <w:tcPr>
            <w:tcW w:w="1276" w:type="dxa"/>
            <w:vAlign w:val="center"/>
          </w:tcPr>
          <w:p w:rsidR="00077707" w:rsidRDefault="00852D50">
            <w:pPr>
              <w:jc w:val="center"/>
            </w:pPr>
            <w:r>
              <w:rPr>
                <w:color w:val="000000"/>
                <w:sz w:val="21"/>
              </w:rPr>
              <w:t>000681</w:t>
            </w:r>
          </w:p>
        </w:tc>
        <w:tc>
          <w:tcPr>
            <w:tcW w:w="1559" w:type="dxa"/>
            <w:vAlign w:val="center"/>
          </w:tcPr>
          <w:p w:rsidR="00077707" w:rsidRDefault="00852D50">
            <w:pPr>
              <w:jc w:val="center"/>
            </w:pPr>
            <w:r>
              <w:rPr>
                <w:color w:val="000000"/>
                <w:sz w:val="21"/>
              </w:rPr>
              <w:t>视觉中国</w:t>
            </w:r>
          </w:p>
        </w:tc>
        <w:tc>
          <w:tcPr>
            <w:tcW w:w="1418" w:type="dxa"/>
            <w:vAlign w:val="center"/>
          </w:tcPr>
          <w:p w:rsidR="00077707" w:rsidRDefault="00852D50">
            <w:pPr>
              <w:jc w:val="right"/>
            </w:pPr>
            <w:r>
              <w:rPr>
                <w:color w:val="000000"/>
                <w:sz w:val="21"/>
              </w:rPr>
              <w:t>30,000</w:t>
            </w:r>
          </w:p>
        </w:tc>
        <w:tc>
          <w:tcPr>
            <w:tcW w:w="1842" w:type="dxa"/>
            <w:vAlign w:val="center"/>
          </w:tcPr>
          <w:p w:rsidR="00077707" w:rsidRDefault="00852D50">
            <w:pPr>
              <w:jc w:val="right"/>
            </w:pPr>
            <w:r>
              <w:rPr>
                <w:color w:val="000000"/>
                <w:sz w:val="21"/>
              </w:rPr>
              <w:t>861,000.00</w:t>
            </w:r>
          </w:p>
        </w:tc>
        <w:tc>
          <w:tcPr>
            <w:tcW w:w="1701" w:type="dxa"/>
            <w:vAlign w:val="center"/>
          </w:tcPr>
          <w:p w:rsidR="00077707" w:rsidRDefault="00852D50">
            <w:pPr>
              <w:jc w:val="right"/>
            </w:pPr>
            <w:r>
              <w:rPr>
                <w:color w:val="000000"/>
                <w:sz w:val="21"/>
              </w:rPr>
              <w:t>0.82</w:t>
            </w:r>
          </w:p>
        </w:tc>
      </w:tr>
      <w:tr w:rsidR="00077707">
        <w:tc>
          <w:tcPr>
            <w:tcW w:w="993" w:type="dxa"/>
            <w:vAlign w:val="center"/>
          </w:tcPr>
          <w:p w:rsidR="00077707" w:rsidRDefault="00852D50">
            <w:pPr>
              <w:jc w:val="center"/>
            </w:pPr>
            <w:r>
              <w:rPr>
                <w:color w:val="000000"/>
                <w:sz w:val="21"/>
              </w:rPr>
              <w:t>3</w:t>
            </w:r>
          </w:p>
        </w:tc>
        <w:tc>
          <w:tcPr>
            <w:tcW w:w="1276" w:type="dxa"/>
            <w:vAlign w:val="center"/>
          </w:tcPr>
          <w:p w:rsidR="00077707" w:rsidRDefault="00852D50">
            <w:pPr>
              <w:jc w:val="center"/>
            </w:pPr>
            <w:r>
              <w:rPr>
                <w:color w:val="000000"/>
                <w:sz w:val="21"/>
              </w:rPr>
              <w:t>600315</w:t>
            </w:r>
          </w:p>
        </w:tc>
        <w:tc>
          <w:tcPr>
            <w:tcW w:w="1559" w:type="dxa"/>
            <w:vAlign w:val="center"/>
          </w:tcPr>
          <w:p w:rsidR="00077707" w:rsidRDefault="00852D50">
            <w:pPr>
              <w:jc w:val="center"/>
            </w:pPr>
            <w:r>
              <w:rPr>
                <w:color w:val="000000"/>
                <w:sz w:val="21"/>
              </w:rPr>
              <w:t>上海家化</w:t>
            </w:r>
          </w:p>
        </w:tc>
        <w:tc>
          <w:tcPr>
            <w:tcW w:w="1418" w:type="dxa"/>
            <w:vAlign w:val="center"/>
          </w:tcPr>
          <w:p w:rsidR="00077707" w:rsidRDefault="00852D50">
            <w:pPr>
              <w:jc w:val="right"/>
            </w:pPr>
            <w:r>
              <w:rPr>
                <w:color w:val="000000"/>
                <w:sz w:val="21"/>
              </w:rPr>
              <w:t>20,000</w:t>
            </w:r>
          </w:p>
        </w:tc>
        <w:tc>
          <w:tcPr>
            <w:tcW w:w="1842" w:type="dxa"/>
            <w:vAlign w:val="center"/>
          </w:tcPr>
          <w:p w:rsidR="00077707" w:rsidRDefault="00852D50">
            <w:pPr>
              <w:jc w:val="right"/>
            </w:pPr>
            <w:r>
              <w:rPr>
                <w:color w:val="000000"/>
                <w:sz w:val="21"/>
              </w:rPr>
              <w:t>792,600.00</w:t>
            </w:r>
          </w:p>
        </w:tc>
        <w:tc>
          <w:tcPr>
            <w:tcW w:w="1701" w:type="dxa"/>
            <w:vAlign w:val="center"/>
          </w:tcPr>
          <w:p w:rsidR="00077707" w:rsidRDefault="00852D50">
            <w:pPr>
              <w:jc w:val="right"/>
            </w:pPr>
            <w:r>
              <w:rPr>
                <w:color w:val="000000"/>
                <w:sz w:val="21"/>
              </w:rPr>
              <w:t>0.75</w:t>
            </w:r>
          </w:p>
        </w:tc>
      </w:tr>
      <w:tr w:rsidR="00077707">
        <w:tc>
          <w:tcPr>
            <w:tcW w:w="993" w:type="dxa"/>
            <w:vAlign w:val="center"/>
          </w:tcPr>
          <w:p w:rsidR="00077707" w:rsidRDefault="00852D50">
            <w:pPr>
              <w:jc w:val="center"/>
            </w:pPr>
            <w:r>
              <w:rPr>
                <w:color w:val="000000"/>
                <w:sz w:val="21"/>
              </w:rPr>
              <w:t>4</w:t>
            </w:r>
          </w:p>
        </w:tc>
        <w:tc>
          <w:tcPr>
            <w:tcW w:w="1276" w:type="dxa"/>
            <w:vAlign w:val="center"/>
          </w:tcPr>
          <w:p w:rsidR="00077707" w:rsidRDefault="00852D50">
            <w:pPr>
              <w:jc w:val="center"/>
            </w:pPr>
            <w:r>
              <w:rPr>
                <w:color w:val="000000"/>
                <w:sz w:val="21"/>
              </w:rPr>
              <w:t>300036</w:t>
            </w:r>
          </w:p>
        </w:tc>
        <w:tc>
          <w:tcPr>
            <w:tcW w:w="1559" w:type="dxa"/>
            <w:vAlign w:val="center"/>
          </w:tcPr>
          <w:p w:rsidR="00077707" w:rsidRDefault="00852D50">
            <w:pPr>
              <w:jc w:val="center"/>
            </w:pPr>
            <w:r>
              <w:rPr>
                <w:color w:val="000000"/>
                <w:sz w:val="21"/>
              </w:rPr>
              <w:t>超图软件</w:t>
            </w:r>
          </w:p>
        </w:tc>
        <w:tc>
          <w:tcPr>
            <w:tcW w:w="1418" w:type="dxa"/>
            <w:vAlign w:val="center"/>
          </w:tcPr>
          <w:p w:rsidR="00077707" w:rsidRDefault="00852D50">
            <w:pPr>
              <w:jc w:val="right"/>
            </w:pPr>
            <w:r>
              <w:rPr>
                <w:color w:val="000000"/>
                <w:sz w:val="21"/>
              </w:rPr>
              <w:t>30,000</w:t>
            </w:r>
          </w:p>
        </w:tc>
        <w:tc>
          <w:tcPr>
            <w:tcW w:w="1842" w:type="dxa"/>
            <w:vAlign w:val="center"/>
          </w:tcPr>
          <w:p w:rsidR="00077707" w:rsidRDefault="00852D50">
            <w:pPr>
              <w:jc w:val="right"/>
            </w:pPr>
            <w:r>
              <w:rPr>
                <w:color w:val="000000"/>
                <w:sz w:val="21"/>
              </w:rPr>
              <w:t>611,700.00</w:t>
            </w:r>
          </w:p>
        </w:tc>
        <w:tc>
          <w:tcPr>
            <w:tcW w:w="1701" w:type="dxa"/>
            <w:vAlign w:val="center"/>
          </w:tcPr>
          <w:p w:rsidR="00077707" w:rsidRDefault="00852D50">
            <w:pPr>
              <w:jc w:val="right"/>
            </w:pPr>
            <w:r>
              <w:rPr>
                <w:color w:val="000000"/>
                <w:sz w:val="21"/>
              </w:rPr>
              <w:t>0.58</w:t>
            </w:r>
          </w:p>
        </w:tc>
      </w:tr>
      <w:tr w:rsidR="00077707">
        <w:tc>
          <w:tcPr>
            <w:tcW w:w="993" w:type="dxa"/>
            <w:vAlign w:val="center"/>
          </w:tcPr>
          <w:p w:rsidR="00077707" w:rsidRDefault="00852D50">
            <w:pPr>
              <w:jc w:val="center"/>
            </w:pPr>
            <w:r>
              <w:rPr>
                <w:color w:val="000000"/>
                <w:sz w:val="21"/>
              </w:rPr>
              <w:t>5</w:t>
            </w:r>
          </w:p>
        </w:tc>
        <w:tc>
          <w:tcPr>
            <w:tcW w:w="1276" w:type="dxa"/>
            <w:vAlign w:val="center"/>
          </w:tcPr>
          <w:p w:rsidR="00077707" w:rsidRDefault="00852D50">
            <w:pPr>
              <w:jc w:val="center"/>
            </w:pPr>
            <w:r>
              <w:rPr>
                <w:color w:val="000000"/>
                <w:sz w:val="21"/>
              </w:rPr>
              <w:t>300170</w:t>
            </w:r>
          </w:p>
        </w:tc>
        <w:tc>
          <w:tcPr>
            <w:tcW w:w="1559" w:type="dxa"/>
            <w:vAlign w:val="center"/>
          </w:tcPr>
          <w:p w:rsidR="00077707" w:rsidRDefault="00852D50">
            <w:pPr>
              <w:jc w:val="center"/>
            </w:pPr>
            <w:r>
              <w:rPr>
                <w:color w:val="000000"/>
                <w:sz w:val="21"/>
              </w:rPr>
              <w:t>汉得信息</w:t>
            </w:r>
          </w:p>
        </w:tc>
        <w:tc>
          <w:tcPr>
            <w:tcW w:w="1418" w:type="dxa"/>
            <w:vAlign w:val="center"/>
          </w:tcPr>
          <w:p w:rsidR="00077707" w:rsidRDefault="00852D50">
            <w:pPr>
              <w:jc w:val="right"/>
            </w:pPr>
            <w:r>
              <w:rPr>
                <w:color w:val="000000"/>
                <w:sz w:val="21"/>
              </w:rPr>
              <w:t>35,000</w:t>
            </w:r>
          </w:p>
        </w:tc>
        <w:tc>
          <w:tcPr>
            <w:tcW w:w="1842" w:type="dxa"/>
            <w:vAlign w:val="center"/>
          </w:tcPr>
          <w:p w:rsidR="00077707" w:rsidRDefault="00852D50">
            <w:pPr>
              <w:jc w:val="right"/>
            </w:pPr>
            <w:r>
              <w:rPr>
                <w:color w:val="000000"/>
                <w:sz w:val="21"/>
              </w:rPr>
              <w:t>568,400.00</w:t>
            </w:r>
          </w:p>
        </w:tc>
        <w:tc>
          <w:tcPr>
            <w:tcW w:w="1701" w:type="dxa"/>
            <w:vAlign w:val="center"/>
          </w:tcPr>
          <w:p w:rsidR="00077707" w:rsidRDefault="00852D50">
            <w:pPr>
              <w:jc w:val="right"/>
            </w:pPr>
            <w:r>
              <w:rPr>
                <w:color w:val="000000"/>
                <w:sz w:val="21"/>
              </w:rPr>
              <w:t>0.54</w:t>
            </w:r>
          </w:p>
        </w:tc>
      </w:tr>
      <w:tr w:rsidR="00077707">
        <w:tc>
          <w:tcPr>
            <w:tcW w:w="993" w:type="dxa"/>
            <w:vAlign w:val="center"/>
          </w:tcPr>
          <w:p w:rsidR="00077707" w:rsidRDefault="00852D50">
            <w:pPr>
              <w:jc w:val="center"/>
            </w:pPr>
            <w:r>
              <w:rPr>
                <w:color w:val="000000"/>
                <w:sz w:val="21"/>
              </w:rPr>
              <w:t>6</w:t>
            </w:r>
          </w:p>
        </w:tc>
        <w:tc>
          <w:tcPr>
            <w:tcW w:w="1276" w:type="dxa"/>
            <w:vAlign w:val="center"/>
          </w:tcPr>
          <w:p w:rsidR="00077707" w:rsidRDefault="00852D50">
            <w:pPr>
              <w:jc w:val="center"/>
            </w:pPr>
            <w:r>
              <w:rPr>
                <w:color w:val="000000"/>
                <w:sz w:val="21"/>
              </w:rPr>
              <w:t>300401</w:t>
            </w:r>
          </w:p>
        </w:tc>
        <w:tc>
          <w:tcPr>
            <w:tcW w:w="1559" w:type="dxa"/>
            <w:vAlign w:val="center"/>
          </w:tcPr>
          <w:p w:rsidR="00077707" w:rsidRDefault="00852D50">
            <w:pPr>
              <w:jc w:val="center"/>
            </w:pPr>
            <w:r>
              <w:rPr>
                <w:color w:val="000000"/>
                <w:sz w:val="21"/>
              </w:rPr>
              <w:t>花园生物</w:t>
            </w:r>
          </w:p>
        </w:tc>
        <w:tc>
          <w:tcPr>
            <w:tcW w:w="1418" w:type="dxa"/>
            <w:vAlign w:val="center"/>
          </w:tcPr>
          <w:p w:rsidR="00077707" w:rsidRDefault="00852D50">
            <w:pPr>
              <w:jc w:val="right"/>
            </w:pPr>
            <w:r>
              <w:rPr>
                <w:color w:val="000000"/>
                <w:sz w:val="21"/>
              </w:rPr>
              <w:t>25,000</w:t>
            </w:r>
          </w:p>
        </w:tc>
        <w:tc>
          <w:tcPr>
            <w:tcW w:w="1842" w:type="dxa"/>
            <w:vAlign w:val="center"/>
          </w:tcPr>
          <w:p w:rsidR="00077707" w:rsidRDefault="00852D50">
            <w:pPr>
              <w:jc w:val="right"/>
            </w:pPr>
            <w:r>
              <w:rPr>
                <w:color w:val="000000"/>
                <w:sz w:val="21"/>
              </w:rPr>
              <w:t>524,500.00</w:t>
            </w:r>
          </w:p>
        </w:tc>
        <w:tc>
          <w:tcPr>
            <w:tcW w:w="1701" w:type="dxa"/>
            <w:vAlign w:val="center"/>
          </w:tcPr>
          <w:p w:rsidR="00077707" w:rsidRDefault="00852D50">
            <w:pPr>
              <w:jc w:val="right"/>
            </w:pPr>
            <w:r>
              <w:rPr>
                <w:color w:val="000000"/>
                <w:sz w:val="21"/>
              </w:rPr>
              <w:t>0.50</w:t>
            </w:r>
          </w:p>
        </w:tc>
      </w:tr>
    </w:tbl>
    <w:p w:rsidR="004061AC" w:rsidRPr="00514C11"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8420B8" w:rsidRPr="00514C11">
        <w:rPr>
          <w:b/>
          <w:color w:val="000000"/>
          <w:kern w:val="0"/>
        </w:rPr>
        <w:t>1.</w:t>
      </w:r>
      <w:r w:rsidRPr="00514C11">
        <w:rPr>
          <w:b/>
          <w:color w:val="000000"/>
          <w:kern w:val="0"/>
        </w:rPr>
        <w:t xml:space="preserve">4 </w:t>
      </w:r>
      <w:r w:rsidRPr="00514C11">
        <w:rPr>
          <w:b/>
          <w:color w:val="000000"/>
          <w:kern w:val="0"/>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序号</w:t>
            </w:r>
          </w:p>
        </w:tc>
        <w:tc>
          <w:tcPr>
            <w:tcW w:w="2835"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债券品种</w:t>
            </w:r>
          </w:p>
        </w:tc>
        <w:tc>
          <w:tcPr>
            <w:tcW w:w="2694"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公允价值</w:t>
            </w:r>
            <w:r w:rsidRPr="003C5007">
              <w:rPr>
                <w:rFonts w:eastAsiaTheme="minorEastAsia"/>
                <w:color w:val="000000" w:themeColor="text1"/>
              </w:rPr>
              <w:t>(</w:t>
            </w:r>
            <w:r w:rsidRPr="003C5007">
              <w:rPr>
                <w:rFonts w:eastAsiaTheme="minorEastAsia"/>
                <w:color w:val="000000" w:themeColor="text1"/>
              </w:rPr>
              <w:t>元</w:t>
            </w:r>
            <w:r w:rsidRPr="003C5007">
              <w:rPr>
                <w:rFonts w:eastAsiaTheme="minorEastAsia"/>
                <w:color w:val="000000" w:themeColor="text1"/>
              </w:rPr>
              <w:t>)</w:t>
            </w:r>
          </w:p>
        </w:tc>
        <w:tc>
          <w:tcPr>
            <w:tcW w:w="1757"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占基金资产净值比例</w:t>
            </w:r>
            <w:r w:rsidRPr="003C5007">
              <w:rPr>
                <w:rFonts w:eastAsiaTheme="minorEastAsia"/>
                <w:color w:val="000000" w:themeColor="text1"/>
              </w:rPr>
              <w:t>(</w:t>
            </w:r>
            <w:r w:rsidRPr="003C5007">
              <w:rPr>
                <w:rFonts w:eastAsiaTheme="minorEastAsia"/>
                <w:color w:val="000000" w:themeColor="text1"/>
              </w:rPr>
              <w:t>％</w:t>
            </w:r>
            <w:r w:rsidRPr="003C5007">
              <w:rPr>
                <w:rFonts w:eastAsiaTheme="minorEastAsia"/>
                <w:color w:val="000000" w:themeColor="text1"/>
              </w:rPr>
              <w:t>)</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1</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国家债券</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2</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央行票据</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3</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金融债券</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6,022,800.00</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5.71</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其中：政策性金融债</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6,022,800.00</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5.71</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4</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企业债券</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24,973,000.00</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23.66</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5</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企业短期融资券</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6</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中期票据</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44,460,500.00</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42.12</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7</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可转债（可交换债）</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8</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同业存单</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9</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其他</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DB6FBF">
        <w:tc>
          <w:tcPr>
            <w:tcW w:w="1242" w:type="dxa"/>
            <w:shd w:val="clear" w:color="auto" w:fill="auto"/>
            <w:vAlign w:val="center"/>
          </w:tcPr>
          <w:p w:rsidR="007E1EBF" w:rsidRPr="003C5007" w:rsidRDefault="007E1EBF" w:rsidP="00DB6FBF">
            <w:pPr>
              <w:spacing w:line="360" w:lineRule="auto"/>
              <w:ind w:left="17"/>
              <w:jc w:val="center"/>
              <w:rPr>
                <w:rFonts w:eastAsiaTheme="minorEastAsia"/>
                <w:color w:val="000000" w:themeColor="text1"/>
              </w:rPr>
            </w:pPr>
            <w:r w:rsidRPr="003C5007">
              <w:rPr>
                <w:rFonts w:eastAsiaTheme="minorEastAsia"/>
                <w:color w:val="000000" w:themeColor="text1"/>
              </w:rPr>
              <w:t>10</w:t>
            </w:r>
          </w:p>
        </w:tc>
        <w:tc>
          <w:tcPr>
            <w:tcW w:w="2835" w:type="dxa"/>
            <w:shd w:val="clear" w:color="auto" w:fill="auto"/>
            <w:vAlign w:val="center"/>
          </w:tcPr>
          <w:p w:rsidR="007E1EBF" w:rsidRPr="003C5007" w:rsidRDefault="007E1EBF" w:rsidP="00DB6FBF">
            <w:pPr>
              <w:spacing w:line="360" w:lineRule="auto"/>
              <w:ind w:left="17"/>
              <w:jc w:val="left"/>
              <w:rPr>
                <w:rFonts w:eastAsiaTheme="minorEastAsia"/>
                <w:color w:val="000000" w:themeColor="text1"/>
              </w:rPr>
            </w:pPr>
            <w:r w:rsidRPr="003C5007">
              <w:rPr>
                <w:rFonts w:eastAsiaTheme="minorEastAsia"/>
                <w:color w:val="000000" w:themeColor="text1"/>
              </w:rPr>
              <w:t>合计</w:t>
            </w:r>
          </w:p>
        </w:tc>
        <w:tc>
          <w:tcPr>
            <w:tcW w:w="2694"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75,456,300.00</w:t>
            </w:r>
          </w:p>
        </w:tc>
        <w:tc>
          <w:tcPr>
            <w:tcW w:w="1757" w:type="dxa"/>
            <w:shd w:val="clear" w:color="auto" w:fill="auto"/>
            <w:vAlign w:val="center"/>
          </w:tcPr>
          <w:p w:rsidR="007E1EBF" w:rsidRPr="003C5007" w:rsidRDefault="007E1EBF" w:rsidP="00DB6FBF">
            <w:pPr>
              <w:spacing w:line="360" w:lineRule="auto"/>
              <w:ind w:left="17"/>
              <w:jc w:val="right"/>
              <w:rPr>
                <w:rFonts w:eastAsiaTheme="minorEastAsia"/>
                <w:color w:val="000000" w:themeColor="text1"/>
              </w:rPr>
            </w:pPr>
            <w:r w:rsidRPr="003C5007">
              <w:rPr>
                <w:rFonts w:eastAsiaTheme="minorEastAsia"/>
                <w:color w:val="000000" w:themeColor="text1"/>
              </w:rPr>
              <w:t>71.49</w:t>
            </w:r>
          </w:p>
        </w:tc>
      </w:tr>
    </w:tbl>
    <w:p w:rsidR="004061AC" w:rsidRPr="00514C11"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8420B8" w:rsidRPr="00514C11">
        <w:rPr>
          <w:b/>
          <w:color w:val="000000"/>
          <w:kern w:val="0"/>
        </w:rPr>
        <w:t>1.</w:t>
      </w:r>
      <w:r w:rsidRPr="00514C11">
        <w:rPr>
          <w:b/>
          <w:color w:val="000000"/>
          <w:kern w:val="0"/>
        </w:rPr>
        <w:t xml:space="preserve">5 </w:t>
      </w:r>
      <w:bookmarkStart w:id="2" w:name="OLE_LINK1"/>
      <w:bookmarkStart w:id="3" w:name="OLE_LINK2"/>
      <w:r w:rsidRPr="00514C11">
        <w:rPr>
          <w:b/>
          <w:color w:val="000000"/>
          <w:kern w:val="0"/>
        </w:rPr>
        <w:t>报告期末按公允价值占基金资产净值比例大小排</w:t>
      </w:r>
      <w:r w:rsidR="001D63BB" w:rsidRPr="00514C11">
        <w:rPr>
          <w:b/>
          <w:color w:val="000000"/>
          <w:kern w:val="0"/>
        </w:rPr>
        <w:t>序</w:t>
      </w:r>
      <w:r w:rsidRPr="00514C11">
        <w:rPr>
          <w:b/>
          <w:color w:val="000000"/>
          <w:kern w:val="0"/>
        </w:rPr>
        <w:t>的前五名债券投资明细</w:t>
      </w:r>
      <w:bookmarkEnd w:id="2"/>
      <w:bookmarkEnd w:id="3"/>
    </w:p>
    <w:tbl>
      <w:tblPr>
        <w:tblStyle w:val="af7"/>
        <w:tblW w:w="8613" w:type="dxa"/>
        <w:tblLayout w:type="fixed"/>
        <w:tblLook w:val="04A0" w:firstRow="1" w:lastRow="0" w:firstColumn="1" w:lastColumn="0" w:noHBand="0" w:noVBand="1"/>
      </w:tblPr>
      <w:tblGrid>
        <w:gridCol w:w="817"/>
        <w:gridCol w:w="1276"/>
        <w:gridCol w:w="1559"/>
        <w:gridCol w:w="1418"/>
        <w:gridCol w:w="1846"/>
        <w:gridCol w:w="1697"/>
      </w:tblGrid>
      <w:tr w:rsidR="00220C32" w:rsidRPr="00514C11" w:rsidTr="00D0083B">
        <w:tc>
          <w:tcPr>
            <w:tcW w:w="817"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1276"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债券代码</w:t>
            </w:r>
          </w:p>
        </w:tc>
        <w:tc>
          <w:tcPr>
            <w:tcW w:w="1559"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债券名称</w:t>
            </w:r>
          </w:p>
        </w:tc>
        <w:tc>
          <w:tcPr>
            <w:tcW w:w="1418"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数量</w:t>
            </w:r>
            <w:r w:rsidR="00D57B7C" w:rsidRPr="00514C11">
              <w:rPr>
                <w:color w:val="000000"/>
                <w:sz w:val="21"/>
              </w:rPr>
              <w:t>(</w:t>
            </w:r>
            <w:r w:rsidRPr="00514C11">
              <w:rPr>
                <w:color w:val="000000"/>
                <w:sz w:val="21"/>
              </w:rPr>
              <w:t>张</w:t>
            </w:r>
            <w:r w:rsidR="00D57B7C" w:rsidRPr="00514C11">
              <w:rPr>
                <w:color w:val="000000"/>
                <w:sz w:val="21"/>
              </w:rPr>
              <w:t>)</w:t>
            </w:r>
          </w:p>
        </w:tc>
        <w:tc>
          <w:tcPr>
            <w:tcW w:w="1846"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公允价值</w:t>
            </w:r>
            <w:r w:rsidRPr="00514C11">
              <w:rPr>
                <w:color w:val="000000"/>
                <w:sz w:val="21"/>
              </w:rPr>
              <w:t>(</w:t>
            </w:r>
            <w:r w:rsidRPr="00514C11">
              <w:rPr>
                <w:color w:val="000000"/>
                <w:sz w:val="21"/>
              </w:rPr>
              <w:t>元</w:t>
            </w:r>
            <w:r w:rsidRPr="00514C11">
              <w:rPr>
                <w:color w:val="000000"/>
                <w:sz w:val="21"/>
              </w:rPr>
              <w:t>)</w:t>
            </w:r>
          </w:p>
        </w:tc>
        <w:tc>
          <w:tcPr>
            <w:tcW w:w="1697"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占基金资产净值比例</w:t>
            </w:r>
            <w:r w:rsidR="00D57B7C" w:rsidRPr="00514C11">
              <w:rPr>
                <w:color w:val="000000"/>
                <w:sz w:val="21"/>
              </w:rPr>
              <w:t>(</w:t>
            </w:r>
            <w:r w:rsidRPr="00514C11">
              <w:rPr>
                <w:color w:val="000000"/>
                <w:sz w:val="21"/>
              </w:rPr>
              <w:t>％</w:t>
            </w:r>
            <w:r w:rsidR="00D57B7C" w:rsidRPr="00514C11">
              <w:rPr>
                <w:color w:val="000000"/>
                <w:sz w:val="21"/>
              </w:rPr>
              <w:t>)</w:t>
            </w:r>
          </w:p>
        </w:tc>
      </w:tr>
      <w:tr w:rsidR="00077707">
        <w:tc>
          <w:tcPr>
            <w:tcW w:w="817" w:type="dxa"/>
            <w:vAlign w:val="center"/>
          </w:tcPr>
          <w:p w:rsidR="00077707" w:rsidRDefault="00852D50">
            <w:pPr>
              <w:jc w:val="center"/>
            </w:pPr>
            <w:r>
              <w:rPr>
                <w:color w:val="000000"/>
                <w:sz w:val="21"/>
              </w:rPr>
              <w:t>1</w:t>
            </w:r>
          </w:p>
        </w:tc>
        <w:tc>
          <w:tcPr>
            <w:tcW w:w="1276" w:type="dxa"/>
            <w:vAlign w:val="center"/>
          </w:tcPr>
          <w:p w:rsidR="00077707" w:rsidRDefault="00852D50">
            <w:pPr>
              <w:jc w:val="center"/>
            </w:pPr>
            <w:r>
              <w:rPr>
                <w:color w:val="000000"/>
                <w:sz w:val="21"/>
              </w:rPr>
              <w:t>122789</w:t>
            </w:r>
          </w:p>
        </w:tc>
        <w:tc>
          <w:tcPr>
            <w:tcW w:w="1559" w:type="dxa"/>
            <w:vAlign w:val="center"/>
          </w:tcPr>
          <w:p w:rsidR="00077707" w:rsidRDefault="00852D50">
            <w:pPr>
              <w:jc w:val="center"/>
            </w:pPr>
            <w:r>
              <w:rPr>
                <w:color w:val="000000"/>
                <w:sz w:val="21"/>
              </w:rPr>
              <w:t>11</w:t>
            </w:r>
            <w:r>
              <w:rPr>
                <w:color w:val="000000"/>
                <w:sz w:val="21"/>
              </w:rPr>
              <w:t>象屿债</w:t>
            </w:r>
          </w:p>
        </w:tc>
        <w:tc>
          <w:tcPr>
            <w:tcW w:w="1418" w:type="dxa"/>
            <w:vAlign w:val="center"/>
          </w:tcPr>
          <w:p w:rsidR="00077707" w:rsidRDefault="00852D50">
            <w:pPr>
              <w:jc w:val="right"/>
            </w:pPr>
            <w:r>
              <w:rPr>
                <w:color w:val="000000"/>
                <w:sz w:val="21"/>
              </w:rPr>
              <w:t>100,000</w:t>
            </w:r>
          </w:p>
        </w:tc>
        <w:tc>
          <w:tcPr>
            <w:tcW w:w="1846" w:type="dxa"/>
            <w:vAlign w:val="center"/>
          </w:tcPr>
          <w:p w:rsidR="00077707" w:rsidRDefault="00852D50">
            <w:pPr>
              <w:jc w:val="right"/>
            </w:pPr>
            <w:r>
              <w:rPr>
                <w:color w:val="000000"/>
                <w:sz w:val="21"/>
              </w:rPr>
              <w:t>10,004,000.00</w:t>
            </w:r>
          </w:p>
        </w:tc>
        <w:tc>
          <w:tcPr>
            <w:tcW w:w="1697" w:type="dxa"/>
            <w:vAlign w:val="center"/>
          </w:tcPr>
          <w:p w:rsidR="00077707" w:rsidRDefault="00852D50">
            <w:pPr>
              <w:jc w:val="right"/>
            </w:pPr>
            <w:r>
              <w:rPr>
                <w:color w:val="000000"/>
                <w:sz w:val="21"/>
              </w:rPr>
              <w:t>9.48</w:t>
            </w:r>
          </w:p>
        </w:tc>
      </w:tr>
      <w:tr w:rsidR="00077707">
        <w:tc>
          <w:tcPr>
            <w:tcW w:w="817" w:type="dxa"/>
            <w:vAlign w:val="center"/>
          </w:tcPr>
          <w:p w:rsidR="00077707" w:rsidRDefault="00852D50">
            <w:pPr>
              <w:jc w:val="center"/>
            </w:pPr>
            <w:r>
              <w:rPr>
                <w:color w:val="000000"/>
                <w:sz w:val="21"/>
              </w:rPr>
              <w:t>2</w:t>
            </w:r>
          </w:p>
        </w:tc>
        <w:tc>
          <w:tcPr>
            <w:tcW w:w="1276" w:type="dxa"/>
            <w:vAlign w:val="center"/>
          </w:tcPr>
          <w:p w:rsidR="00077707" w:rsidRDefault="00852D50">
            <w:pPr>
              <w:jc w:val="center"/>
            </w:pPr>
            <w:r>
              <w:rPr>
                <w:color w:val="000000"/>
                <w:sz w:val="21"/>
              </w:rPr>
              <w:t>018005</w:t>
            </w:r>
          </w:p>
        </w:tc>
        <w:tc>
          <w:tcPr>
            <w:tcW w:w="1559" w:type="dxa"/>
            <w:vAlign w:val="center"/>
          </w:tcPr>
          <w:p w:rsidR="00077707" w:rsidRDefault="00852D50">
            <w:pPr>
              <w:jc w:val="center"/>
            </w:pPr>
            <w:r>
              <w:rPr>
                <w:color w:val="000000"/>
                <w:sz w:val="21"/>
              </w:rPr>
              <w:t>国开</w:t>
            </w:r>
            <w:r>
              <w:rPr>
                <w:color w:val="000000"/>
                <w:sz w:val="21"/>
              </w:rPr>
              <w:t>1701</w:t>
            </w:r>
          </w:p>
        </w:tc>
        <w:tc>
          <w:tcPr>
            <w:tcW w:w="1418" w:type="dxa"/>
            <w:vAlign w:val="center"/>
          </w:tcPr>
          <w:p w:rsidR="00077707" w:rsidRDefault="00852D50">
            <w:pPr>
              <w:jc w:val="right"/>
            </w:pPr>
            <w:r>
              <w:rPr>
                <w:color w:val="000000"/>
                <w:sz w:val="21"/>
              </w:rPr>
              <w:t>60,000</w:t>
            </w:r>
          </w:p>
        </w:tc>
        <w:tc>
          <w:tcPr>
            <w:tcW w:w="1846" w:type="dxa"/>
            <w:vAlign w:val="center"/>
          </w:tcPr>
          <w:p w:rsidR="00077707" w:rsidRDefault="00852D50">
            <w:pPr>
              <w:jc w:val="right"/>
            </w:pPr>
            <w:r>
              <w:rPr>
                <w:color w:val="000000"/>
                <w:sz w:val="21"/>
              </w:rPr>
              <w:t>6,022,800.00</w:t>
            </w:r>
          </w:p>
        </w:tc>
        <w:tc>
          <w:tcPr>
            <w:tcW w:w="1697" w:type="dxa"/>
            <w:vAlign w:val="center"/>
          </w:tcPr>
          <w:p w:rsidR="00077707" w:rsidRDefault="00852D50">
            <w:pPr>
              <w:jc w:val="right"/>
            </w:pPr>
            <w:r>
              <w:rPr>
                <w:color w:val="000000"/>
                <w:sz w:val="21"/>
              </w:rPr>
              <w:t>5.71</w:t>
            </w:r>
          </w:p>
        </w:tc>
      </w:tr>
      <w:tr w:rsidR="00077707">
        <w:tc>
          <w:tcPr>
            <w:tcW w:w="817" w:type="dxa"/>
            <w:vAlign w:val="center"/>
          </w:tcPr>
          <w:p w:rsidR="00077707" w:rsidRDefault="00852D50">
            <w:pPr>
              <w:jc w:val="center"/>
            </w:pPr>
            <w:r>
              <w:rPr>
                <w:color w:val="000000"/>
                <w:sz w:val="21"/>
              </w:rPr>
              <w:t>3</w:t>
            </w:r>
          </w:p>
        </w:tc>
        <w:tc>
          <w:tcPr>
            <w:tcW w:w="1276" w:type="dxa"/>
            <w:vAlign w:val="center"/>
          </w:tcPr>
          <w:p w:rsidR="00077707" w:rsidRDefault="00852D50">
            <w:pPr>
              <w:jc w:val="center"/>
            </w:pPr>
            <w:r>
              <w:rPr>
                <w:color w:val="000000"/>
                <w:sz w:val="21"/>
              </w:rPr>
              <w:t>101772012</w:t>
            </w:r>
          </w:p>
        </w:tc>
        <w:tc>
          <w:tcPr>
            <w:tcW w:w="1559" w:type="dxa"/>
            <w:vAlign w:val="center"/>
          </w:tcPr>
          <w:p w:rsidR="00077707" w:rsidRDefault="00852D50">
            <w:pPr>
              <w:jc w:val="center"/>
            </w:pPr>
            <w:r>
              <w:rPr>
                <w:color w:val="000000"/>
                <w:sz w:val="21"/>
              </w:rPr>
              <w:t>17</w:t>
            </w:r>
            <w:r>
              <w:rPr>
                <w:color w:val="000000"/>
                <w:sz w:val="21"/>
              </w:rPr>
              <w:t>海淀国资</w:t>
            </w:r>
            <w:r>
              <w:rPr>
                <w:color w:val="000000"/>
                <w:sz w:val="21"/>
              </w:rPr>
              <w:t>MTN002</w:t>
            </w:r>
          </w:p>
        </w:tc>
        <w:tc>
          <w:tcPr>
            <w:tcW w:w="1418" w:type="dxa"/>
            <w:vAlign w:val="center"/>
          </w:tcPr>
          <w:p w:rsidR="00077707" w:rsidRDefault="00852D50">
            <w:pPr>
              <w:jc w:val="right"/>
            </w:pPr>
            <w:r>
              <w:rPr>
                <w:color w:val="000000"/>
                <w:sz w:val="21"/>
              </w:rPr>
              <w:t>50,000</w:t>
            </w:r>
          </w:p>
        </w:tc>
        <w:tc>
          <w:tcPr>
            <w:tcW w:w="1846" w:type="dxa"/>
            <w:vAlign w:val="center"/>
          </w:tcPr>
          <w:p w:rsidR="00077707" w:rsidRDefault="00852D50">
            <w:pPr>
              <w:jc w:val="right"/>
            </w:pPr>
            <w:r>
              <w:rPr>
                <w:color w:val="000000"/>
                <w:sz w:val="21"/>
              </w:rPr>
              <w:t>5,037,000.00</w:t>
            </w:r>
          </w:p>
        </w:tc>
        <w:tc>
          <w:tcPr>
            <w:tcW w:w="1697" w:type="dxa"/>
            <w:vAlign w:val="center"/>
          </w:tcPr>
          <w:p w:rsidR="00077707" w:rsidRDefault="00852D50">
            <w:pPr>
              <w:jc w:val="right"/>
            </w:pPr>
            <w:r>
              <w:rPr>
                <w:color w:val="000000"/>
                <w:sz w:val="21"/>
              </w:rPr>
              <w:t>4.77</w:t>
            </w:r>
          </w:p>
        </w:tc>
      </w:tr>
      <w:tr w:rsidR="00077707">
        <w:tc>
          <w:tcPr>
            <w:tcW w:w="817" w:type="dxa"/>
            <w:vAlign w:val="center"/>
          </w:tcPr>
          <w:p w:rsidR="00077707" w:rsidRDefault="00852D50">
            <w:pPr>
              <w:jc w:val="center"/>
            </w:pPr>
            <w:r>
              <w:rPr>
                <w:color w:val="000000"/>
                <w:sz w:val="21"/>
              </w:rPr>
              <w:t>4</w:t>
            </w:r>
          </w:p>
        </w:tc>
        <w:tc>
          <w:tcPr>
            <w:tcW w:w="1276" w:type="dxa"/>
            <w:vAlign w:val="center"/>
          </w:tcPr>
          <w:p w:rsidR="00077707" w:rsidRDefault="00852D50">
            <w:pPr>
              <w:jc w:val="center"/>
            </w:pPr>
            <w:r>
              <w:rPr>
                <w:color w:val="000000"/>
                <w:sz w:val="21"/>
              </w:rPr>
              <w:t>143538</w:t>
            </w:r>
          </w:p>
        </w:tc>
        <w:tc>
          <w:tcPr>
            <w:tcW w:w="1559" w:type="dxa"/>
            <w:vAlign w:val="center"/>
          </w:tcPr>
          <w:p w:rsidR="00077707" w:rsidRDefault="00852D50">
            <w:pPr>
              <w:jc w:val="center"/>
            </w:pPr>
            <w:r>
              <w:rPr>
                <w:color w:val="000000"/>
                <w:sz w:val="21"/>
              </w:rPr>
              <w:t>18</w:t>
            </w:r>
            <w:r>
              <w:rPr>
                <w:color w:val="000000"/>
                <w:sz w:val="21"/>
              </w:rPr>
              <w:t>陆债</w:t>
            </w:r>
            <w:r>
              <w:rPr>
                <w:color w:val="000000"/>
                <w:sz w:val="21"/>
              </w:rPr>
              <w:t>01</w:t>
            </w:r>
          </w:p>
        </w:tc>
        <w:tc>
          <w:tcPr>
            <w:tcW w:w="1418" w:type="dxa"/>
            <w:vAlign w:val="center"/>
          </w:tcPr>
          <w:p w:rsidR="00077707" w:rsidRDefault="00852D50">
            <w:pPr>
              <w:jc w:val="right"/>
            </w:pPr>
            <w:r>
              <w:rPr>
                <w:color w:val="000000"/>
                <w:sz w:val="21"/>
              </w:rPr>
              <w:t>50,000</w:t>
            </w:r>
          </w:p>
        </w:tc>
        <w:tc>
          <w:tcPr>
            <w:tcW w:w="1846" w:type="dxa"/>
            <w:vAlign w:val="center"/>
          </w:tcPr>
          <w:p w:rsidR="00077707" w:rsidRDefault="00852D50">
            <w:pPr>
              <w:jc w:val="right"/>
            </w:pPr>
            <w:r>
              <w:rPr>
                <w:color w:val="000000"/>
                <w:sz w:val="21"/>
              </w:rPr>
              <w:t>5,033,500.00</w:t>
            </w:r>
          </w:p>
        </w:tc>
        <w:tc>
          <w:tcPr>
            <w:tcW w:w="1697" w:type="dxa"/>
            <w:vAlign w:val="center"/>
          </w:tcPr>
          <w:p w:rsidR="00077707" w:rsidRDefault="00852D50">
            <w:pPr>
              <w:jc w:val="right"/>
            </w:pPr>
            <w:r>
              <w:rPr>
                <w:color w:val="000000"/>
                <w:sz w:val="21"/>
              </w:rPr>
              <w:t>4.77</w:t>
            </w:r>
          </w:p>
        </w:tc>
      </w:tr>
      <w:tr w:rsidR="00077707">
        <w:tc>
          <w:tcPr>
            <w:tcW w:w="817" w:type="dxa"/>
            <w:vAlign w:val="center"/>
          </w:tcPr>
          <w:p w:rsidR="00077707" w:rsidRDefault="00852D50">
            <w:pPr>
              <w:jc w:val="center"/>
            </w:pPr>
            <w:r>
              <w:rPr>
                <w:color w:val="000000"/>
                <w:sz w:val="21"/>
              </w:rPr>
              <w:t>5</w:t>
            </w:r>
          </w:p>
        </w:tc>
        <w:tc>
          <w:tcPr>
            <w:tcW w:w="1276" w:type="dxa"/>
            <w:vAlign w:val="center"/>
          </w:tcPr>
          <w:p w:rsidR="00077707" w:rsidRDefault="00852D50">
            <w:pPr>
              <w:jc w:val="center"/>
            </w:pPr>
            <w:r>
              <w:rPr>
                <w:color w:val="000000"/>
                <w:sz w:val="21"/>
              </w:rPr>
              <w:t>101800696</w:t>
            </w:r>
          </w:p>
        </w:tc>
        <w:tc>
          <w:tcPr>
            <w:tcW w:w="1559" w:type="dxa"/>
            <w:vAlign w:val="center"/>
          </w:tcPr>
          <w:p w:rsidR="00077707" w:rsidRDefault="00852D50">
            <w:pPr>
              <w:jc w:val="center"/>
            </w:pPr>
            <w:r>
              <w:rPr>
                <w:color w:val="000000"/>
                <w:sz w:val="21"/>
              </w:rPr>
              <w:t>18</w:t>
            </w:r>
            <w:r>
              <w:rPr>
                <w:color w:val="000000"/>
                <w:sz w:val="21"/>
              </w:rPr>
              <w:t>闽投</w:t>
            </w:r>
            <w:r>
              <w:rPr>
                <w:color w:val="000000"/>
                <w:sz w:val="21"/>
              </w:rPr>
              <w:t>MTN002</w:t>
            </w:r>
          </w:p>
        </w:tc>
        <w:tc>
          <w:tcPr>
            <w:tcW w:w="1418" w:type="dxa"/>
            <w:vAlign w:val="center"/>
          </w:tcPr>
          <w:p w:rsidR="00077707" w:rsidRDefault="00852D50">
            <w:pPr>
              <w:jc w:val="right"/>
            </w:pPr>
            <w:r>
              <w:rPr>
                <w:color w:val="000000"/>
                <w:sz w:val="21"/>
              </w:rPr>
              <w:t>50,000</w:t>
            </w:r>
          </w:p>
        </w:tc>
        <w:tc>
          <w:tcPr>
            <w:tcW w:w="1846" w:type="dxa"/>
            <w:vAlign w:val="center"/>
          </w:tcPr>
          <w:p w:rsidR="00077707" w:rsidRDefault="00852D50">
            <w:pPr>
              <w:jc w:val="right"/>
            </w:pPr>
            <w:r>
              <w:rPr>
                <w:color w:val="000000"/>
                <w:sz w:val="21"/>
              </w:rPr>
              <w:t>5,019,500.00</w:t>
            </w:r>
          </w:p>
        </w:tc>
        <w:tc>
          <w:tcPr>
            <w:tcW w:w="1697" w:type="dxa"/>
            <w:vAlign w:val="center"/>
          </w:tcPr>
          <w:p w:rsidR="00077707" w:rsidRDefault="00852D50">
            <w:pPr>
              <w:jc w:val="right"/>
            </w:pPr>
            <w:r>
              <w:rPr>
                <w:color w:val="000000"/>
                <w:sz w:val="21"/>
              </w:rPr>
              <w:t>4.76</w:t>
            </w:r>
          </w:p>
        </w:tc>
      </w:tr>
    </w:tbl>
    <w:p w:rsidR="004061AC" w:rsidRPr="00514C11"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8420B8" w:rsidRPr="00514C11">
        <w:rPr>
          <w:b/>
          <w:color w:val="000000"/>
          <w:kern w:val="0"/>
        </w:rPr>
        <w:t>1.</w:t>
      </w:r>
      <w:r w:rsidRPr="00514C11">
        <w:rPr>
          <w:b/>
          <w:color w:val="000000"/>
          <w:kern w:val="0"/>
        </w:rPr>
        <w:t xml:space="preserve">6 </w:t>
      </w:r>
      <w:r w:rsidRPr="00514C11">
        <w:rPr>
          <w:b/>
          <w:color w:val="000000"/>
          <w:kern w:val="0"/>
        </w:rPr>
        <w:t>报告期末按公允价值占基金资产净值比例大小排</w:t>
      </w:r>
      <w:r w:rsidR="001D63BB" w:rsidRPr="00514C11">
        <w:rPr>
          <w:b/>
          <w:color w:val="000000"/>
          <w:kern w:val="0"/>
        </w:rPr>
        <w:t>序</w:t>
      </w:r>
      <w:r w:rsidRPr="00514C11">
        <w:rPr>
          <w:b/>
          <w:color w:val="000000"/>
          <w:kern w:val="0"/>
        </w:rPr>
        <w:t>的前十名资产支持证券投资明细</w:t>
      </w:r>
    </w:p>
    <w:p w:rsidR="004061AC" w:rsidRPr="00514C11" w:rsidRDefault="004061AC" w:rsidP="00DB1533">
      <w:pPr>
        <w:autoSpaceDE w:val="0"/>
        <w:autoSpaceDN w:val="0"/>
        <w:adjustRightInd w:val="0"/>
        <w:spacing w:before="29" w:line="360" w:lineRule="auto"/>
        <w:ind w:left="15"/>
        <w:jc w:val="left"/>
        <w:rPr>
          <w:color w:val="000000"/>
        </w:rPr>
      </w:pPr>
      <w:r w:rsidRPr="00514C11">
        <w:rPr>
          <w:color w:val="000000"/>
        </w:rPr>
        <w:t>本基金本报告期末未持有资产支持证券。</w:t>
      </w:r>
    </w:p>
    <w:p w:rsidR="001D63BB" w:rsidRPr="00514C11" w:rsidRDefault="003A5489" w:rsidP="00DB1533">
      <w:pPr>
        <w:autoSpaceDE w:val="0"/>
        <w:autoSpaceDN w:val="0"/>
        <w:adjustRightInd w:val="0"/>
        <w:spacing w:before="29" w:line="360" w:lineRule="auto"/>
        <w:ind w:left="15"/>
        <w:jc w:val="left"/>
        <w:rPr>
          <w:b/>
          <w:color w:val="000000"/>
          <w:kern w:val="0"/>
        </w:rPr>
      </w:pPr>
      <w:r w:rsidRPr="003A5489">
        <w:rPr>
          <w:rFonts w:eastAsiaTheme="minorEastAsia"/>
          <w:b/>
          <w:bCs/>
          <w:color w:val="000000" w:themeColor="text1"/>
          <w:kern w:val="0"/>
        </w:rPr>
        <w:t>5.</w:t>
      </w:r>
      <w:r w:rsidRPr="003A5489">
        <w:rPr>
          <w:rFonts w:eastAsiaTheme="minorEastAsia" w:hint="eastAsia"/>
          <w:b/>
          <w:bCs/>
          <w:color w:val="000000" w:themeColor="text1"/>
          <w:kern w:val="0"/>
        </w:rPr>
        <w:t>1.</w:t>
      </w:r>
      <w:r w:rsidRPr="003A5489">
        <w:rPr>
          <w:rFonts w:eastAsiaTheme="minorEastAsia"/>
          <w:b/>
          <w:bCs/>
          <w:color w:val="000000" w:themeColor="text1"/>
          <w:kern w:val="0"/>
        </w:rPr>
        <w:t>7</w:t>
      </w:r>
      <w:r w:rsidR="001D63BB" w:rsidRPr="00514C11">
        <w:rPr>
          <w:b/>
          <w:color w:val="000000"/>
          <w:kern w:val="0"/>
        </w:rPr>
        <w:t xml:space="preserve"> </w:t>
      </w:r>
      <w:r w:rsidR="001D63BB" w:rsidRPr="00514C11">
        <w:rPr>
          <w:b/>
          <w:color w:val="000000"/>
          <w:kern w:val="0"/>
        </w:rPr>
        <w:t>报告期末按公允价值占基金资产净值比例大小排序的前五名贵金属投资明细</w:t>
      </w:r>
    </w:p>
    <w:p w:rsidR="001D63BB" w:rsidRPr="00514C11" w:rsidRDefault="001D63BB" w:rsidP="00DB1533">
      <w:pPr>
        <w:autoSpaceDE w:val="0"/>
        <w:autoSpaceDN w:val="0"/>
        <w:adjustRightInd w:val="0"/>
        <w:spacing w:before="29" w:line="360" w:lineRule="auto"/>
        <w:ind w:left="15"/>
        <w:jc w:val="left"/>
        <w:rPr>
          <w:color w:val="000000"/>
        </w:rPr>
      </w:pPr>
      <w:r w:rsidRPr="00514C11">
        <w:rPr>
          <w:color w:val="000000"/>
        </w:rPr>
        <w:t>本基金本报告期末未持有贵金属。</w:t>
      </w:r>
    </w:p>
    <w:p w:rsidR="004061AC" w:rsidRPr="00514C11" w:rsidRDefault="000743CA" w:rsidP="00DB1533">
      <w:pPr>
        <w:autoSpaceDE w:val="0"/>
        <w:autoSpaceDN w:val="0"/>
        <w:adjustRightInd w:val="0"/>
        <w:spacing w:before="29" w:line="360" w:lineRule="auto"/>
        <w:ind w:left="15"/>
        <w:jc w:val="left"/>
        <w:rPr>
          <w:b/>
          <w:color w:val="000000"/>
          <w:kern w:val="0"/>
        </w:rPr>
      </w:pPr>
      <w:r w:rsidRPr="000743CA">
        <w:rPr>
          <w:rFonts w:eastAsiaTheme="minorEastAsia"/>
          <w:b/>
          <w:color w:val="000000" w:themeColor="text1"/>
          <w:kern w:val="0"/>
        </w:rPr>
        <w:t>5.</w:t>
      </w:r>
      <w:r w:rsidRPr="000743CA">
        <w:rPr>
          <w:rFonts w:eastAsiaTheme="minorEastAsia" w:hint="eastAsia"/>
          <w:b/>
          <w:color w:val="000000" w:themeColor="text1"/>
          <w:kern w:val="0"/>
        </w:rPr>
        <w:t>1.</w:t>
      </w:r>
      <w:r w:rsidRPr="000743CA">
        <w:rPr>
          <w:rFonts w:eastAsiaTheme="minorEastAsia"/>
          <w:b/>
          <w:color w:val="000000" w:themeColor="text1"/>
          <w:kern w:val="0"/>
        </w:rPr>
        <w:t>8</w:t>
      </w:r>
      <w:r>
        <w:rPr>
          <w:rFonts w:eastAsiaTheme="minorEastAsia" w:hint="eastAsia"/>
          <w:b/>
          <w:color w:val="000000" w:themeColor="text1"/>
          <w:kern w:val="0"/>
          <w:sz w:val="24"/>
        </w:rPr>
        <w:t xml:space="preserve"> </w:t>
      </w:r>
      <w:r w:rsidR="004061AC" w:rsidRPr="00514C11">
        <w:rPr>
          <w:b/>
          <w:color w:val="000000"/>
          <w:kern w:val="0"/>
        </w:rPr>
        <w:t>报告期末按公允价值占基金资产净值比例大小排</w:t>
      </w:r>
      <w:r w:rsidR="001D63BB" w:rsidRPr="00514C11">
        <w:rPr>
          <w:b/>
          <w:color w:val="000000"/>
          <w:kern w:val="0"/>
        </w:rPr>
        <w:t>序</w:t>
      </w:r>
      <w:r w:rsidR="004061AC" w:rsidRPr="00514C11">
        <w:rPr>
          <w:b/>
          <w:color w:val="000000"/>
          <w:kern w:val="0"/>
        </w:rPr>
        <w:t>的前五名权证投资明细</w:t>
      </w:r>
    </w:p>
    <w:p w:rsidR="004061AC" w:rsidRPr="00514C11" w:rsidRDefault="004061AC" w:rsidP="00DB1533">
      <w:pPr>
        <w:autoSpaceDE w:val="0"/>
        <w:autoSpaceDN w:val="0"/>
        <w:adjustRightInd w:val="0"/>
        <w:spacing w:before="29" w:line="360" w:lineRule="auto"/>
        <w:ind w:left="15"/>
        <w:jc w:val="left"/>
        <w:rPr>
          <w:color w:val="000000"/>
        </w:rPr>
      </w:pPr>
      <w:r w:rsidRPr="00514C11">
        <w:rPr>
          <w:color w:val="000000"/>
        </w:rPr>
        <w:t>本基金本报告期末未持有权证。</w:t>
      </w:r>
    </w:p>
    <w:p w:rsidR="00275745" w:rsidRPr="00514C11" w:rsidRDefault="000743CA" w:rsidP="00DB1533">
      <w:pPr>
        <w:autoSpaceDE w:val="0"/>
        <w:autoSpaceDN w:val="0"/>
        <w:adjustRightInd w:val="0"/>
        <w:spacing w:before="29" w:line="360" w:lineRule="auto"/>
        <w:ind w:left="15"/>
        <w:jc w:val="left"/>
        <w:rPr>
          <w:b/>
          <w:color w:val="000000"/>
          <w:kern w:val="0"/>
        </w:rPr>
      </w:pPr>
      <w:r w:rsidRPr="000743CA">
        <w:rPr>
          <w:rFonts w:eastAsiaTheme="minorEastAsia"/>
          <w:b/>
          <w:color w:val="000000" w:themeColor="text1"/>
          <w:kern w:val="0"/>
        </w:rPr>
        <w:t>5.</w:t>
      </w:r>
      <w:r w:rsidRPr="000743CA">
        <w:rPr>
          <w:rFonts w:eastAsiaTheme="minorEastAsia" w:hint="eastAsia"/>
          <w:b/>
          <w:color w:val="000000" w:themeColor="text1"/>
          <w:kern w:val="0"/>
        </w:rPr>
        <w:t>1.</w:t>
      </w:r>
      <w:r w:rsidRPr="000743CA">
        <w:rPr>
          <w:rFonts w:eastAsiaTheme="minorEastAsia"/>
          <w:b/>
          <w:color w:val="000000" w:themeColor="text1"/>
          <w:kern w:val="0"/>
        </w:rPr>
        <w:t>9</w:t>
      </w:r>
      <w:r w:rsidR="00275745" w:rsidRPr="00514C11">
        <w:rPr>
          <w:b/>
          <w:color w:val="000000"/>
          <w:kern w:val="0"/>
        </w:rPr>
        <w:t xml:space="preserve"> </w:t>
      </w:r>
      <w:r w:rsidR="00275745" w:rsidRPr="00514C11">
        <w:rPr>
          <w:b/>
          <w:color w:val="000000"/>
          <w:kern w:val="0"/>
        </w:rPr>
        <w:t>报告期末本基金投资的股指期货交易情况说明</w:t>
      </w:r>
    </w:p>
    <w:p w:rsidR="00275745" w:rsidRPr="00514C11" w:rsidRDefault="00AA3A38" w:rsidP="00DB1533">
      <w:pPr>
        <w:autoSpaceDE w:val="0"/>
        <w:autoSpaceDN w:val="0"/>
        <w:adjustRightInd w:val="0"/>
        <w:spacing w:before="29" w:line="360" w:lineRule="auto"/>
        <w:ind w:left="15"/>
        <w:jc w:val="left"/>
        <w:rPr>
          <w:color w:val="000000"/>
        </w:rPr>
      </w:pPr>
      <w:r w:rsidRPr="00514C11">
        <w:rPr>
          <w:color w:val="000000"/>
        </w:rPr>
        <w:t>本基金本报告期末未持有股指期货。</w:t>
      </w:r>
    </w:p>
    <w:p w:rsidR="00312A9F" w:rsidRPr="00904E7C" w:rsidRDefault="00503D89" w:rsidP="00DB1533">
      <w:pPr>
        <w:autoSpaceDE w:val="0"/>
        <w:autoSpaceDN w:val="0"/>
        <w:adjustRightInd w:val="0"/>
        <w:spacing w:before="29" w:line="360" w:lineRule="auto"/>
        <w:ind w:left="15"/>
        <w:jc w:val="left"/>
        <w:rPr>
          <w:b/>
          <w:color w:val="000000"/>
          <w:kern w:val="0"/>
        </w:rPr>
      </w:pPr>
      <w:r w:rsidRPr="00904E7C">
        <w:rPr>
          <w:rFonts w:eastAsiaTheme="minorEastAsia"/>
          <w:b/>
          <w:color w:val="000000" w:themeColor="text1"/>
        </w:rPr>
        <w:t>5.1</w:t>
      </w:r>
      <w:r w:rsidRPr="00904E7C">
        <w:rPr>
          <w:rFonts w:eastAsiaTheme="minorEastAsia" w:hint="eastAsia"/>
          <w:b/>
          <w:color w:val="000000" w:themeColor="text1"/>
        </w:rPr>
        <w:t>.10</w:t>
      </w:r>
      <w:r w:rsidR="005145B8" w:rsidRPr="00904E7C">
        <w:rPr>
          <w:rFonts w:hint="eastAsia"/>
          <w:b/>
          <w:color w:val="000000"/>
          <w:kern w:val="0"/>
        </w:rPr>
        <w:t xml:space="preserve"> </w:t>
      </w:r>
      <w:r w:rsidR="00312A9F" w:rsidRPr="00904E7C">
        <w:rPr>
          <w:b/>
          <w:color w:val="000000"/>
          <w:kern w:val="0"/>
        </w:rPr>
        <w:t>报告期末本基金投资的国债期货交易情况说明</w:t>
      </w:r>
    </w:p>
    <w:p w:rsidR="00312A9F" w:rsidRPr="00514C11" w:rsidRDefault="00312A9F" w:rsidP="00DB1533">
      <w:pPr>
        <w:autoSpaceDE w:val="0"/>
        <w:autoSpaceDN w:val="0"/>
        <w:adjustRightInd w:val="0"/>
        <w:spacing w:before="29" w:line="360" w:lineRule="auto"/>
        <w:ind w:left="15"/>
        <w:jc w:val="left"/>
        <w:rPr>
          <w:color w:val="000000"/>
        </w:rPr>
      </w:pPr>
      <w:r w:rsidRPr="00514C11">
        <w:rPr>
          <w:color w:val="000000"/>
        </w:rPr>
        <w:t>本基金本报告期末未持有国债期货。</w:t>
      </w:r>
    </w:p>
    <w:p w:rsidR="004061AC" w:rsidRPr="00904E7C" w:rsidRDefault="00904E7C" w:rsidP="00DB1533">
      <w:pPr>
        <w:autoSpaceDE w:val="0"/>
        <w:autoSpaceDN w:val="0"/>
        <w:adjustRightInd w:val="0"/>
        <w:spacing w:before="29" w:line="360" w:lineRule="auto"/>
        <w:ind w:left="15"/>
        <w:jc w:val="left"/>
        <w:rPr>
          <w:b/>
          <w:color w:val="000000"/>
          <w:kern w:val="0"/>
        </w:rPr>
      </w:pPr>
      <w:r w:rsidRPr="00904E7C">
        <w:rPr>
          <w:rFonts w:eastAsiaTheme="minorEastAsia"/>
          <w:b/>
          <w:color w:val="000000" w:themeColor="text1"/>
          <w:kern w:val="0"/>
        </w:rPr>
        <w:t>5.1</w:t>
      </w:r>
      <w:r w:rsidRPr="00904E7C">
        <w:rPr>
          <w:rFonts w:eastAsiaTheme="minorEastAsia" w:hint="eastAsia"/>
          <w:b/>
          <w:color w:val="000000" w:themeColor="text1"/>
          <w:kern w:val="0"/>
        </w:rPr>
        <w:t xml:space="preserve">.11 </w:t>
      </w:r>
      <w:r w:rsidR="004061AC" w:rsidRPr="00904E7C">
        <w:rPr>
          <w:b/>
          <w:color w:val="000000"/>
          <w:kern w:val="0"/>
        </w:rPr>
        <w:t>投资组合报告附注</w:t>
      </w:r>
    </w:p>
    <w:p w:rsidR="004061AC" w:rsidRPr="00904E7C" w:rsidRDefault="00904E7C" w:rsidP="00DB1533">
      <w:pPr>
        <w:adjustRightInd w:val="0"/>
        <w:spacing w:before="29" w:line="360" w:lineRule="auto"/>
        <w:rPr>
          <w:bCs/>
          <w:color w:val="000000"/>
        </w:rPr>
      </w:pPr>
      <w:r w:rsidRPr="00904E7C">
        <w:rPr>
          <w:rFonts w:eastAsiaTheme="minorEastAsia"/>
          <w:color w:val="000000" w:themeColor="text1"/>
        </w:rPr>
        <w:t>5.1.11</w:t>
      </w:r>
      <w:r w:rsidRPr="00904E7C">
        <w:rPr>
          <w:rFonts w:eastAsiaTheme="minorEastAsia" w:hint="eastAsia"/>
          <w:color w:val="000000" w:themeColor="text1"/>
        </w:rPr>
        <w:t xml:space="preserve">.1 </w:t>
      </w:r>
      <w:r w:rsidR="004061AC" w:rsidRPr="00904E7C">
        <w:rPr>
          <w:bCs/>
          <w:color w:val="000000"/>
        </w:rPr>
        <w:t>报告期内本基金投资的前十名证券的发行主体未被监管部门立案调查，在本报告编制日前一年内本基金投资的前十名证券的发行主体未受到公开谴责和处罚。</w:t>
      </w:r>
    </w:p>
    <w:p w:rsidR="004061AC" w:rsidRPr="00904E7C" w:rsidRDefault="00904E7C" w:rsidP="00DB1533">
      <w:pPr>
        <w:adjustRightInd w:val="0"/>
        <w:spacing w:before="29" w:line="360" w:lineRule="auto"/>
        <w:rPr>
          <w:bCs/>
          <w:color w:val="000000"/>
        </w:rPr>
      </w:pPr>
      <w:r w:rsidRPr="00904E7C">
        <w:rPr>
          <w:rFonts w:eastAsiaTheme="minorEastAsia"/>
          <w:color w:val="000000" w:themeColor="text1"/>
        </w:rPr>
        <w:t>5.1.11</w:t>
      </w:r>
      <w:r w:rsidRPr="00904E7C">
        <w:rPr>
          <w:rFonts w:eastAsiaTheme="minorEastAsia" w:hint="eastAsia"/>
          <w:color w:val="000000" w:themeColor="text1"/>
        </w:rPr>
        <w:t xml:space="preserve">.2 </w:t>
      </w:r>
      <w:r w:rsidR="004061AC" w:rsidRPr="00904E7C">
        <w:rPr>
          <w:bCs/>
          <w:color w:val="000000"/>
        </w:rPr>
        <w:t>本基金投资的前十名股票中，没有超出基金合同规定的备选股票库之外的股票。</w:t>
      </w:r>
    </w:p>
    <w:p w:rsidR="004061AC" w:rsidRPr="00904E7C" w:rsidRDefault="00904E7C" w:rsidP="00DB1533">
      <w:pPr>
        <w:autoSpaceDE w:val="0"/>
        <w:autoSpaceDN w:val="0"/>
        <w:adjustRightInd w:val="0"/>
        <w:spacing w:before="29" w:line="360" w:lineRule="auto"/>
        <w:ind w:left="15"/>
        <w:jc w:val="left"/>
        <w:rPr>
          <w:b/>
          <w:color w:val="000000"/>
          <w:kern w:val="0"/>
        </w:rPr>
      </w:pPr>
      <w:r w:rsidRPr="00904E7C">
        <w:rPr>
          <w:rFonts w:eastAsiaTheme="minorEastAsia"/>
          <w:b/>
          <w:color w:val="000000" w:themeColor="text1"/>
          <w:kern w:val="0"/>
        </w:rPr>
        <w:t>5.1.11</w:t>
      </w:r>
      <w:r w:rsidRPr="00904E7C">
        <w:rPr>
          <w:rFonts w:eastAsiaTheme="minorEastAsia" w:hint="eastAsia"/>
          <w:b/>
          <w:color w:val="000000" w:themeColor="text1"/>
          <w:kern w:val="0"/>
        </w:rPr>
        <w:t>.3</w:t>
      </w:r>
      <w:r w:rsidR="005145B8" w:rsidRPr="00904E7C">
        <w:rPr>
          <w:rFonts w:hint="eastAsia"/>
          <w:b/>
          <w:color w:val="000000"/>
          <w:kern w:val="0"/>
        </w:rPr>
        <w:t xml:space="preserve"> </w:t>
      </w:r>
      <w:r w:rsidR="00847104" w:rsidRPr="00904E7C">
        <w:rPr>
          <w:b/>
          <w:color w:val="000000"/>
          <w:kern w:val="0"/>
        </w:rPr>
        <w:t>其他</w:t>
      </w:r>
      <w:r w:rsidR="004061AC" w:rsidRPr="00904E7C">
        <w:rPr>
          <w:b/>
          <w:color w:val="000000"/>
          <w:kern w:val="0"/>
        </w:rPr>
        <w:t>资产构成</w:t>
      </w:r>
    </w:p>
    <w:tbl>
      <w:tblPr>
        <w:tblStyle w:val="af7"/>
        <w:tblW w:w="0" w:type="auto"/>
        <w:tblInd w:w="15" w:type="dxa"/>
        <w:tblLook w:val="04A0" w:firstRow="1" w:lastRow="0" w:firstColumn="1" w:lastColumn="0" w:noHBand="0" w:noVBand="1"/>
      </w:tblPr>
      <w:tblGrid>
        <w:gridCol w:w="1235"/>
        <w:gridCol w:w="2470"/>
        <w:gridCol w:w="4808"/>
      </w:tblGrid>
      <w:tr w:rsidR="00220C32" w:rsidRPr="00514C11" w:rsidTr="00F31F6E">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2470"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名称</w:t>
            </w:r>
          </w:p>
        </w:tc>
        <w:tc>
          <w:tcPr>
            <w:tcW w:w="4808"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金额</w:t>
            </w:r>
            <w:r w:rsidRPr="00514C11">
              <w:rPr>
                <w:color w:val="000000"/>
                <w:sz w:val="21"/>
              </w:rPr>
              <w:t>(</w:t>
            </w:r>
            <w:r w:rsidRPr="00514C11">
              <w:rPr>
                <w:color w:val="000000"/>
                <w:sz w:val="21"/>
              </w:rPr>
              <w:t>元</w:t>
            </w:r>
            <w:r w:rsidRPr="00514C11">
              <w:rPr>
                <w:color w:val="000000"/>
                <w:sz w:val="21"/>
              </w:rPr>
              <w:t>)</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1</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存出保证金</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5,522.05</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2</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应收证券清算款</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17,402,484.54</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3</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应收股利</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4</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应收利息</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1,540,626.66</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5</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应收申购款</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29.98</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6</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其他应收款</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175D4F">
        <w:tc>
          <w:tcPr>
            <w:tcW w:w="1235" w:type="dxa"/>
            <w:vAlign w:val="center"/>
          </w:tcPr>
          <w:p w:rsidR="00EB2C07" w:rsidRPr="00514C11" w:rsidRDefault="00EB2C07" w:rsidP="00DB1533">
            <w:pPr>
              <w:autoSpaceDE w:val="0"/>
              <w:autoSpaceDN w:val="0"/>
              <w:adjustRightInd w:val="0"/>
              <w:spacing w:before="29" w:line="360" w:lineRule="auto"/>
              <w:ind w:left="15"/>
              <w:jc w:val="center"/>
              <w:rPr>
                <w:color w:val="000000"/>
                <w:sz w:val="21"/>
              </w:rPr>
            </w:pPr>
            <w:r w:rsidRPr="00514C11">
              <w:rPr>
                <w:color w:val="000000"/>
                <w:sz w:val="21"/>
              </w:rPr>
              <w:t>7</w:t>
            </w:r>
          </w:p>
        </w:tc>
        <w:tc>
          <w:tcPr>
            <w:tcW w:w="2470" w:type="dxa"/>
            <w:vAlign w:val="center"/>
          </w:tcPr>
          <w:p w:rsidR="00EB2C07" w:rsidRPr="00514C11" w:rsidRDefault="00EB2C07" w:rsidP="00DB1533">
            <w:pPr>
              <w:autoSpaceDE w:val="0"/>
              <w:autoSpaceDN w:val="0"/>
              <w:adjustRightInd w:val="0"/>
              <w:spacing w:before="29" w:line="360" w:lineRule="auto"/>
              <w:ind w:left="15"/>
              <w:rPr>
                <w:color w:val="000000"/>
                <w:sz w:val="21"/>
              </w:rPr>
            </w:pPr>
            <w:r w:rsidRPr="00514C11">
              <w:rPr>
                <w:color w:val="000000"/>
                <w:sz w:val="21"/>
              </w:rPr>
              <w:t>待摊费用</w:t>
            </w:r>
          </w:p>
        </w:tc>
        <w:tc>
          <w:tcPr>
            <w:tcW w:w="4808" w:type="dxa"/>
            <w:vAlign w:val="center"/>
          </w:tcPr>
          <w:p w:rsidR="00EB2C07" w:rsidRPr="00514C11" w:rsidRDefault="00EB2C0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8</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其他</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9</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合计</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18,948,663.23</w:t>
            </w:r>
          </w:p>
        </w:tc>
      </w:tr>
    </w:tbl>
    <w:p w:rsidR="004061AC" w:rsidRPr="00514C11" w:rsidRDefault="00904E7C" w:rsidP="00DB1533">
      <w:pPr>
        <w:autoSpaceDE w:val="0"/>
        <w:autoSpaceDN w:val="0"/>
        <w:adjustRightInd w:val="0"/>
        <w:spacing w:before="29" w:line="360" w:lineRule="auto"/>
        <w:ind w:left="15"/>
        <w:jc w:val="left"/>
        <w:rPr>
          <w:b/>
          <w:color w:val="000000"/>
          <w:kern w:val="0"/>
        </w:rPr>
      </w:pPr>
      <w:r w:rsidRPr="007E4C62">
        <w:rPr>
          <w:rFonts w:eastAsiaTheme="minorEastAsia"/>
          <w:b/>
          <w:color w:val="000000" w:themeColor="text1"/>
          <w:kern w:val="0"/>
        </w:rPr>
        <w:t>5.1.11</w:t>
      </w:r>
      <w:r w:rsidRPr="007E4C62">
        <w:rPr>
          <w:rFonts w:eastAsiaTheme="minorEastAsia" w:hint="eastAsia"/>
          <w:b/>
          <w:color w:val="000000" w:themeColor="text1"/>
          <w:kern w:val="0"/>
        </w:rPr>
        <w:t>.4</w:t>
      </w:r>
      <w:r>
        <w:rPr>
          <w:rFonts w:eastAsiaTheme="minorEastAsia" w:hint="eastAsia"/>
          <w:b/>
          <w:color w:val="000000" w:themeColor="text1"/>
          <w:kern w:val="0"/>
          <w:sz w:val="24"/>
        </w:rPr>
        <w:t xml:space="preserve"> </w:t>
      </w:r>
      <w:r w:rsidR="004061AC" w:rsidRPr="00514C11">
        <w:rPr>
          <w:b/>
          <w:color w:val="000000"/>
          <w:kern w:val="0"/>
        </w:rPr>
        <w:t>报告期末持有的处于转股期的可转换债券明细</w:t>
      </w:r>
    </w:p>
    <w:p w:rsidR="004061AC" w:rsidRPr="00514C11" w:rsidRDefault="004061AC" w:rsidP="00DB1533">
      <w:pPr>
        <w:autoSpaceDE w:val="0"/>
        <w:autoSpaceDN w:val="0"/>
        <w:adjustRightInd w:val="0"/>
        <w:spacing w:before="29" w:line="360" w:lineRule="auto"/>
        <w:ind w:left="15"/>
        <w:jc w:val="left"/>
        <w:rPr>
          <w:color w:val="000000"/>
        </w:rPr>
      </w:pPr>
      <w:r w:rsidRPr="00514C11">
        <w:rPr>
          <w:color w:val="000000"/>
        </w:rPr>
        <w:t>本基金本报告期末未持有处于转股期的可转换债券。</w:t>
      </w:r>
    </w:p>
    <w:p w:rsidR="004061AC" w:rsidRPr="00514C11" w:rsidRDefault="00904E7C" w:rsidP="00DB1533">
      <w:pPr>
        <w:autoSpaceDE w:val="0"/>
        <w:autoSpaceDN w:val="0"/>
        <w:adjustRightInd w:val="0"/>
        <w:spacing w:before="29" w:line="360" w:lineRule="auto"/>
        <w:ind w:left="15"/>
        <w:jc w:val="left"/>
        <w:rPr>
          <w:b/>
          <w:color w:val="000000"/>
          <w:kern w:val="0"/>
        </w:rPr>
      </w:pPr>
      <w:r w:rsidRPr="007E4C62">
        <w:rPr>
          <w:rFonts w:eastAsiaTheme="minorEastAsia"/>
          <w:b/>
          <w:color w:val="000000" w:themeColor="text1"/>
          <w:kern w:val="0"/>
        </w:rPr>
        <w:t>5.1.11</w:t>
      </w:r>
      <w:r w:rsidRPr="007E4C62">
        <w:rPr>
          <w:rFonts w:eastAsiaTheme="minorEastAsia" w:hint="eastAsia"/>
          <w:b/>
          <w:color w:val="000000" w:themeColor="text1"/>
          <w:kern w:val="0"/>
        </w:rPr>
        <w:t>.5</w:t>
      </w:r>
      <w:r>
        <w:rPr>
          <w:rFonts w:eastAsiaTheme="minorEastAsia" w:hint="eastAsia"/>
          <w:b/>
          <w:color w:val="000000" w:themeColor="text1"/>
          <w:kern w:val="0"/>
          <w:sz w:val="24"/>
        </w:rPr>
        <w:t xml:space="preserve"> </w:t>
      </w:r>
      <w:r w:rsidR="004061AC" w:rsidRPr="00514C11">
        <w:rPr>
          <w:b/>
          <w:color w:val="000000"/>
          <w:kern w:val="0"/>
        </w:rPr>
        <w:t>报告期末前十名股票中存在流通受限情况的说明</w:t>
      </w:r>
    </w:p>
    <w:p w:rsidR="004061AC" w:rsidRPr="00514C11" w:rsidRDefault="004061AC" w:rsidP="00DB1533">
      <w:pPr>
        <w:autoSpaceDE w:val="0"/>
        <w:autoSpaceDN w:val="0"/>
        <w:adjustRightInd w:val="0"/>
        <w:spacing w:line="360" w:lineRule="auto"/>
        <w:jc w:val="left"/>
        <w:rPr>
          <w:rFonts w:eastAsiaTheme="minorEastAsia"/>
          <w:color w:val="000000" w:themeColor="text1"/>
        </w:rPr>
      </w:pPr>
      <w:r w:rsidRPr="00514C11">
        <w:rPr>
          <w:rFonts w:eastAsiaTheme="minorEastAsia"/>
          <w:color w:val="000000" w:themeColor="text1"/>
        </w:rPr>
        <w:t>本基金本报告期末前十名股票中不存在流通受限情况。</w:t>
      </w:r>
    </w:p>
    <w:p w:rsidR="004061AC" w:rsidRPr="00514C11" w:rsidRDefault="00904E7C" w:rsidP="00DB1533">
      <w:pPr>
        <w:autoSpaceDE w:val="0"/>
        <w:autoSpaceDN w:val="0"/>
        <w:adjustRightInd w:val="0"/>
        <w:spacing w:before="29" w:line="360" w:lineRule="auto"/>
        <w:ind w:left="15"/>
        <w:jc w:val="left"/>
        <w:rPr>
          <w:b/>
          <w:color w:val="000000"/>
          <w:kern w:val="0"/>
        </w:rPr>
      </w:pPr>
      <w:r w:rsidRPr="007E4C62">
        <w:rPr>
          <w:rFonts w:eastAsiaTheme="minorEastAsia"/>
          <w:b/>
          <w:color w:val="000000" w:themeColor="text1"/>
          <w:kern w:val="0"/>
        </w:rPr>
        <w:t>5.1.11</w:t>
      </w:r>
      <w:r w:rsidRPr="007E4C62">
        <w:rPr>
          <w:rFonts w:eastAsiaTheme="minorEastAsia" w:hint="eastAsia"/>
          <w:b/>
          <w:color w:val="000000" w:themeColor="text1"/>
          <w:kern w:val="0"/>
        </w:rPr>
        <w:t xml:space="preserve">.6 </w:t>
      </w:r>
      <w:r w:rsidR="001675CD" w:rsidRPr="00514C11">
        <w:rPr>
          <w:b/>
          <w:color w:val="000000"/>
          <w:kern w:val="0"/>
        </w:rPr>
        <w:t>投资组合报告附注的其他文字描述部分</w:t>
      </w:r>
    </w:p>
    <w:p w:rsidR="004061AC" w:rsidRPr="00514C11" w:rsidRDefault="004061AC" w:rsidP="00DB1533">
      <w:pPr>
        <w:adjustRightInd w:val="0"/>
        <w:spacing w:before="29" w:line="360" w:lineRule="auto"/>
        <w:rPr>
          <w:bCs/>
          <w:color w:val="000000"/>
        </w:rPr>
      </w:pPr>
      <w:r w:rsidRPr="00514C11">
        <w:rPr>
          <w:bCs/>
          <w:color w:val="000000"/>
        </w:rPr>
        <w:t>由于四舍五入的原因，分项之和与合计项之间可能存在尾差。</w:t>
      </w:r>
    </w:p>
    <w:p w:rsidR="00937387" w:rsidRPr="00514C11" w:rsidRDefault="00937387" w:rsidP="00DB1533">
      <w:pPr>
        <w:spacing w:line="360" w:lineRule="auto"/>
        <w:rPr>
          <w:rFonts w:eastAsiaTheme="minorEastAsia"/>
          <w:color w:val="000000" w:themeColor="text1"/>
        </w:rPr>
      </w:pPr>
    </w:p>
    <w:p w:rsidR="00937387" w:rsidRPr="00D37962" w:rsidRDefault="00937387" w:rsidP="00DB1533">
      <w:pPr>
        <w:pStyle w:val="2"/>
        <w:spacing w:before="0" w:after="0"/>
        <w:rPr>
          <w:rFonts w:ascii="Times New Roman" w:hAnsi="Times New Roman" w:cs="Times New Roman"/>
          <w:color w:val="000000"/>
          <w:kern w:val="0"/>
          <w:sz w:val="21"/>
          <w:szCs w:val="21"/>
        </w:rPr>
      </w:pPr>
      <w:r w:rsidRPr="00514C11">
        <w:rPr>
          <w:rFonts w:ascii="Times New Roman" w:hAnsi="Times New Roman" w:cs="Times New Roman"/>
          <w:color w:val="000000"/>
          <w:kern w:val="0"/>
          <w:sz w:val="21"/>
          <w:szCs w:val="21"/>
        </w:rPr>
        <w:t xml:space="preserve">5.2 </w:t>
      </w:r>
      <w:r w:rsidR="00904E7C">
        <w:rPr>
          <w:rFonts w:ascii="Times New Roman" w:hAnsi="Times New Roman" w:cs="Times New Roman" w:hint="eastAsia"/>
          <w:color w:val="000000"/>
          <w:kern w:val="0"/>
          <w:sz w:val="21"/>
          <w:szCs w:val="21"/>
        </w:rPr>
        <w:t xml:space="preserve"> </w:t>
      </w:r>
      <w:r w:rsidRPr="00514C11">
        <w:rPr>
          <w:rFonts w:ascii="Times New Roman" w:hAnsi="Times New Roman" w:cs="Times New Roman"/>
          <w:color w:val="000000"/>
          <w:kern w:val="0"/>
          <w:sz w:val="21"/>
          <w:szCs w:val="21"/>
        </w:rPr>
        <w:t>交银施罗德荣和保本混合型证券投资基金</w:t>
      </w:r>
    </w:p>
    <w:p w:rsidR="00937387" w:rsidRPr="00514C11" w:rsidRDefault="00937387" w:rsidP="00DB1533">
      <w:pPr>
        <w:autoSpaceDE w:val="0"/>
        <w:autoSpaceDN w:val="0"/>
        <w:adjustRightInd w:val="0"/>
        <w:spacing w:before="29" w:line="360" w:lineRule="auto"/>
        <w:ind w:left="15"/>
        <w:jc w:val="left"/>
        <w:rPr>
          <w:b/>
          <w:color w:val="000000"/>
          <w:kern w:val="0"/>
        </w:rPr>
      </w:pPr>
      <w:r w:rsidRPr="00514C11">
        <w:rPr>
          <w:b/>
          <w:color w:val="000000"/>
          <w:kern w:val="0"/>
        </w:rPr>
        <w:t>（报告期：</w:t>
      </w:r>
      <w:r w:rsidRPr="00514C11">
        <w:rPr>
          <w:b/>
          <w:color w:val="000000"/>
          <w:kern w:val="0"/>
        </w:rPr>
        <w:t>2018</w:t>
      </w:r>
      <w:r w:rsidRPr="00514C11">
        <w:rPr>
          <w:b/>
          <w:color w:val="000000"/>
          <w:kern w:val="0"/>
        </w:rPr>
        <w:t>年</w:t>
      </w:r>
      <w:r w:rsidRPr="00514C11">
        <w:rPr>
          <w:b/>
          <w:color w:val="000000"/>
          <w:kern w:val="0"/>
        </w:rPr>
        <w:t>4</w:t>
      </w:r>
      <w:r w:rsidRPr="00514C11">
        <w:rPr>
          <w:b/>
          <w:color w:val="000000"/>
          <w:kern w:val="0"/>
        </w:rPr>
        <w:t>月</w:t>
      </w:r>
      <w:r w:rsidRPr="00514C11">
        <w:rPr>
          <w:b/>
          <w:color w:val="000000"/>
          <w:kern w:val="0"/>
        </w:rPr>
        <w:t>1</w:t>
      </w:r>
      <w:r w:rsidRPr="00514C11">
        <w:rPr>
          <w:b/>
          <w:color w:val="000000"/>
          <w:kern w:val="0"/>
        </w:rPr>
        <w:t>日</w:t>
      </w:r>
      <w:r w:rsidRPr="00514C11">
        <w:rPr>
          <w:b/>
          <w:color w:val="000000"/>
          <w:kern w:val="0"/>
        </w:rPr>
        <w:t>-2018</w:t>
      </w:r>
      <w:r w:rsidRPr="00514C11">
        <w:rPr>
          <w:b/>
          <w:color w:val="000000"/>
          <w:kern w:val="0"/>
        </w:rPr>
        <w:t>年</w:t>
      </w:r>
      <w:r w:rsidRPr="00514C11">
        <w:rPr>
          <w:b/>
          <w:color w:val="000000"/>
          <w:kern w:val="0"/>
        </w:rPr>
        <w:t>6</w:t>
      </w:r>
      <w:r w:rsidRPr="00514C11">
        <w:rPr>
          <w:b/>
          <w:color w:val="000000"/>
          <w:kern w:val="0"/>
        </w:rPr>
        <w:t>月</w:t>
      </w:r>
      <w:r w:rsidRPr="00514C11">
        <w:rPr>
          <w:b/>
          <w:color w:val="000000"/>
          <w:kern w:val="0"/>
        </w:rPr>
        <w:t>1</w:t>
      </w:r>
      <w:r w:rsidRPr="00514C11">
        <w:rPr>
          <w:b/>
          <w:color w:val="000000"/>
          <w:kern w:val="0"/>
        </w:rPr>
        <w:t>日）</w:t>
      </w:r>
    </w:p>
    <w:p w:rsidR="00937387" w:rsidRPr="00514C11" w:rsidRDefault="00937387" w:rsidP="00DB1533">
      <w:pPr>
        <w:autoSpaceDE w:val="0"/>
        <w:autoSpaceDN w:val="0"/>
        <w:adjustRightInd w:val="0"/>
        <w:spacing w:before="29" w:line="360" w:lineRule="auto"/>
        <w:ind w:left="15"/>
        <w:jc w:val="left"/>
        <w:rPr>
          <w:b/>
          <w:color w:val="000000"/>
          <w:kern w:val="0"/>
        </w:rPr>
      </w:pPr>
      <w:r w:rsidRPr="00514C11">
        <w:rPr>
          <w:b/>
          <w:color w:val="000000"/>
          <w:kern w:val="0"/>
        </w:rPr>
        <w:t xml:space="preserve">5.2.1 </w:t>
      </w:r>
      <w:r w:rsidRPr="00514C11">
        <w:rPr>
          <w:b/>
          <w:color w:val="000000"/>
          <w:kern w:val="0"/>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937387" w:rsidRPr="00514C11" w:rsidTr="00496743">
        <w:trPr>
          <w:jc w:val="center"/>
        </w:trPr>
        <w:tc>
          <w:tcPr>
            <w:tcW w:w="72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3357"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项目</w:t>
            </w:r>
          </w:p>
        </w:tc>
        <w:tc>
          <w:tcPr>
            <w:tcW w:w="2977"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金额</w:t>
            </w:r>
            <w:r w:rsidRPr="00514C11">
              <w:rPr>
                <w:color w:val="000000"/>
                <w:sz w:val="21"/>
              </w:rPr>
              <w:t>(</w:t>
            </w:r>
            <w:r w:rsidRPr="00514C11">
              <w:rPr>
                <w:color w:val="000000"/>
                <w:sz w:val="21"/>
              </w:rPr>
              <w:t>元</w:t>
            </w:r>
            <w:r w:rsidRPr="00514C11">
              <w:rPr>
                <w:color w:val="000000"/>
                <w:sz w:val="21"/>
              </w:rPr>
              <w:t>)</w:t>
            </w:r>
          </w:p>
        </w:tc>
        <w:tc>
          <w:tcPr>
            <w:tcW w:w="1843"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占基金总资产的比例</w:t>
            </w:r>
            <w:r w:rsidRPr="00514C11">
              <w:rPr>
                <w:color w:val="000000"/>
                <w:sz w:val="21"/>
              </w:rPr>
              <w:t>(%)</w:t>
            </w:r>
          </w:p>
        </w:tc>
      </w:tr>
      <w:tr w:rsidR="00937387" w:rsidRPr="00514C11" w:rsidTr="00496743">
        <w:trPr>
          <w:jc w:val="center"/>
        </w:trPr>
        <w:tc>
          <w:tcPr>
            <w:tcW w:w="72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1</w:t>
            </w:r>
          </w:p>
        </w:tc>
        <w:tc>
          <w:tcPr>
            <w:tcW w:w="3357" w:type="dxa"/>
            <w:vAlign w:val="center"/>
          </w:tcPr>
          <w:p w:rsidR="00937387" w:rsidRPr="00514C11" w:rsidRDefault="00937387" w:rsidP="00DB1533">
            <w:pPr>
              <w:autoSpaceDE w:val="0"/>
              <w:autoSpaceDN w:val="0"/>
              <w:adjustRightInd w:val="0"/>
              <w:spacing w:before="29" w:line="360" w:lineRule="auto"/>
              <w:ind w:left="15"/>
              <w:jc w:val="left"/>
              <w:rPr>
                <w:color w:val="000000"/>
                <w:sz w:val="21"/>
              </w:rPr>
            </w:pPr>
            <w:r w:rsidRPr="00514C11">
              <w:rPr>
                <w:color w:val="000000"/>
                <w:sz w:val="21"/>
              </w:rPr>
              <w:t>权益投资</w:t>
            </w:r>
          </w:p>
        </w:tc>
        <w:tc>
          <w:tcPr>
            <w:tcW w:w="2977"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rPr>
          <w:jc w:val="center"/>
        </w:trPr>
        <w:tc>
          <w:tcPr>
            <w:tcW w:w="72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p>
        </w:tc>
        <w:tc>
          <w:tcPr>
            <w:tcW w:w="3357" w:type="dxa"/>
            <w:vAlign w:val="center"/>
          </w:tcPr>
          <w:p w:rsidR="00937387" w:rsidRPr="00514C11" w:rsidRDefault="00937387" w:rsidP="00DB1533">
            <w:pPr>
              <w:autoSpaceDE w:val="0"/>
              <w:autoSpaceDN w:val="0"/>
              <w:adjustRightInd w:val="0"/>
              <w:spacing w:before="29" w:line="360" w:lineRule="auto"/>
              <w:ind w:left="15"/>
              <w:jc w:val="left"/>
              <w:rPr>
                <w:color w:val="000000"/>
                <w:sz w:val="21"/>
              </w:rPr>
            </w:pPr>
            <w:r w:rsidRPr="00514C11">
              <w:rPr>
                <w:color w:val="000000"/>
                <w:sz w:val="21"/>
              </w:rPr>
              <w:t>其中：股票</w:t>
            </w:r>
          </w:p>
        </w:tc>
        <w:tc>
          <w:tcPr>
            <w:tcW w:w="2977"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C51B4E" w:rsidRDefault="005D7AE1" w:rsidP="00CD187D">
            <w:pPr>
              <w:spacing w:before="29" w:line="360" w:lineRule="auto"/>
              <w:ind w:left="17"/>
              <w:jc w:val="center"/>
              <w:rPr>
                <w:rFonts w:eastAsiaTheme="minorEastAsia"/>
                <w:color w:val="000000" w:themeColor="text1"/>
              </w:rPr>
            </w:pPr>
            <w:r w:rsidRPr="00C51B4E">
              <w:rPr>
                <w:rFonts w:eastAsiaTheme="minorEastAsia" w:hint="eastAsia"/>
                <w:color w:val="000000" w:themeColor="text1"/>
              </w:rPr>
              <w:t>2</w:t>
            </w:r>
          </w:p>
        </w:tc>
        <w:tc>
          <w:tcPr>
            <w:tcW w:w="3357" w:type="dxa"/>
            <w:vAlign w:val="center"/>
          </w:tcPr>
          <w:p w:rsidR="005D7AE1" w:rsidRPr="00C51B4E" w:rsidRDefault="005D7AE1" w:rsidP="00CD187D">
            <w:pPr>
              <w:spacing w:before="29" w:line="360" w:lineRule="auto"/>
              <w:ind w:left="17"/>
              <w:jc w:val="left"/>
              <w:rPr>
                <w:rFonts w:eastAsiaTheme="minorEastAsia"/>
                <w:color w:val="000000" w:themeColor="text1"/>
              </w:rPr>
            </w:pPr>
            <w:r w:rsidRPr="00C51B4E">
              <w:rPr>
                <w:rFonts w:ascii="宋体" w:hAnsi="宋体" w:hint="eastAsia"/>
                <w:sz w:val="24"/>
              </w:rPr>
              <w:t>基金投资</w:t>
            </w:r>
          </w:p>
        </w:tc>
        <w:tc>
          <w:tcPr>
            <w:tcW w:w="2977" w:type="dxa"/>
            <w:vAlign w:val="center"/>
          </w:tcPr>
          <w:p w:rsidR="005D7AE1" w:rsidRPr="00C51B4E" w:rsidRDefault="005D7AE1" w:rsidP="00CD187D">
            <w:pPr>
              <w:spacing w:before="29" w:line="360" w:lineRule="auto"/>
              <w:ind w:left="17"/>
              <w:jc w:val="right"/>
              <w:rPr>
                <w:rFonts w:eastAsiaTheme="minorEastAsia"/>
                <w:color w:val="000000" w:themeColor="text1"/>
              </w:rPr>
            </w:pPr>
            <w:r w:rsidRPr="00C51B4E">
              <w:rPr>
                <w:rFonts w:eastAsiaTheme="minorEastAsia" w:hint="eastAsia"/>
                <w:color w:val="000000" w:themeColor="text1"/>
              </w:rPr>
              <w:t>-</w:t>
            </w:r>
          </w:p>
        </w:tc>
        <w:tc>
          <w:tcPr>
            <w:tcW w:w="1843" w:type="dxa"/>
            <w:vAlign w:val="center"/>
          </w:tcPr>
          <w:p w:rsidR="005D7AE1" w:rsidRPr="00C51B4E" w:rsidRDefault="005D7AE1" w:rsidP="00CD187D">
            <w:pPr>
              <w:spacing w:before="29" w:line="360" w:lineRule="auto"/>
              <w:ind w:left="17"/>
              <w:jc w:val="right"/>
              <w:rPr>
                <w:rFonts w:eastAsiaTheme="minorEastAsia"/>
                <w:color w:val="000000" w:themeColor="text1"/>
              </w:rPr>
            </w:pPr>
            <w:r w:rsidRPr="00C51B4E">
              <w:rPr>
                <w:rFonts w:eastAsiaTheme="minorEastAsia" w:hint="eastAsia"/>
                <w:color w:val="000000" w:themeColor="text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3</w:t>
            </w: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固定收益投资</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180,958,000.00</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64.50</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其中：债券</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180,958,000.00</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64.50</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p>
        </w:tc>
        <w:tc>
          <w:tcPr>
            <w:tcW w:w="3357" w:type="dxa"/>
            <w:vAlign w:val="center"/>
          </w:tcPr>
          <w:p w:rsidR="005D7AE1" w:rsidRPr="00514C11" w:rsidRDefault="005D7AE1" w:rsidP="00DB1533">
            <w:pPr>
              <w:autoSpaceDE w:val="0"/>
              <w:autoSpaceDN w:val="0"/>
              <w:adjustRightInd w:val="0"/>
              <w:spacing w:before="29" w:line="360" w:lineRule="auto"/>
              <w:ind w:left="15" w:firstLineChars="250" w:firstLine="525"/>
              <w:jc w:val="left"/>
              <w:rPr>
                <w:color w:val="000000"/>
                <w:sz w:val="21"/>
              </w:rPr>
            </w:pPr>
            <w:r w:rsidRPr="00514C11">
              <w:rPr>
                <w:color w:val="000000"/>
                <w:sz w:val="21"/>
              </w:rPr>
              <w:t>资产支持证券</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4</w:t>
            </w:r>
          </w:p>
        </w:tc>
        <w:tc>
          <w:tcPr>
            <w:tcW w:w="3357" w:type="dxa"/>
          </w:tcPr>
          <w:p w:rsidR="005D7AE1" w:rsidRPr="00514C11" w:rsidRDefault="005D7AE1" w:rsidP="00DB1533">
            <w:pPr>
              <w:autoSpaceDE w:val="0"/>
              <w:autoSpaceDN w:val="0"/>
              <w:adjustRightInd w:val="0"/>
              <w:spacing w:before="29" w:line="360" w:lineRule="auto"/>
              <w:ind w:leftChars="50" w:left="105"/>
              <w:rPr>
                <w:color w:val="000000"/>
                <w:sz w:val="21"/>
              </w:rPr>
            </w:pPr>
            <w:r w:rsidRPr="00514C11">
              <w:rPr>
                <w:color w:val="000000"/>
                <w:sz w:val="21"/>
              </w:rPr>
              <w:t>贵金属投资</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5</w:t>
            </w: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金融衍生品投资</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6</w:t>
            </w: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买入返售金融资产</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其中：买断式回购的买入返售金融资产</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7</w:t>
            </w: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银行存款和结算备付金合计</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82,808,721.39</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29.52</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sidRPr="00514C11">
              <w:rPr>
                <w:color w:val="000000"/>
                <w:sz w:val="21"/>
              </w:rPr>
              <w:t>7</w:t>
            </w:r>
          </w:p>
        </w:tc>
        <w:tc>
          <w:tcPr>
            <w:tcW w:w="3357" w:type="dxa"/>
            <w:vAlign w:val="center"/>
          </w:tcPr>
          <w:p w:rsidR="005D7AE1" w:rsidRPr="00514C11" w:rsidRDefault="005D7AE1" w:rsidP="00DB1533">
            <w:pPr>
              <w:autoSpaceDE w:val="0"/>
              <w:autoSpaceDN w:val="0"/>
              <w:adjustRightInd w:val="0"/>
              <w:spacing w:line="360" w:lineRule="auto"/>
              <w:ind w:left="15"/>
              <w:jc w:val="left"/>
              <w:rPr>
                <w:color w:val="000000"/>
                <w:sz w:val="21"/>
              </w:rPr>
            </w:pPr>
            <w:r w:rsidRPr="00514C11">
              <w:rPr>
                <w:color w:val="000000"/>
                <w:sz w:val="21"/>
              </w:rPr>
              <w:t>其他各项资产</w:t>
            </w:r>
          </w:p>
        </w:tc>
        <w:tc>
          <w:tcPr>
            <w:tcW w:w="2977" w:type="dxa"/>
            <w:vAlign w:val="center"/>
          </w:tcPr>
          <w:p w:rsidR="005D7AE1" w:rsidRPr="00514C11" w:rsidRDefault="005D7AE1" w:rsidP="00DB1533">
            <w:pPr>
              <w:autoSpaceDE w:val="0"/>
              <w:autoSpaceDN w:val="0"/>
              <w:adjustRightInd w:val="0"/>
              <w:spacing w:line="360" w:lineRule="auto"/>
              <w:ind w:left="15"/>
              <w:jc w:val="right"/>
              <w:rPr>
                <w:color w:val="000000"/>
                <w:sz w:val="21"/>
              </w:rPr>
            </w:pPr>
            <w:r w:rsidRPr="00514C11">
              <w:rPr>
                <w:color w:val="000000"/>
                <w:sz w:val="21"/>
              </w:rPr>
              <w:t>16,770,710.96</w:t>
            </w:r>
          </w:p>
        </w:tc>
        <w:tc>
          <w:tcPr>
            <w:tcW w:w="1843" w:type="dxa"/>
            <w:vAlign w:val="center"/>
          </w:tcPr>
          <w:p w:rsidR="005D7AE1" w:rsidRPr="00514C11" w:rsidRDefault="005D7AE1" w:rsidP="00DB1533">
            <w:pPr>
              <w:autoSpaceDE w:val="0"/>
              <w:autoSpaceDN w:val="0"/>
              <w:adjustRightInd w:val="0"/>
              <w:spacing w:line="360" w:lineRule="auto"/>
              <w:ind w:left="15"/>
              <w:jc w:val="right"/>
              <w:rPr>
                <w:color w:val="000000"/>
                <w:sz w:val="21"/>
              </w:rPr>
            </w:pPr>
            <w:r w:rsidRPr="00514C11">
              <w:rPr>
                <w:color w:val="000000"/>
                <w:sz w:val="21"/>
              </w:rPr>
              <w:t>5.98</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sidRPr="00514C11">
              <w:rPr>
                <w:color w:val="000000"/>
                <w:sz w:val="21"/>
              </w:rPr>
              <w:t>8</w:t>
            </w:r>
          </w:p>
        </w:tc>
        <w:tc>
          <w:tcPr>
            <w:tcW w:w="3357" w:type="dxa"/>
            <w:vAlign w:val="center"/>
          </w:tcPr>
          <w:p w:rsidR="005D7AE1" w:rsidRPr="00514C11" w:rsidRDefault="005D7AE1" w:rsidP="00DB1533">
            <w:pPr>
              <w:autoSpaceDE w:val="0"/>
              <w:autoSpaceDN w:val="0"/>
              <w:adjustRightInd w:val="0"/>
              <w:spacing w:line="360" w:lineRule="auto"/>
              <w:ind w:left="15"/>
              <w:jc w:val="left"/>
              <w:rPr>
                <w:color w:val="000000"/>
                <w:sz w:val="21"/>
              </w:rPr>
            </w:pPr>
            <w:r w:rsidRPr="00514C11">
              <w:rPr>
                <w:color w:val="000000"/>
                <w:sz w:val="21"/>
              </w:rPr>
              <w:t>合计</w:t>
            </w:r>
          </w:p>
        </w:tc>
        <w:tc>
          <w:tcPr>
            <w:tcW w:w="2977" w:type="dxa"/>
            <w:vAlign w:val="center"/>
          </w:tcPr>
          <w:p w:rsidR="005D7AE1" w:rsidRPr="00514C11" w:rsidRDefault="005D7AE1" w:rsidP="00DB1533">
            <w:pPr>
              <w:autoSpaceDE w:val="0"/>
              <w:autoSpaceDN w:val="0"/>
              <w:adjustRightInd w:val="0"/>
              <w:spacing w:line="360" w:lineRule="auto"/>
              <w:ind w:left="15"/>
              <w:jc w:val="right"/>
              <w:rPr>
                <w:color w:val="000000"/>
                <w:sz w:val="21"/>
              </w:rPr>
            </w:pPr>
            <w:r w:rsidRPr="00514C11">
              <w:rPr>
                <w:color w:val="000000"/>
                <w:sz w:val="21"/>
              </w:rPr>
              <w:t>280,537,432.35</w:t>
            </w:r>
          </w:p>
        </w:tc>
        <w:tc>
          <w:tcPr>
            <w:tcW w:w="1843" w:type="dxa"/>
            <w:vAlign w:val="center"/>
          </w:tcPr>
          <w:p w:rsidR="005D7AE1" w:rsidRPr="00514C11" w:rsidRDefault="005D7AE1" w:rsidP="00DB1533">
            <w:pPr>
              <w:autoSpaceDE w:val="0"/>
              <w:autoSpaceDN w:val="0"/>
              <w:adjustRightInd w:val="0"/>
              <w:spacing w:line="360" w:lineRule="auto"/>
              <w:ind w:left="15"/>
              <w:jc w:val="right"/>
              <w:rPr>
                <w:color w:val="000000"/>
                <w:sz w:val="21"/>
              </w:rPr>
            </w:pPr>
            <w:r w:rsidRPr="00514C11">
              <w:rPr>
                <w:color w:val="000000"/>
                <w:sz w:val="21"/>
              </w:rPr>
              <w:t>100.00</w:t>
            </w:r>
          </w:p>
        </w:tc>
      </w:tr>
    </w:tbl>
    <w:p w:rsidR="00937387" w:rsidRPr="00514C11" w:rsidRDefault="00937387" w:rsidP="00DB1533">
      <w:pPr>
        <w:autoSpaceDE w:val="0"/>
        <w:autoSpaceDN w:val="0"/>
        <w:adjustRightInd w:val="0"/>
        <w:spacing w:before="29" w:line="360" w:lineRule="auto"/>
        <w:ind w:left="15"/>
        <w:jc w:val="left"/>
        <w:rPr>
          <w:b/>
          <w:color w:val="000000"/>
          <w:kern w:val="0"/>
        </w:rPr>
      </w:pPr>
      <w:r w:rsidRPr="00514C11">
        <w:rPr>
          <w:b/>
          <w:color w:val="000000"/>
          <w:kern w:val="0"/>
        </w:rPr>
        <w:t xml:space="preserve">5.2.2 </w:t>
      </w:r>
      <w:r w:rsidRPr="00514C11">
        <w:rPr>
          <w:b/>
          <w:color w:val="000000"/>
          <w:kern w:val="0"/>
        </w:rPr>
        <w:t>报告期末按行业分类的股票投资组合</w:t>
      </w:r>
    </w:p>
    <w:p w:rsidR="0082115D" w:rsidRPr="00514C11" w:rsidRDefault="0082115D" w:rsidP="00DB1533">
      <w:pPr>
        <w:spacing w:line="360" w:lineRule="auto"/>
        <w:rPr>
          <w:b/>
        </w:rPr>
      </w:pPr>
      <w:r w:rsidRPr="00514C11">
        <w:rPr>
          <w:rFonts w:eastAsiaTheme="minorEastAsia"/>
          <w:b/>
          <w:color w:val="000000" w:themeColor="text1"/>
          <w:kern w:val="0"/>
        </w:rPr>
        <w:t>5.2.2.1</w:t>
      </w:r>
      <w:r w:rsidRPr="00514C11">
        <w:rPr>
          <w:rFonts w:eastAsiaTheme="minorEastAsia"/>
          <w:b/>
          <w:color w:val="000000" w:themeColor="text1"/>
          <w:kern w:val="0"/>
        </w:rPr>
        <w:t>报告期末按行业分类的境内股票投资组合</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本基金本报告期末未持有股票。</w:t>
      </w:r>
    </w:p>
    <w:p w:rsidR="0082115D" w:rsidRPr="00514C11" w:rsidRDefault="0082115D" w:rsidP="00DB1533">
      <w:pPr>
        <w:spacing w:line="360" w:lineRule="auto"/>
        <w:jc w:val="left"/>
        <w:rPr>
          <w:rFonts w:eastAsiaTheme="minorEastAsia"/>
          <w:color w:val="000000" w:themeColor="text1"/>
        </w:rPr>
      </w:pPr>
      <w:r w:rsidRPr="00514C11">
        <w:rPr>
          <w:rFonts w:eastAsiaTheme="minorEastAsia"/>
          <w:b/>
          <w:color w:val="000000" w:themeColor="text1"/>
          <w:kern w:val="0"/>
        </w:rPr>
        <w:t>5.2.2.2</w:t>
      </w:r>
      <w:r w:rsidR="00904E7C">
        <w:rPr>
          <w:rFonts w:eastAsiaTheme="minorEastAsia" w:hint="eastAsia"/>
          <w:b/>
          <w:color w:val="000000" w:themeColor="text1"/>
          <w:kern w:val="0"/>
        </w:rPr>
        <w:t xml:space="preserve"> </w:t>
      </w:r>
      <w:r w:rsidR="00A64B26">
        <w:rPr>
          <w:rFonts w:eastAsiaTheme="minorEastAsia"/>
          <w:b/>
          <w:color w:val="000000" w:themeColor="text1"/>
          <w:kern w:val="0"/>
        </w:rPr>
        <w:t>报告期末按行业分类的</w:t>
      </w:r>
      <w:r w:rsidRPr="00514C11">
        <w:rPr>
          <w:rFonts w:eastAsiaTheme="minorEastAsia"/>
          <w:b/>
          <w:color w:val="000000" w:themeColor="text1"/>
          <w:kern w:val="0"/>
        </w:rPr>
        <w:t>港</w:t>
      </w:r>
      <w:r w:rsidR="00A64B26">
        <w:rPr>
          <w:rFonts w:eastAsiaTheme="minorEastAsia" w:hint="eastAsia"/>
          <w:b/>
          <w:color w:val="000000" w:themeColor="text1"/>
          <w:kern w:val="0"/>
        </w:rPr>
        <w:t>股</w:t>
      </w:r>
      <w:r w:rsidRPr="00514C11">
        <w:rPr>
          <w:rFonts w:eastAsiaTheme="minorEastAsia"/>
          <w:b/>
          <w:color w:val="000000" w:themeColor="text1"/>
          <w:kern w:val="0"/>
        </w:rPr>
        <w:t>通投资股票投资组合</w:t>
      </w:r>
    </w:p>
    <w:p w:rsidR="0082115D" w:rsidRDefault="0082115D" w:rsidP="00DB1533">
      <w:pPr>
        <w:autoSpaceDE w:val="0"/>
        <w:autoSpaceDN w:val="0"/>
        <w:adjustRightInd w:val="0"/>
        <w:spacing w:before="29" w:line="360" w:lineRule="auto"/>
        <w:ind w:left="15"/>
        <w:jc w:val="left"/>
        <w:rPr>
          <w:color w:val="000000"/>
          <w:kern w:val="0"/>
        </w:rPr>
      </w:pPr>
      <w:r w:rsidRPr="00514C11">
        <w:rPr>
          <w:color w:val="000000"/>
          <w:kern w:val="0"/>
        </w:rPr>
        <w:t>本基金本报告期末未持有通过港股通投资的股票。</w:t>
      </w:r>
    </w:p>
    <w:p w:rsidR="00937387" w:rsidRPr="00514C11" w:rsidRDefault="00937387" w:rsidP="00DB1533">
      <w:pPr>
        <w:autoSpaceDE w:val="0"/>
        <w:autoSpaceDN w:val="0"/>
        <w:adjustRightInd w:val="0"/>
        <w:spacing w:line="360" w:lineRule="auto"/>
        <w:jc w:val="left"/>
        <w:rPr>
          <w:rFonts w:eastAsiaTheme="minorEastAsia"/>
          <w:b/>
          <w:bCs/>
          <w:color w:val="000000" w:themeColor="text1"/>
          <w:kern w:val="0"/>
        </w:rPr>
      </w:pPr>
      <w:r w:rsidRPr="00514C11">
        <w:rPr>
          <w:b/>
          <w:color w:val="000000"/>
          <w:kern w:val="0"/>
        </w:rPr>
        <w:t xml:space="preserve">5.2.3 </w:t>
      </w:r>
      <w:r w:rsidRPr="00514C11">
        <w:rPr>
          <w:b/>
          <w:color w:val="000000"/>
          <w:kern w:val="0"/>
        </w:rPr>
        <w:t>报告期末按公允价值占基金资产净值比例大小排序的前十名股票投资明</w:t>
      </w:r>
      <w:r w:rsidRPr="00514C11">
        <w:rPr>
          <w:rFonts w:eastAsiaTheme="minorEastAsia"/>
          <w:b/>
          <w:bCs/>
          <w:color w:val="000000" w:themeColor="text1"/>
          <w:kern w:val="0"/>
        </w:rPr>
        <w:t>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本基金本报告期末未持有股票。</w:t>
      </w:r>
    </w:p>
    <w:p w:rsidR="00937387" w:rsidRPr="00514C11" w:rsidRDefault="00937387" w:rsidP="00DB1533">
      <w:pPr>
        <w:autoSpaceDE w:val="0"/>
        <w:autoSpaceDN w:val="0"/>
        <w:adjustRightInd w:val="0"/>
        <w:spacing w:before="29" w:line="360" w:lineRule="auto"/>
        <w:ind w:left="15"/>
        <w:jc w:val="left"/>
        <w:rPr>
          <w:b/>
          <w:color w:val="000000"/>
          <w:kern w:val="0"/>
        </w:rPr>
      </w:pPr>
      <w:r w:rsidRPr="00514C11">
        <w:rPr>
          <w:b/>
          <w:color w:val="000000"/>
          <w:kern w:val="0"/>
        </w:rPr>
        <w:t xml:space="preserve">5.2.4 </w:t>
      </w:r>
      <w:r w:rsidRPr="00514C11">
        <w:rPr>
          <w:b/>
          <w:color w:val="000000"/>
          <w:kern w:val="0"/>
        </w:rPr>
        <w:t>报告期末按债券品种分类的债券投资组合</w:t>
      </w:r>
    </w:p>
    <w:tbl>
      <w:tblPr>
        <w:tblStyle w:val="af7"/>
        <w:tblW w:w="0" w:type="auto"/>
        <w:tblLayout w:type="fixed"/>
        <w:tblLook w:val="04A0" w:firstRow="1" w:lastRow="0" w:firstColumn="1" w:lastColumn="0" w:noHBand="0" w:noVBand="1"/>
      </w:tblPr>
      <w:tblGrid>
        <w:gridCol w:w="817"/>
        <w:gridCol w:w="3260"/>
        <w:gridCol w:w="2835"/>
        <w:gridCol w:w="1616"/>
      </w:tblGrid>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bookmarkStart w:id="4" w:name="OLE_LINK9"/>
            <w:bookmarkStart w:id="5" w:name="OLE_LINK10"/>
            <w:r w:rsidRPr="003C5007">
              <w:rPr>
                <w:rFonts w:eastAsiaTheme="minorEastAsia"/>
                <w:color w:val="000000" w:themeColor="text1"/>
              </w:rPr>
              <w:t>序号</w:t>
            </w:r>
          </w:p>
        </w:tc>
        <w:tc>
          <w:tcPr>
            <w:tcW w:w="3260"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债券品种</w:t>
            </w:r>
          </w:p>
        </w:tc>
        <w:tc>
          <w:tcPr>
            <w:tcW w:w="2835"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公允价值</w:t>
            </w:r>
            <w:r w:rsidRPr="003C5007">
              <w:rPr>
                <w:rFonts w:eastAsiaTheme="minorEastAsia"/>
                <w:color w:val="000000" w:themeColor="text1"/>
              </w:rPr>
              <w:t>(</w:t>
            </w:r>
            <w:r w:rsidRPr="003C5007">
              <w:rPr>
                <w:rFonts w:eastAsiaTheme="minorEastAsia"/>
                <w:color w:val="000000" w:themeColor="text1"/>
              </w:rPr>
              <w:t>元</w:t>
            </w:r>
            <w:r w:rsidRPr="003C5007">
              <w:rPr>
                <w:rFonts w:eastAsiaTheme="minorEastAsia"/>
                <w:color w:val="000000" w:themeColor="text1"/>
              </w:rPr>
              <w:t>)</w:t>
            </w:r>
          </w:p>
        </w:tc>
        <w:tc>
          <w:tcPr>
            <w:tcW w:w="1616"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占基金资产净值比例</w:t>
            </w:r>
            <w:r w:rsidRPr="003C5007">
              <w:rPr>
                <w:rFonts w:eastAsiaTheme="minorEastAsia"/>
                <w:color w:val="000000" w:themeColor="text1"/>
              </w:rPr>
              <w:t>(</w:t>
            </w:r>
            <w:r w:rsidRPr="003C5007">
              <w:rPr>
                <w:rFonts w:eastAsiaTheme="minorEastAsia"/>
                <w:color w:val="000000" w:themeColor="text1"/>
              </w:rPr>
              <w:t>％</w:t>
            </w:r>
            <w:r w:rsidRPr="003C5007">
              <w:rPr>
                <w:rFonts w:eastAsiaTheme="minorEastAsia"/>
                <w:color w:val="000000" w:themeColor="text1"/>
              </w:rPr>
              <w:t>)</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1</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国家债券</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2</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央行票据</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3</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金融债券</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其中：政策性金融债</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4</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企业债券</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49,920,000.00</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25.87</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5</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企业短期融资券</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6</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中期票据</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131,038,000.00</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67.91</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7</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可转债（可交换债）</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8</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同业存单</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9</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其他</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DB6FBF">
        <w:tc>
          <w:tcPr>
            <w:tcW w:w="817" w:type="dxa"/>
            <w:vAlign w:val="center"/>
          </w:tcPr>
          <w:p w:rsidR="000B266F" w:rsidRPr="003C5007" w:rsidRDefault="000B266F" w:rsidP="00DB6FBF">
            <w:pPr>
              <w:spacing w:line="360" w:lineRule="auto"/>
              <w:ind w:left="17"/>
              <w:jc w:val="center"/>
              <w:rPr>
                <w:rFonts w:eastAsiaTheme="minorEastAsia"/>
                <w:color w:val="000000" w:themeColor="text1"/>
              </w:rPr>
            </w:pPr>
            <w:r w:rsidRPr="003C5007">
              <w:rPr>
                <w:rFonts w:eastAsiaTheme="minorEastAsia"/>
                <w:color w:val="000000" w:themeColor="text1"/>
              </w:rPr>
              <w:t>10</w:t>
            </w:r>
          </w:p>
        </w:tc>
        <w:tc>
          <w:tcPr>
            <w:tcW w:w="3260" w:type="dxa"/>
            <w:vAlign w:val="center"/>
          </w:tcPr>
          <w:p w:rsidR="000B266F" w:rsidRPr="003C5007" w:rsidRDefault="000B266F" w:rsidP="00DB6FBF">
            <w:pPr>
              <w:spacing w:line="360" w:lineRule="auto"/>
              <w:ind w:left="17"/>
              <w:jc w:val="left"/>
              <w:rPr>
                <w:rFonts w:eastAsiaTheme="minorEastAsia"/>
                <w:color w:val="000000" w:themeColor="text1"/>
              </w:rPr>
            </w:pPr>
            <w:r w:rsidRPr="003C5007">
              <w:rPr>
                <w:rFonts w:eastAsiaTheme="minorEastAsia"/>
                <w:color w:val="000000" w:themeColor="text1"/>
              </w:rPr>
              <w:t>合计</w:t>
            </w:r>
          </w:p>
        </w:tc>
        <w:tc>
          <w:tcPr>
            <w:tcW w:w="2835"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180,958,000.00</w:t>
            </w:r>
          </w:p>
        </w:tc>
        <w:tc>
          <w:tcPr>
            <w:tcW w:w="1616" w:type="dxa"/>
            <w:vAlign w:val="center"/>
          </w:tcPr>
          <w:p w:rsidR="000B266F" w:rsidRPr="003C5007" w:rsidRDefault="000B266F" w:rsidP="00DB6FBF">
            <w:pPr>
              <w:spacing w:line="360" w:lineRule="auto"/>
              <w:ind w:left="17"/>
              <w:jc w:val="right"/>
              <w:rPr>
                <w:rFonts w:eastAsiaTheme="minorEastAsia"/>
                <w:color w:val="000000" w:themeColor="text1"/>
              </w:rPr>
            </w:pPr>
            <w:r w:rsidRPr="003C5007">
              <w:rPr>
                <w:rFonts w:eastAsiaTheme="minorEastAsia"/>
                <w:color w:val="000000" w:themeColor="text1"/>
              </w:rPr>
              <w:t>93.78</w:t>
            </w:r>
          </w:p>
        </w:tc>
      </w:tr>
    </w:tbl>
    <w:bookmarkEnd w:id="4"/>
    <w:bookmarkEnd w:id="5"/>
    <w:p w:rsidR="00937387" w:rsidRPr="00514C11" w:rsidRDefault="00937387" w:rsidP="00DB1533">
      <w:pPr>
        <w:autoSpaceDE w:val="0"/>
        <w:autoSpaceDN w:val="0"/>
        <w:adjustRightInd w:val="0"/>
        <w:spacing w:line="360" w:lineRule="auto"/>
        <w:jc w:val="left"/>
        <w:rPr>
          <w:rFonts w:eastAsiaTheme="minorEastAsia"/>
          <w:b/>
          <w:bCs/>
          <w:color w:val="000000" w:themeColor="text1"/>
          <w:kern w:val="0"/>
        </w:rPr>
      </w:pPr>
      <w:r w:rsidRPr="00514C11">
        <w:rPr>
          <w:b/>
          <w:color w:val="000000"/>
          <w:kern w:val="0"/>
        </w:rPr>
        <w:t xml:space="preserve">5.2.5 </w:t>
      </w:r>
      <w:r w:rsidRPr="00514C11">
        <w:rPr>
          <w:b/>
          <w:color w:val="000000"/>
          <w:kern w:val="0"/>
        </w:rPr>
        <w:t>报告期末按公允价值占基金资产净值比例大小排序的前五名债券投资明</w:t>
      </w:r>
      <w:r w:rsidRPr="00514C11">
        <w:rPr>
          <w:rFonts w:eastAsiaTheme="minorEastAsia"/>
          <w:b/>
          <w:bCs/>
          <w:color w:val="000000" w:themeColor="text1"/>
          <w:kern w:val="0"/>
        </w:rPr>
        <w:t>细</w:t>
      </w:r>
    </w:p>
    <w:tbl>
      <w:tblPr>
        <w:tblStyle w:val="af7"/>
        <w:tblW w:w="0" w:type="auto"/>
        <w:tblLayout w:type="fixed"/>
        <w:tblLook w:val="04A0" w:firstRow="1" w:lastRow="0" w:firstColumn="1" w:lastColumn="0" w:noHBand="0" w:noVBand="1"/>
      </w:tblPr>
      <w:tblGrid>
        <w:gridCol w:w="817"/>
        <w:gridCol w:w="1276"/>
        <w:gridCol w:w="1559"/>
        <w:gridCol w:w="1418"/>
        <w:gridCol w:w="2268"/>
        <w:gridCol w:w="1190"/>
      </w:tblGrid>
      <w:tr w:rsidR="00937387" w:rsidRPr="00514C11" w:rsidTr="00C66C44">
        <w:tc>
          <w:tcPr>
            <w:tcW w:w="817"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1276"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债券代码</w:t>
            </w:r>
          </w:p>
        </w:tc>
        <w:tc>
          <w:tcPr>
            <w:tcW w:w="1559"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债券名称</w:t>
            </w:r>
          </w:p>
        </w:tc>
        <w:tc>
          <w:tcPr>
            <w:tcW w:w="1418"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数量</w:t>
            </w:r>
            <w:r w:rsidRPr="00514C11">
              <w:rPr>
                <w:color w:val="000000"/>
                <w:sz w:val="21"/>
              </w:rPr>
              <w:t>(</w:t>
            </w:r>
            <w:r w:rsidRPr="00514C11">
              <w:rPr>
                <w:color w:val="000000"/>
                <w:sz w:val="21"/>
              </w:rPr>
              <w:t>张</w:t>
            </w:r>
            <w:r w:rsidRPr="00514C11">
              <w:rPr>
                <w:color w:val="000000"/>
                <w:sz w:val="21"/>
              </w:rPr>
              <w:t>)</w:t>
            </w:r>
          </w:p>
        </w:tc>
        <w:tc>
          <w:tcPr>
            <w:tcW w:w="2268"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公允价值</w:t>
            </w:r>
            <w:r w:rsidRPr="00514C11">
              <w:rPr>
                <w:color w:val="000000"/>
                <w:sz w:val="21"/>
              </w:rPr>
              <w:t>(</w:t>
            </w:r>
            <w:r w:rsidRPr="00514C11">
              <w:rPr>
                <w:color w:val="000000"/>
                <w:sz w:val="21"/>
              </w:rPr>
              <w:t>元</w:t>
            </w:r>
            <w:r w:rsidRPr="00514C11">
              <w:rPr>
                <w:color w:val="000000"/>
                <w:sz w:val="21"/>
              </w:rPr>
              <w:t>)</w:t>
            </w:r>
          </w:p>
        </w:tc>
        <w:tc>
          <w:tcPr>
            <w:tcW w:w="119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占基金资产净值比例</w:t>
            </w:r>
            <w:r w:rsidRPr="00514C11">
              <w:rPr>
                <w:color w:val="000000"/>
                <w:sz w:val="21"/>
              </w:rPr>
              <w:t>(</w:t>
            </w:r>
            <w:r w:rsidRPr="00514C11">
              <w:rPr>
                <w:color w:val="000000"/>
                <w:sz w:val="21"/>
              </w:rPr>
              <w:t>％</w:t>
            </w:r>
            <w:r w:rsidRPr="00514C11">
              <w:rPr>
                <w:color w:val="000000"/>
                <w:sz w:val="21"/>
              </w:rPr>
              <w:t>)</w:t>
            </w:r>
          </w:p>
        </w:tc>
      </w:tr>
      <w:tr w:rsidR="00077707">
        <w:tc>
          <w:tcPr>
            <w:tcW w:w="817" w:type="dxa"/>
            <w:vAlign w:val="center"/>
          </w:tcPr>
          <w:p w:rsidR="00077707" w:rsidRDefault="00852D50">
            <w:pPr>
              <w:jc w:val="center"/>
            </w:pPr>
            <w:r>
              <w:rPr>
                <w:color w:val="000000"/>
                <w:sz w:val="21"/>
              </w:rPr>
              <w:t>1</w:t>
            </w:r>
          </w:p>
        </w:tc>
        <w:tc>
          <w:tcPr>
            <w:tcW w:w="1276" w:type="dxa"/>
            <w:vAlign w:val="center"/>
          </w:tcPr>
          <w:p w:rsidR="00077707" w:rsidRDefault="00852D50">
            <w:pPr>
              <w:jc w:val="center"/>
            </w:pPr>
            <w:r>
              <w:rPr>
                <w:color w:val="000000"/>
                <w:sz w:val="21"/>
              </w:rPr>
              <w:t>101551051</w:t>
            </w:r>
          </w:p>
        </w:tc>
        <w:tc>
          <w:tcPr>
            <w:tcW w:w="1559" w:type="dxa"/>
            <w:vAlign w:val="center"/>
          </w:tcPr>
          <w:p w:rsidR="00077707" w:rsidRDefault="00852D50">
            <w:pPr>
              <w:jc w:val="center"/>
            </w:pPr>
            <w:r>
              <w:rPr>
                <w:color w:val="000000"/>
                <w:sz w:val="21"/>
              </w:rPr>
              <w:t>15</w:t>
            </w:r>
            <w:r>
              <w:rPr>
                <w:color w:val="000000"/>
                <w:sz w:val="21"/>
              </w:rPr>
              <w:t>中航控</w:t>
            </w:r>
            <w:r>
              <w:rPr>
                <w:color w:val="000000"/>
                <w:sz w:val="21"/>
              </w:rPr>
              <w:t>MTN001</w:t>
            </w:r>
          </w:p>
        </w:tc>
        <w:tc>
          <w:tcPr>
            <w:tcW w:w="1418" w:type="dxa"/>
            <w:vAlign w:val="center"/>
          </w:tcPr>
          <w:p w:rsidR="00077707" w:rsidRDefault="00852D50">
            <w:pPr>
              <w:jc w:val="right"/>
            </w:pPr>
            <w:r>
              <w:rPr>
                <w:color w:val="000000"/>
                <w:sz w:val="21"/>
              </w:rPr>
              <w:t>400,000</w:t>
            </w:r>
          </w:p>
        </w:tc>
        <w:tc>
          <w:tcPr>
            <w:tcW w:w="2268" w:type="dxa"/>
            <w:vAlign w:val="center"/>
          </w:tcPr>
          <w:p w:rsidR="00077707" w:rsidRDefault="00852D50">
            <w:pPr>
              <w:jc w:val="right"/>
            </w:pPr>
            <w:r>
              <w:rPr>
                <w:color w:val="000000"/>
                <w:sz w:val="21"/>
              </w:rPr>
              <w:t>40,272,000.00</w:t>
            </w:r>
          </w:p>
        </w:tc>
        <w:tc>
          <w:tcPr>
            <w:tcW w:w="1190" w:type="dxa"/>
            <w:vAlign w:val="center"/>
          </w:tcPr>
          <w:p w:rsidR="00077707" w:rsidRDefault="00852D50">
            <w:pPr>
              <w:jc w:val="right"/>
            </w:pPr>
            <w:r>
              <w:rPr>
                <w:color w:val="000000"/>
                <w:sz w:val="21"/>
              </w:rPr>
              <w:t>20.87</w:t>
            </w:r>
          </w:p>
        </w:tc>
      </w:tr>
      <w:tr w:rsidR="00077707">
        <w:tc>
          <w:tcPr>
            <w:tcW w:w="817" w:type="dxa"/>
            <w:vAlign w:val="center"/>
          </w:tcPr>
          <w:p w:rsidR="00077707" w:rsidRDefault="00852D50">
            <w:pPr>
              <w:jc w:val="center"/>
            </w:pPr>
            <w:r>
              <w:rPr>
                <w:color w:val="000000"/>
                <w:sz w:val="21"/>
              </w:rPr>
              <w:t>2</w:t>
            </w:r>
          </w:p>
        </w:tc>
        <w:tc>
          <w:tcPr>
            <w:tcW w:w="1276" w:type="dxa"/>
            <w:vAlign w:val="center"/>
          </w:tcPr>
          <w:p w:rsidR="00077707" w:rsidRDefault="00852D50">
            <w:pPr>
              <w:jc w:val="center"/>
            </w:pPr>
            <w:r>
              <w:rPr>
                <w:color w:val="000000"/>
                <w:sz w:val="21"/>
              </w:rPr>
              <w:t>101356002</w:t>
            </w:r>
          </w:p>
        </w:tc>
        <w:tc>
          <w:tcPr>
            <w:tcW w:w="1559" w:type="dxa"/>
            <w:vAlign w:val="center"/>
          </w:tcPr>
          <w:p w:rsidR="00077707" w:rsidRDefault="00852D50">
            <w:pPr>
              <w:jc w:val="center"/>
            </w:pPr>
            <w:r>
              <w:rPr>
                <w:color w:val="000000"/>
                <w:sz w:val="21"/>
              </w:rPr>
              <w:t>13</w:t>
            </w:r>
            <w:r>
              <w:rPr>
                <w:color w:val="000000"/>
                <w:sz w:val="21"/>
              </w:rPr>
              <w:t>渝富</w:t>
            </w:r>
            <w:r>
              <w:rPr>
                <w:color w:val="000000"/>
                <w:sz w:val="21"/>
              </w:rPr>
              <w:t>MTN001</w:t>
            </w:r>
          </w:p>
        </w:tc>
        <w:tc>
          <w:tcPr>
            <w:tcW w:w="1418" w:type="dxa"/>
            <w:vAlign w:val="center"/>
          </w:tcPr>
          <w:p w:rsidR="00077707" w:rsidRDefault="00852D50">
            <w:pPr>
              <w:jc w:val="right"/>
            </w:pPr>
            <w:r>
              <w:rPr>
                <w:color w:val="000000"/>
                <w:sz w:val="21"/>
              </w:rPr>
              <w:t>200,000</w:t>
            </w:r>
          </w:p>
        </w:tc>
        <w:tc>
          <w:tcPr>
            <w:tcW w:w="2268" w:type="dxa"/>
            <w:vAlign w:val="center"/>
          </w:tcPr>
          <w:p w:rsidR="00077707" w:rsidRDefault="00852D50">
            <w:pPr>
              <w:jc w:val="right"/>
            </w:pPr>
            <w:r>
              <w:rPr>
                <w:color w:val="000000"/>
                <w:sz w:val="21"/>
              </w:rPr>
              <w:t>20,216,000.00</w:t>
            </w:r>
          </w:p>
        </w:tc>
        <w:tc>
          <w:tcPr>
            <w:tcW w:w="1190" w:type="dxa"/>
            <w:vAlign w:val="center"/>
          </w:tcPr>
          <w:p w:rsidR="00077707" w:rsidRDefault="00852D50">
            <w:pPr>
              <w:jc w:val="right"/>
            </w:pPr>
            <w:r>
              <w:rPr>
                <w:color w:val="000000"/>
                <w:sz w:val="21"/>
              </w:rPr>
              <w:t>10.48</w:t>
            </w:r>
          </w:p>
        </w:tc>
      </w:tr>
      <w:tr w:rsidR="00077707">
        <w:tc>
          <w:tcPr>
            <w:tcW w:w="817" w:type="dxa"/>
            <w:vAlign w:val="center"/>
          </w:tcPr>
          <w:p w:rsidR="00077707" w:rsidRDefault="00852D50">
            <w:pPr>
              <w:jc w:val="center"/>
            </w:pPr>
            <w:r>
              <w:rPr>
                <w:color w:val="000000"/>
                <w:sz w:val="21"/>
              </w:rPr>
              <w:t>3</w:t>
            </w:r>
          </w:p>
        </w:tc>
        <w:tc>
          <w:tcPr>
            <w:tcW w:w="1276" w:type="dxa"/>
            <w:vAlign w:val="center"/>
          </w:tcPr>
          <w:p w:rsidR="00077707" w:rsidRDefault="00852D50">
            <w:pPr>
              <w:jc w:val="center"/>
            </w:pPr>
            <w:r>
              <w:rPr>
                <w:color w:val="000000"/>
                <w:sz w:val="21"/>
              </w:rPr>
              <w:t>1382301</w:t>
            </w:r>
          </w:p>
        </w:tc>
        <w:tc>
          <w:tcPr>
            <w:tcW w:w="1559" w:type="dxa"/>
            <w:vAlign w:val="center"/>
          </w:tcPr>
          <w:p w:rsidR="00077707" w:rsidRDefault="00852D50">
            <w:pPr>
              <w:jc w:val="center"/>
            </w:pPr>
            <w:r>
              <w:rPr>
                <w:color w:val="000000"/>
                <w:sz w:val="21"/>
              </w:rPr>
              <w:t>13</w:t>
            </w:r>
            <w:r>
              <w:rPr>
                <w:color w:val="000000"/>
                <w:sz w:val="21"/>
              </w:rPr>
              <w:t>洪市政</w:t>
            </w:r>
            <w:r>
              <w:rPr>
                <w:color w:val="000000"/>
                <w:sz w:val="21"/>
              </w:rPr>
              <w:t>MTN1</w:t>
            </w:r>
          </w:p>
        </w:tc>
        <w:tc>
          <w:tcPr>
            <w:tcW w:w="1418" w:type="dxa"/>
            <w:vAlign w:val="center"/>
          </w:tcPr>
          <w:p w:rsidR="00077707" w:rsidRDefault="00852D50">
            <w:pPr>
              <w:jc w:val="right"/>
            </w:pPr>
            <w:r>
              <w:rPr>
                <w:color w:val="000000"/>
                <w:sz w:val="21"/>
              </w:rPr>
              <w:t>200,000</w:t>
            </w:r>
          </w:p>
        </w:tc>
        <w:tc>
          <w:tcPr>
            <w:tcW w:w="2268" w:type="dxa"/>
            <w:vAlign w:val="center"/>
          </w:tcPr>
          <w:p w:rsidR="00077707" w:rsidRDefault="00852D50">
            <w:pPr>
              <w:jc w:val="right"/>
            </w:pPr>
            <w:r>
              <w:rPr>
                <w:color w:val="000000"/>
                <w:sz w:val="21"/>
              </w:rPr>
              <w:t>20,206,000.00</w:t>
            </w:r>
          </w:p>
        </w:tc>
        <w:tc>
          <w:tcPr>
            <w:tcW w:w="1190" w:type="dxa"/>
            <w:vAlign w:val="center"/>
          </w:tcPr>
          <w:p w:rsidR="00077707" w:rsidRDefault="00852D50">
            <w:pPr>
              <w:jc w:val="right"/>
            </w:pPr>
            <w:r>
              <w:rPr>
                <w:color w:val="000000"/>
                <w:sz w:val="21"/>
              </w:rPr>
              <w:t>10.47</w:t>
            </w:r>
          </w:p>
        </w:tc>
      </w:tr>
      <w:tr w:rsidR="00077707">
        <w:tc>
          <w:tcPr>
            <w:tcW w:w="817" w:type="dxa"/>
            <w:vAlign w:val="center"/>
          </w:tcPr>
          <w:p w:rsidR="00077707" w:rsidRDefault="00852D50">
            <w:pPr>
              <w:jc w:val="center"/>
            </w:pPr>
            <w:r>
              <w:rPr>
                <w:color w:val="000000"/>
                <w:sz w:val="21"/>
              </w:rPr>
              <w:t>4</w:t>
            </w:r>
          </w:p>
        </w:tc>
        <w:tc>
          <w:tcPr>
            <w:tcW w:w="1276" w:type="dxa"/>
            <w:vAlign w:val="center"/>
          </w:tcPr>
          <w:p w:rsidR="00077707" w:rsidRDefault="00852D50">
            <w:pPr>
              <w:jc w:val="center"/>
            </w:pPr>
            <w:r>
              <w:rPr>
                <w:color w:val="000000"/>
                <w:sz w:val="21"/>
              </w:rPr>
              <w:t>101555012</w:t>
            </w:r>
          </w:p>
        </w:tc>
        <w:tc>
          <w:tcPr>
            <w:tcW w:w="1559" w:type="dxa"/>
            <w:vAlign w:val="center"/>
          </w:tcPr>
          <w:p w:rsidR="00077707" w:rsidRDefault="00852D50">
            <w:pPr>
              <w:jc w:val="center"/>
            </w:pPr>
            <w:r>
              <w:rPr>
                <w:color w:val="000000"/>
                <w:sz w:val="21"/>
              </w:rPr>
              <w:t>15</w:t>
            </w:r>
            <w:r>
              <w:rPr>
                <w:color w:val="000000"/>
                <w:sz w:val="21"/>
              </w:rPr>
              <w:t>杭实投</w:t>
            </w:r>
            <w:r>
              <w:rPr>
                <w:color w:val="000000"/>
                <w:sz w:val="21"/>
              </w:rPr>
              <w:t>MTN001</w:t>
            </w:r>
          </w:p>
        </w:tc>
        <w:tc>
          <w:tcPr>
            <w:tcW w:w="1418" w:type="dxa"/>
            <w:vAlign w:val="center"/>
          </w:tcPr>
          <w:p w:rsidR="00077707" w:rsidRDefault="00852D50">
            <w:pPr>
              <w:jc w:val="right"/>
            </w:pPr>
            <w:r>
              <w:rPr>
                <w:color w:val="000000"/>
                <w:sz w:val="21"/>
              </w:rPr>
              <w:t>200,000</w:t>
            </w:r>
          </w:p>
        </w:tc>
        <w:tc>
          <w:tcPr>
            <w:tcW w:w="2268" w:type="dxa"/>
            <w:vAlign w:val="center"/>
          </w:tcPr>
          <w:p w:rsidR="00077707" w:rsidRDefault="00852D50">
            <w:pPr>
              <w:jc w:val="right"/>
            </w:pPr>
            <w:r>
              <w:rPr>
                <w:color w:val="000000"/>
                <w:sz w:val="21"/>
              </w:rPr>
              <w:t>20,148,000.00</w:t>
            </w:r>
          </w:p>
        </w:tc>
        <w:tc>
          <w:tcPr>
            <w:tcW w:w="1190" w:type="dxa"/>
            <w:vAlign w:val="center"/>
          </w:tcPr>
          <w:p w:rsidR="00077707" w:rsidRDefault="00852D50">
            <w:pPr>
              <w:jc w:val="right"/>
            </w:pPr>
            <w:r>
              <w:rPr>
                <w:color w:val="000000"/>
                <w:sz w:val="21"/>
              </w:rPr>
              <w:t>10.44</w:t>
            </w:r>
          </w:p>
        </w:tc>
      </w:tr>
      <w:tr w:rsidR="00077707">
        <w:tc>
          <w:tcPr>
            <w:tcW w:w="817" w:type="dxa"/>
            <w:vAlign w:val="center"/>
          </w:tcPr>
          <w:p w:rsidR="00077707" w:rsidRDefault="00852D50">
            <w:pPr>
              <w:jc w:val="center"/>
            </w:pPr>
            <w:r>
              <w:rPr>
                <w:color w:val="000000"/>
                <w:sz w:val="21"/>
              </w:rPr>
              <w:t>5</w:t>
            </w:r>
          </w:p>
        </w:tc>
        <w:tc>
          <w:tcPr>
            <w:tcW w:w="1276" w:type="dxa"/>
            <w:vAlign w:val="center"/>
          </w:tcPr>
          <w:p w:rsidR="00077707" w:rsidRDefault="00852D50">
            <w:pPr>
              <w:jc w:val="center"/>
            </w:pPr>
            <w:r>
              <w:rPr>
                <w:color w:val="000000"/>
                <w:sz w:val="21"/>
              </w:rPr>
              <w:t>101561015</w:t>
            </w:r>
          </w:p>
        </w:tc>
        <w:tc>
          <w:tcPr>
            <w:tcW w:w="1559" w:type="dxa"/>
            <w:vAlign w:val="center"/>
          </w:tcPr>
          <w:p w:rsidR="00077707" w:rsidRDefault="00852D50">
            <w:pPr>
              <w:jc w:val="center"/>
            </w:pPr>
            <w:r>
              <w:rPr>
                <w:color w:val="000000"/>
                <w:sz w:val="21"/>
              </w:rPr>
              <w:t>15</w:t>
            </w:r>
            <w:r>
              <w:rPr>
                <w:color w:val="000000"/>
                <w:sz w:val="21"/>
              </w:rPr>
              <w:t>京技投</w:t>
            </w:r>
            <w:r>
              <w:rPr>
                <w:color w:val="000000"/>
                <w:sz w:val="21"/>
              </w:rPr>
              <w:t>MTN001</w:t>
            </w:r>
          </w:p>
        </w:tc>
        <w:tc>
          <w:tcPr>
            <w:tcW w:w="1418" w:type="dxa"/>
            <w:vAlign w:val="center"/>
          </w:tcPr>
          <w:p w:rsidR="00077707" w:rsidRDefault="00852D50">
            <w:pPr>
              <w:jc w:val="right"/>
            </w:pPr>
            <w:r>
              <w:rPr>
                <w:color w:val="000000"/>
                <w:sz w:val="21"/>
              </w:rPr>
              <w:t>200,000</w:t>
            </w:r>
          </w:p>
        </w:tc>
        <w:tc>
          <w:tcPr>
            <w:tcW w:w="2268" w:type="dxa"/>
            <w:vAlign w:val="center"/>
          </w:tcPr>
          <w:p w:rsidR="00077707" w:rsidRDefault="00852D50">
            <w:pPr>
              <w:jc w:val="right"/>
            </w:pPr>
            <w:r>
              <w:rPr>
                <w:color w:val="000000"/>
                <w:sz w:val="21"/>
              </w:rPr>
              <w:t>20,126,000.00</w:t>
            </w:r>
          </w:p>
        </w:tc>
        <w:tc>
          <w:tcPr>
            <w:tcW w:w="1190" w:type="dxa"/>
            <w:vAlign w:val="center"/>
          </w:tcPr>
          <w:p w:rsidR="00077707" w:rsidRDefault="00852D50">
            <w:pPr>
              <w:jc w:val="right"/>
            </w:pPr>
            <w:r>
              <w:rPr>
                <w:color w:val="000000"/>
                <w:sz w:val="21"/>
              </w:rPr>
              <w:t>10.43</w:t>
            </w:r>
          </w:p>
        </w:tc>
      </w:tr>
    </w:tbl>
    <w:p w:rsidR="00937387" w:rsidRPr="00514C11" w:rsidRDefault="00937387" w:rsidP="00DB1533">
      <w:pPr>
        <w:autoSpaceDE w:val="0"/>
        <w:autoSpaceDN w:val="0"/>
        <w:adjustRightInd w:val="0"/>
        <w:spacing w:line="360" w:lineRule="auto"/>
        <w:jc w:val="left"/>
        <w:rPr>
          <w:rFonts w:eastAsiaTheme="minorEastAsia"/>
          <w:b/>
          <w:bCs/>
          <w:color w:val="000000" w:themeColor="text1"/>
          <w:kern w:val="0"/>
        </w:rPr>
      </w:pPr>
      <w:r w:rsidRPr="00514C11">
        <w:rPr>
          <w:b/>
          <w:color w:val="000000"/>
          <w:kern w:val="0"/>
        </w:rPr>
        <w:t xml:space="preserve">5.2.6 </w:t>
      </w:r>
      <w:r w:rsidRPr="00514C11">
        <w:rPr>
          <w:b/>
          <w:color w:val="000000"/>
          <w:kern w:val="0"/>
        </w:rPr>
        <w:t>报告期末按公允价值占基金资产净值比例大小排序的前十名资产支持证</w:t>
      </w:r>
      <w:r w:rsidRPr="00514C11">
        <w:rPr>
          <w:rFonts w:eastAsiaTheme="minorEastAsia"/>
          <w:b/>
          <w:bCs/>
          <w:color w:val="000000" w:themeColor="text1"/>
          <w:kern w:val="0"/>
        </w:rPr>
        <w:t>券投资明细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本基金本报告期末未持有资产支持证券。</w:t>
      </w:r>
    </w:p>
    <w:p w:rsidR="00937387" w:rsidRPr="00904E7C" w:rsidRDefault="00904E7C" w:rsidP="00DB1533">
      <w:pPr>
        <w:autoSpaceDE w:val="0"/>
        <w:autoSpaceDN w:val="0"/>
        <w:adjustRightInd w:val="0"/>
        <w:spacing w:line="360" w:lineRule="auto"/>
        <w:jc w:val="left"/>
        <w:rPr>
          <w:rFonts w:eastAsiaTheme="minorEastAsia"/>
          <w:b/>
          <w:bCs/>
          <w:color w:val="000000" w:themeColor="text1"/>
          <w:kern w:val="0"/>
        </w:rPr>
      </w:pPr>
      <w:r w:rsidRPr="00904E7C">
        <w:rPr>
          <w:rFonts w:eastAsiaTheme="minorEastAsia"/>
          <w:b/>
          <w:bCs/>
          <w:color w:val="000000" w:themeColor="text1"/>
          <w:kern w:val="0"/>
        </w:rPr>
        <w:t>5.</w:t>
      </w:r>
      <w:r w:rsidRPr="00904E7C">
        <w:rPr>
          <w:rFonts w:eastAsiaTheme="minorEastAsia" w:hint="eastAsia"/>
          <w:b/>
          <w:bCs/>
          <w:color w:val="000000" w:themeColor="text1"/>
          <w:kern w:val="0"/>
        </w:rPr>
        <w:t>2.</w:t>
      </w:r>
      <w:r w:rsidRPr="00904E7C">
        <w:rPr>
          <w:rFonts w:eastAsiaTheme="minorEastAsia"/>
          <w:b/>
          <w:bCs/>
          <w:color w:val="000000" w:themeColor="text1"/>
          <w:kern w:val="0"/>
        </w:rPr>
        <w:t>7</w:t>
      </w:r>
      <w:r w:rsidR="00937387" w:rsidRPr="00904E7C">
        <w:rPr>
          <w:b/>
          <w:color w:val="000000"/>
          <w:kern w:val="0"/>
        </w:rPr>
        <w:t xml:space="preserve"> </w:t>
      </w:r>
      <w:r w:rsidR="00937387" w:rsidRPr="00904E7C">
        <w:rPr>
          <w:b/>
          <w:color w:val="000000"/>
          <w:kern w:val="0"/>
        </w:rPr>
        <w:t>报告期末按公允价值占基金资产净值比例大小排序的前五名贵金属投资</w:t>
      </w:r>
      <w:r w:rsidR="00937387" w:rsidRPr="00904E7C">
        <w:rPr>
          <w:rFonts w:eastAsiaTheme="minorEastAsia"/>
          <w:b/>
          <w:bCs/>
          <w:color w:val="000000" w:themeColor="text1"/>
          <w:kern w:val="0"/>
        </w:rPr>
        <w:t>明细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本基金本报告期末未持有贵金属。</w:t>
      </w:r>
    </w:p>
    <w:p w:rsidR="00937387" w:rsidRPr="00514C11" w:rsidRDefault="00D0083B" w:rsidP="00DB1533">
      <w:pPr>
        <w:autoSpaceDE w:val="0"/>
        <w:autoSpaceDN w:val="0"/>
        <w:adjustRightInd w:val="0"/>
        <w:spacing w:line="360" w:lineRule="auto"/>
        <w:jc w:val="left"/>
        <w:rPr>
          <w:rFonts w:eastAsiaTheme="minorEastAsia"/>
          <w:b/>
          <w:bCs/>
          <w:color w:val="000000" w:themeColor="text1"/>
          <w:kern w:val="0"/>
        </w:rPr>
      </w:pPr>
      <w:r>
        <w:rPr>
          <w:rFonts w:eastAsiaTheme="minorEastAsia"/>
          <w:b/>
          <w:color w:val="000000" w:themeColor="text1"/>
          <w:kern w:val="0"/>
        </w:rPr>
        <w:t>5.</w:t>
      </w:r>
      <w:r w:rsidR="00904E7C" w:rsidRPr="00904E7C">
        <w:rPr>
          <w:rFonts w:eastAsiaTheme="minorEastAsia"/>
          <w:b/>
          <w:color w:val="000000" w:themeColor="text1"/>
          <w:kern w:val="0"/>
        </w:rPr>
        <w:t>2</w:t>
      </w:r>
      <w:r w:rsidR="00904E7C" w:rsidRPr="00904E7C">
        <w:rPr>
          <w:rFonts w:eastAsiaTheme="minorEastAsia" w:hint="eastAsia"/>
          <w:b/>
          <w:color w:val="000000" w:themeColor="text1"/>
          <w:kern w:val="0"/>
        </w:rPr>
        <w:t xml:space="preserve">.8 </w:t>
      </w:r>
      <w:r w:rsidR="00937387" w:rsidRPr="00514C11">
        <w:rPr>
          <w:b/>
          <w:color w:val="000000"/>
          <w:kern w:val="0"/>
        </w:rPr>
        <w:t>报告期末按公允价值占基金资产净值比例大小排序的前五名权证投资明</w:t>
      </w:r>
      <w:r w:rsidR="00937387" w:rsidRPr="00514C11">
        <w:rPr>
          <w:rFonts w:eastAsiaTheme="minorEastAsia"/>
          <w:b/>
          <w:bCs/>
          <w:color w:val="000000" w:themeColor="text1"/>
          <w:kern w:val="0"/>
        </w:rPr>
        <w:t>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本基金本报告期末未持有权证。</w:t>
      </w:r>
    </w:p>
    <w:p w:rsidR="00937387" w:rsidRPr="00904E7C" w:rsidRDefault="00CB4EDD"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rPr>
        <w:t>5.</w:t>
      </w:r>
      <w:r w:rsidR="00904E7C" w:rsidRPr="00904E7C">
        <w:rPr>
          <w:rFonts w:eastAsiaTheme="minorEastAsia"/>
          <w:b/>
          <w:color w:val="000000" w:themeColor="text1"/>
          <w:kern w:val="0"/>
        </w:rPr>
        <w:t>2</w:t>
      </w:r>
      <w:r w:rsidR="00904E7C" w:rsidRPr="00904E7C">
        <w:rPr>
          <w:rFonts w:eastAsiaTheme="minorEastAsia" w:hint="eastAsia"/>
          <w:b/>
          <w:color w:val="000000" w:themeColor="text1"/>
          <w:kern w:val="0"/>
        </w:rPr>
        <w:t>.9</w:t>
      </w:r>
      <w:r w:rsidR="00937387" w:rsidRPr="00904E7C">
        <w:rPr>
          <w:b/>
          <w:color w:val="000000"/>
          <w:kern w:val="0"/>
        </w:rPr>
        <w:t xml:space="preserve"> </w:t>
      </w:r>
      <w:r w:rsidR="00937387" w:rsidRPr="00904E7C">
        <w:rPr>
          <w:b/>
          <w:color w:val="000000"/>
          <w:kern w:val="0"/>
        </w:rPr>
        <w:t>报告期末本基金投资的股指期货交易情况说明</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本基金本报告期末未持有股指期货。</w:t>
      </w:r>
    </w:p>
    <w:p w:rsidR="00937387" w:rsidRPr="00904E7C" w:rsidRDefault="00CB4EDD"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rPr>
        <w:t>5.</w:t>
      </w:r>
      <w:r w:rsidR="00904E7C" w:rsidRPr="00904E7C">
        <w:rPr>
          <w:rFonts w:eastAsiaTheme="minorEastAsia"/>
          <w:b/>
          <w:color w:val="000000" w:themeColor="text1"/>
          <w:kern w:val="0"/>
        </w:rPr>
        <w:t>2</w:t>
      </w:r>
      <w:r w:rsidR="00904E7C" w:rsidRPr="00904E7C">
        <w:rPr>
          <w:rFonts w:eastAsiaTheme="minorEastAsia" w:hint="eastAsia"/>
          <w:b/>
          <w:color w:val="000000" w:themeColor="text1"/>
          <w:kern w:val="0"/>
        </w:rPr>
        <w:t>.10</w:t>
      </w:r>
      <w:r w:rsidR="00BC4780" w:rsidRPr="00904E7C">
        <w:rPr>
          <w:rFonts w:hint="eastAsia"/>
          <w:b/>
          <w:color w:val="000000"/>
          <w:kern w:val="0"/>
        </w:rPr>
        <w:t xml:space="preserve"> </w:t>
      </w:r>
      <w:r w:rsidR="00937387" w:rsidRPr="00904E7C">
        <w:rPr>
          <w:b/>
          <w:color w:val="000000"/>
          <w:kern w:val="0"/>
        </w:rPr>
        <w:t>报告期末本基金投资的国债期货交易情况说明</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本基金本报告期末未持有国债期货。</w:t>
      </w:r>
    </w:p>
    <w:p w:rsidR="00937387" w:rsidRPr="00904E7C" w:rsidRDefault="00CB4EDD"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rPr>
        <w:t>5.</w:t>
      </w:r>
      <w:r w:rsidR="00904E7C" w:rsidRPr="00904E7C">
        <w:rPr>
          <w:rFonts w:eastAsiaTheme="minorEastAsia"/>
          <w:b/>
          <w:color w:val="000000" w:themeColor="text1"/>
          <w:kern w:val="0"/>
        </w:rPr>
        <w:t>2</w:t>
      </w:r>
      <w:r w:rsidR="00904E7C" w:rsidRPr="00904E7C">
        <w:rPr>
          <w:rFonts w:eastAsiaTheme="minorEastAsia" w:hint="eastAsia"/>
          <w:b/>
          <w:color w:val="000000" w:themeColor="text1"/>
          <w:kern w:val="0"/>
        </w:rPr>
        <w:t>.11</w:t>
      </w:r>
      <w:r w:rsidR="00937387" w:rsidRPr="00904E7C">
        <w:rPr>
          <w:b/>
          <w:color w:val="000000"/>
          <w:kern w:val="0"/>
        </w:rPr>
        <w:t xml:space="preserve"> </w:t>
      </w:r>
      <w:r w:rsidR="00937387" w:rsidRPr="00904E7C">
        <w:rPr>
          <w:b/>
          <w:color w:val="000000"/>
          <w:kern w:val="0"/>
        </w:rPr>
        <w:t>投资组合报告附注</w:t>
      </w:r>
    </w:p>
    <w:p w:rsidR="00937387" w:rsidRPr="00904E7C" w:rsidRDefault="00904E7C" w:rsidP="00DB1533">
      <w:pPr>
        <w:autoSpaceDE w:val="0"/>
        <w:autoSpaceDN w:val="0"/>
        <w:adjustRightInd w:val="0"/>
        <w:spacing w:before="29" w:line="360" w:lineRule="auto"/>
        <w:ind w:left="15"/>
        <w:jc w:val="left"/>
        <w:rPr>
          <w:color w:val="000000"/>
          <w:kern w:val="0"/>
        </w:rPr>
      </w:pPr>
      <w:r w:rsidRPr="00904E7C">
        <w:rPr>
          <w:rFonts w:eastAsiaTheme="minorEastAsia"/>
          <w:color w:val="000000" w:themeColor="text1"/>
        </w:rPr>
        <w:t>5.2.11</w:t>
      </w:r>
      <w:r w:rsidRPr="00904E7C">
        <w:rPr>
          <w:rFonts w:eastAsiaTheme="minorEastAsia" w:hint="eastAsia"/>
          <w:color w:val="000000" w:themeColor="text1"/>
        </w:rPr>
        <w:t xml:space="preserve">.1 </w:t>
      </w:r>
      <w:r w:rsidR="00937387" w:rsidRPr="00904E7C">
        <w:rPr>
          <w:color w:val="000000"/>
          <w:kern w:val="0"/>
        </w:rPr>
        <w:t>报告期内本基金投资的前十名证券的发行主体未被监管部门立案调查，在本报告编制日前一年内本基金投资的前十名证券的发行主体未受到公开谴责和处罚。</w:t>
      </w:r>
    </w:p>
    <w:p w:rsidR="00937387" w:rsidRPr="00904E7C" w:rsidRDefault="00904E7C" w:rsidP="00DB1533">
      <w:pPr>
        <w:autoSpaceDE w:val="0"/>
        <w:autoSpaceDN w:val="0"/>
        <w:adjustRightInd w:val="0"/>
        <w:spacing w:before="29" w:line="360" w:lineRule="auto"/>
        <w:ind w:left="15"/>
        <w:jc w:val="left"/>
        <w:rPr>
          <w:color w:val="000000"/>
          <w:kern w:val="0"/>
        </w:rPr>
      </w:pPr>
      <w:r w:rsidRPr="00904E7C">
        <w:rPr>
          <w:rFonts w:eastAsiaTheme="minorEastAsia"/>
          <w:color w:val="000000" w:themeColor="text1"/>
        </w:rPr>
        <w:t>5.2.11</w:t>
      </w:r>
      <w:r w:rsidRPr="00904E7C">
        <w:rPr>
          <w:rFonts w:eastAsiaTheme="minorEastAsia" w:hint="eastAsia"/>
          <w:color w:val="000000" w:themeColor="text1"/>
        </w:rPr>
        <w:t xml:space="preserve">.2 </w:t>
      </w:r>
      <w:r w:rsidR="00937387" w:rsidRPr="00904E7C">
        <w:rPr>
          <w:color w:val="000000"/>
          <w:kern w:val="0"/>
        </w:rPr>
        <w:t>本基金投资的前十名股票中，没有超出基金合同规定的备选股票库之外的股票。</w:t>
      </w:r>
    </w:p>
    <w:p w:rsidR="00937387" w:rsidRPr="00904E7C" w:rsidRDefault="00904E7C" w:rsidP="00DB1533">
      <w:pPr>
        <w:autoSpaceDE w:val="0"/>
        <w:autoSpaceDN w:val="0"/>
        <w:adjustRightInd w:val="0"/>
        <w:spacing w:before="29" w:line="360" w:lineRule="auto"/>
        <w:ind w:left="15"/>
        <w:jc w:val="left"/>
        <w:rPr>
          <w:b/>
          <w:color w:val="000000"/>
          <w:kern w:val="0"/>
        </w:rPr>
      </w:pPr>
      <w:r w:rsidRPr="00904E7C">
        <w:rPr>
          <w:rFonts w:eastAsiaTheme="minorEastAsia"/>
          <w:b/>
          <w:color w:val="000000" w:themeColor="text1"/>
          <w:kern w:val="0"/>
        </w:rPr>
        <w:t>5.2.11</w:t>
      </w:r>
      <w:r w:rsidRPr="00904E7C">
        <w:rPr>
          <w:rFonts w:eastAsiaTheme="minorEastAsia" w:hint="eastAsia"/>
          <w:b/>
          <w:color w:val="000000" w:themeColor="text1"/>
          <w:kern w:val="0"/>
        </w:rPr>
        <w:t>.3</w:t>
      </w:r>
      <w:r w:rsidR="00BC4780" w:rsidRPr="00904E7C">
        <w:rPr>
          <w:rFonts w:hint="eastAsia"/>
          <w:b/>
          <w:color w:val="000000"/>
          <w:kern w:val="0"/>
        </w:rPr>
        <w:t xml:space="preserve"> </w:t>
      </w:r>
      <w:r w:rsidR="00847104" w:rsidRPr="00904E7C">
        <w:rPr>
          <w:b/>
          <w:color w:val="000000"/>
          <w:kern w:val="0"/>
        </w:rPr>
        <w:t>其他</w:t>
      </w:r>
      <w:r w:rsidR="00937387" w:rsidRPr="00904E7C">
        <w:rPr>
          <w:b/>
          <w:color w:val="000000"/>
          <w:kern w:val="0"/>
        </w:rPr>
        <w:t>资产构成</w:t>
      </w:r>
    </w:p>
    <w:tbl>
      <w:tblPr>
        <w:tblStyle w:val="af7"/>
        <w:tblW w:w="0" w:type="auto"/>
        <w:tblInd w:w="15" w:type="dxa"/>
        <w:tblLook w:val="04A0" w:firstRow="1" w:lastRow="0" w:firstColumn="1" w:lastColumn="0" w:noHBand="0" w:noVBand="1"/>
      </w:tblPr>
      <w:tblGrid>
        <w:gridCol w:w="1235"/>
        <w:gridCol w:w="2470"/>
        <w:gridCol w:w="4808"/>
      </w:tblGrid>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247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名称</w:t>
            </w:r>
          </w:p>
        </w:tc>
        <w:tc>
          <w:tcPr>
            <w:tcW w:w="4808"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金额</w:t>
            </w:r>
            <w:r w:rsidRPr="00514C11">
              <w:rPr>
                <w:color w:val="000000"/>
                <w:sz w:val="21"/>
              </w:rPr>
              <w:t>(</w:t>
            </w:r>
            <w:r w:rsidRPr="00514C11">
              <w:rPr>
                <w:color w:val="000000"/>
                <w:sz w:val="21"/>
              </w:rPr>
              <w:t>元</w:t>
            </w: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1</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存出保证金</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8,489.60</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2</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应收证券清算款</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11,000,000.00</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3</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应收股利</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4</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应收利息</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5,762,221.36</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5</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应收申购款</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6</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其他应收款</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7</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待摊费用</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8</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其他</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9</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合计</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16,770,710.96</w:t>
            </w:r>
          </w:p>
        </w:tc>
      </w:tr>
    </w:tbl>
    <w:p w:rsidR="00937387" w:rsidRPr="00514C11" w:rsidRDefault="00904E7C"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sz w:val="24"/>
        </w:rPr>
        <w:t>5.2.</w:t>
      </w:r>
      <w:r w:rsidRPr="004F2F10">
        <w:rPr>
          <w:rFonts w:eastAsiaTheme="minorEastAsia"/>
          <w:b/>
          <w:color w:val="000000" w:themeColor="text1"/>
          <w:kern w:val="0"/>
          <w:sz w:val="24"/>
        </w:rPr>
        <w:t>11</w:t>
      </w:r>
      <w:r>
        <w:rPr>
          <w:rFonts w:eastAsiaTheme="minorEastAsia" w:hint="eastAsia"/>
          <w:b/>
          <w:color w:val="000000" w:themeColor="text1"/>
          <w:kern w:val="0"/>
          <w:sz w:val="24"/>
        </w:rPr>
        <w:t xml:space="preserve">.4 </w:t>
      </w:r>
      <w:r w:rsidR="00937387" w:rsidRPr="00514C11">
        <w:rPr>
          <w:b/>
          <w:color w:val="000000"/>
          <w:kern w:val="0"/>
        </w:rPr>
        <w:t>报告期末持有的处于转股期的可转换债券明细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本基金本报告期末未持有处于转股期的可转换债券。</w:t>
      </w:r>
    </w:p>
    <w:p w:rsidR="00937387" w:rsidRPr="00514C11" w:rsidRDefault="00B57220"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sz w:val="24"/>
        </w:rPr>
        <w:t>5.2.</w:t>
      </w:r>
      <w:r w:rsidRPr="004F2F10">
        <w:rPr>
          <w:rFonts w:eastAsiaTheme="minorEastAsia"/>
          <w:b/>
          <w:color w:val="000000" w:themeColor="text1"/>
          <w:kern w:val="0"/>
          <w:sz w:val="24"/>
        </w:rPr>
        <w:t>11</w:t>
      </w:r>
      <w:r>
        <w:rPr>
          <w:rFonts w:eastAsiaTheme="minorEastAsia" w:hint="eastAsia"/>
          <w:b/>
          <w:color w:val="000000" w:themeColor="text1"/>
          <w:kern w:val="0"/>
          <w:sz w:val="24"/>
        </w:rPr>
        <w:t>.5</w:t>
      </w:r>
      <w:r w:rsidR="00BC4780">
        <w:rPr>
          <w:rFonts w:hint="eastAsia"/>
          <w:b/>
          <w:color w:val="000000"/>
          <w:kern w:val="0"/>
        </w:rPr>
        <w:t xml:space="preserve"> </w:t>
      </w:r>
      <w:r w:rsidR="00937387" w:rsidRPr="00514C11">
        <w:rPr>
          <w:b/>
          <w:color w:val="000000"/>
          <w:kern w:val="0"/>
        </w:rPr>
        <w:t>报告期末前十名股票中存在流通受限情况的说明</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本基金本报告期末前十名股票中不存在流通受限情况。</w:t>
      </w:r>
    </w:p>
    <w:p w:rsidR="00937387" w:rsidRPr="00514C11" w:rsidRDefault="00B57220"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sz w:val="24"/>
        </w:rPr>
        <w:t>5.2.</w:t>
      </w:r>
      <w:r w:rsidRPr="004F2F10">
        <w:rPr>
          <w:rFonts w:eastAsiaTheme="minorEastAsia"/>
          <w:b/>
          <w:color w:val="000000" w:themeColor="text1"/>
          <w:kern w:val="0"/>
          <w:sz w:val="24"/>
        </w:rPr>
        <w:t>11</w:t>
      </w:r>
      <w:r>
        <w:rPr>
          <w:rFonts w:eastAsiaTheme="minorEastAsia" w:hint="eastAsia"/>
          <w:b/>
          <w:color w:val="000000" w:themeColor="text1"/>
          <w:kern w:val="0"/>
          <w:sz w:val="24"/>
        </w:rPr>
        <w:t>.6</w:t>
      </w:r>
      <w:r w:rsidR="007E4C62">
        <w:rPr>
          <w:rFonts w:eastAsiaTheme="minorEastAsia" w:hint="eastAsia"/>
          <w:b/>
          <w:color w:val="000000" w:themeColor="text1"/>
          <w:kern w:val="0"/>
          <w:sz w:val="24"/>
        </w:rPr>
        <w:t xml:space="preserve"> </w:t>
      </w:r>
      <w:r w:rsidR="00937387" w:rsidRPr="00514C11">
        <w:rPr>
          <w:b/>
          <w:color w:val="000000"/>
          <w:kern w:val="0"/>
        </w:rPr>
        <w:t>投资组合报告附注的其他文字描述部分</w:t>
      </w:r>
    </w:p>
    <w:p w:rsidR="00937387" w:rsidRPr="00514C11" w:rsidRDefault="00937387" w:rsidP="00B77D4F">
      <w:pPr>
        <w:widowControl/>
        <w:jc w:val="left"/>
        <w:rPr>
          <w:bCs/>
          <w:color w:val="000000"/>
        </w:rPr>
      </w:pPr>
      <w:r w:rsidRPr="00514C11">
        <w:rPr>
          <w:bCs/>
          <w:color w:val="000000"/>
        </w:rPr>
        <w:t>由于四舍五入的原因，分项之和与合计项之间可能存在尾差。</w:t>
      </w:r>
      <w:r w:rsidR="00B77D4F">
        <w:rPr>
          <w:bCs/>
          <w:color w:val="000000"/>
        </w:rPr>
        <w:br w:type="page"/>
      </w:r>
    </w:p>
    <w:p w:rsidR="00B77D4F" w:rsidRDefault="00B77D4F" w:rsidP="00B77D4F">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w:t>
      </w:r>
      <w:r>
        <w:rPr>
          <w:rFonts w:eastAsiaTheme="minorEastAsia" w:hint="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B77D4F" w:rsidRPr="00B77D4F" w:rsidRDefault="00B77D4F" w:rsidP="00B77D4F">
      <w:pPr>
        <w:pStyle w:val="2"/>
        <w:spacing w:before="0" w:after="0"/>
        <w:rPr>
          <w:rFonts w:ascii="Times New Roman" w:hAnsi="Times New Roman" w:cs="Times New Roman"/>
          <w:b w:val="0"/>
          <w:color w:val="000000"/>
          <w:kern w:val="0"/>
          <w:sz w:val="21"/>
          <w:szCs w:val="21"/>
        </w:rPr>
      </w:pPr>
      <w:r>
        <w:rPr>
          <w:rFonts w:ascii="Times New Roman" w:hAnsi="Times New Roman" w:cs="Times New Roman" w:hint="eastAsia"/>
          <w:color w:val="000000"/>
          <w:kern w:val="0"/>
          <w:sz w:val="21"/>
          <w:szCs w:val="21"/>
        </w:rPr>
        <w:t>6</w:t>
      </w:r>
      <w:r w:rsidRPr="00514C11">
        <w:rPr>
          <w:rFonts w:ascii="Times New Roman" w:hAnsi="Times New Roman" w:cs="Times New Roman"/>
          <w:color w:val="000000"/>
          <w:kern w:val="0"/>
          <w:sz w:val="21"/>
          <w:szCs w:val="21"/>
        </w:rPr>
        <w:t xml:space="preserve">.1 </w:t>
      </w:r>
      <w:r w:rsidRPr="00514C11">
        <w:rPr>
          <w:rFonts w:ascii="Times New Roman" w:hAnsi="Times New Roman" w:cs="Times New Roman"/>
          <w:color w:val="000000"/>
          <w:kern w:val="0"/>
          <w:sz w:val="21"/>
          <w:szCs w:val="21"/>
        </w:rPr>
        <w:t>交银施罗德安心收益债券型证券投资基金</w:t>
      </w:r>
    </w:p>
    <w:p w:rsidR="008C38C5" w:rsidRDefault="008C38C5" w:rsidP="008C38C5">
      <w:pPr>
        <w:adjustRightInd w:val="0"/>
        <w:snapToGrid w:val="0"/>
        <w:spacing w:beforeLines="50" w:before="156" w:line="360" w:lineRule="auto"/>
        <w:rPr>
          <w:rFonts w:eastAsiaTheme="minorEastAsia"/>
          <w:b/>
          <w:color w:val="000000" w:themeColor="text1"/>
          <w:kern w:val="0"/>
        </w:rPr>
      </w:pPr>
      <w:r w:rsidRPr="008C38C5">
        <w:rPr>
          <w:rFonts w:eastAsiaTheme="minorEastAsia" w:hint="eastAsia"/>
          <w:b/>
          <w:color w:val="000000" w:themeColor="text1"/>
          <w:kern w:val="0"/>
        </w:rPr>
        <w:t>（报告期：</w:t>
      </w:r>
      <w:r w:rsidRPr="008C38C5">
        <w:rPr>
          <w:rFonts w:eastAsiaTheme="minorEastAsia" w:hint="eastAsia"/>
          <w:b/>
          <w:color w:val="000000" w:themeColor="text1"/>
          <w:kern w:val="0"/>
        </w:rPr>
        <w:t>2018</w:t>
      </w:r>
      <w:r w:rsidRPr="008C38C5">
        <w:rPr>
          <w:rFonts w:eastAsiaTheme="minorEastAsia" w:hint="eastAsia"/>
          <w:b/>
          <w:color w:val="000000" w:themeColor="text1"/>
          <w:kern w:val="0"/>
        </w:rPr>
        <w:t>年</w:t>
      </w:r>
      <w:r w:rsidRPr="008C38C5">
        <w:rPr>
          <w:rFonts w:eastAsiaTheme="minorEastAsia" w:hint="eastAsia"/>
          <w:b/>
          <w:color w:val="000000" w:themeColor="text1"/>
          <w:kern w:val="0"/>
        </w:rPr>
        <w:t>6</w:t>
      </w:r>
      <w:r w:rsidRPr="008C38C5">
        <w:rPr>
          <w:rFonts w:eastAsiaTheme="minorEastAsia" w:hint="eastAsia"/>
          <w:b/>
          <w:color w:val="000000" w:themeColor="text1"/>
          <w:kern w:val="0"/>
        </w:rPr>
        <w:t>月</w:t>
      </w:r>
      <w:r w:rsidRPr="008C38C5">
        <w:rPr>
          <w:rFonts w:eastAsiaTheme="minorEastAsia" w:hint="eastAsia"/>
          <w:b/>
          <w:color w:val="000000" w:themeColor="text1"/>
          <w:kern w:val="0"/>
        </w:rPr>
        <w:t>2</w:t>
      </w:r>
      <w:r w:rsidRPr="008C38C5">
        <w:rPr>
          <w:rFonts w:eastAsiaTheme="minorEastAsia" w:hint="eastAsia"/>
          <w:b/>
          <w:color w:val="000000" w:themeColor="text1"/>
          <w:kern w:val="0"/>
        </w:rPr>
        <w:t>日</w:t>
      </w:r>
      <w:r w:rsidRPr="008C38C5">
        <w:rPr>
          <w:rFonts w:eastAsiaTheme="minorEastAsia" w:hint="eastAsia"/>
          <w:b/>
          <w:color w:val="000000" w:themeColor="text1"/>
          <w:kern w:val="0"/>
        </w:rPr>
        <w:t>-2018</w:t>
      </w:r>
      <w:r w:rsidRPr="008C38C5">
        <w:rPr>
          <w:rFonts w:eastAsiaTheme="minorEastAsia" w:hint="eastAsia"/>
          <w:b/>
          <w:color w:val="000000" w:themeColor="text1"/>
          <w:kern w:val="0"/>
        </w:rPr>
        <w:t>年</w:t>
      </w:r>
      <w:r w:rsidRPr="008C38C5">
        <w:rPr>
          <w:rFonts w:eastAsiaTheme="minorEastAsia" w:hint="eastAsia"/>
          <w:b/>
          <w:color w:val="000000" w:themeColor="text1"/>
          <w:kern w:val="0"/>
        </w:rPr>
        <w:t>6</w:t>
      </w:r>
      <w:r w:rsidRPr="008C38C5">
        <w:rPr>
          <w:rFonts w:eastAsiaTheme="minorEastAsia" w:hint="eastAsia"/>
          <w:b/>
          <w:color w:val="000000" w:themeColor="text1"/>
          <w:kern w:val="0"/>
        </w:rPr>
        <w:t>月</w:t>
      </w:r>
      <w:r w:rsidRPr="008C38C5">
        <w:rPr>
          <w:rFonts w:eastAsiaTheme="minorEastAsia" w:hint="eastAsia"/>
          <w:b/>
          <w:color w:val="000000" w:themeColor="text1"/>
          <w:kern w:val="0"/>
        </w:rPr>
        <w:t>30</w:t>
      </w:r>
      <w:r w:rsidRPr="008C38C5">
        <w:rPr>
          <w:rFonts w:eastAsiaTheme="minorEastAsia" w:hint="eastAsia"/>
          <w:b/>
          <w:color w:val="000000" w:themeColor="text1"/>
          <w:kern w:val="0"/>
        </w:rPr>
        <w:t>日）</w:t>
      </w:r>
    </w:p>
    <w:p w:rsidR="008C38C5" w:rsidRDefault="008C38C5" w:rsidP="00B77D4F">
      <w:pPr>
        <w:adjustRightInd w:val="0"/>
        <w:snapToGrid w:val="0"/>
        <w:spacing w:beforeLines="50" w:before="156" w:line="360" w:lineRule="auto"/>
        <w:rPr>
          <w:rFonts w:eastAsiaTheme="minorEastAsia"/>
          <w:b/>
          <w:color w:val="000000" w:themeColor="text1"/>
          <w:kern w:val="0"/>
        </w:rPr>
      </w:pPr>
      <w:r>
        <w:rPr>
          <w:rFonts w:eastAsiaTheme="minorEastAsia" w:hint="eastAsia"/>
          <w:b/>
          <w:color w:val="000000" w:themeColor="text1"/>
          <w:kern w:val="0"/>
        </w:rPr>
        <w:t>6.1.1</w:t>
      </w:r>
      <w:r w:rsidRPr="008C38C5">
        <w:rPr>
          <w:rFonts w:eastAsiaTheme="minorEastAsia" w:hint="eastAsia"/>
          <w:b/>
          <w:color w:val="000000" w:themeColor="text1"/>
          <w:kern w:val="0"/>
        </w:rPr>
        <w:t>报告期末按公允价值占基金资产净值比例大小排序的前十名基金投资明细</w:t>
      </w:r>
    </w:p>
    <w:p w:rsidR="008C38C5" w:rsidRPr="008C38C5" w:rsidRDefault="008C38C5" w:rsidP="008C38C5">
      <w:pPr>
        <w:widowControl/>
        <w:jc w:val="left"/>
        <w:rPr>
          <w:bCs/>
          <w:color w:val="000000"/>
        </w:rPr>
      </w:pPr>
      <w:r w:rsidRPr="008C38C5">
        <w:rPr>
          <w:rFonts w:hint="eastAsia"/>
          <w:bCs/>
          <w:color w:val="000000"/>
        </w:rPr>
        <w:t>本基金本报告期末未持有基金。</w:t>
      </w:r>
    </w:p>
    <w:p w:rsidR="008C38C5" w:rsidRDefault="008C38C5" w:rsidP="00B77D4F">
      <w:pPr>
        <w:adjustRightInd w:val="0"/>
        <w:snapToGrid w:val="0"/>
        <w:spacing w:beforeLines="50" w:before="156" w:line="360" w:lineRule="auto"/>
        <w:rPr>
          <w:rFonts w:eastAsiaTheme="minorEastAsia"/>
          <w:b/>
          <w:color w:val="000000" w:themeColor="text1"/>
          <w:kern w:val="0"/>
        </w:rPr>
      </w:pPr>
      <w:r>
        <w:rPr>
          <w:rFonts w:eastAsiaTheme="minorEastAsia" w:hint="eastAsia"/>
          <w:b/>
          <w:color w:val="000000" w:themeColor="text1"/>
          <w:kern w:val="0"/>
        </w:rPr>
        <w:t>6.1.2</w:t>
      </w:r>
      <w:r w:rsidRPr="008C38C5">
        <w:rPr>
          <w:rFonts w:eastAsiaTheme="minorEastAsia" w:hint="eastAsia"/>
          <w:b/>
          <w:color w:val="000000" w:themeColor="text1"/>
          <w:kern w:val="0"/>
        </w:rPr>
        <w:t>当期交易及持有基金产生的费用</w:t>
      </w:r>
    </w:p>
    <w:p w:rsidR="008C38C5" w:rsidRPr="008C38C5" w:rsidRDefault="008C38C5" w:rsidP="008C38C5">
      <w:pPr>
        <w:widowControl/>
        <w:jc w:val="left"/>
        <w:rPr>
          <w:bCs/>
          <w:color w:val="000000"/>
        </w:rPr>
      </w:pPr>
      <w:r w:rsidRPr="008C38C5">
        <w:rPr>
          <w:rFonts w:hint="eastAsia"/>
          <w:bCs/>
          <w:color w:val="000000"/>
        </w:rPr>
        <w:t>本基金本报告期内未交易或持有基金。</w:t>
      </w:r>
    </w:p>
    <w:p w:rsidR="00B77D4F" w:rsidRPr="00C51B4E" w:rsidRDefault="00B77D4F" w:rsidP="00B77D4F">
      <w:pPr>
        <w:adjustRightInd w:val="0"/>
        <w:snapToGrid w:val="0"/>
        <w:spacing w:beforeLines="50" w:before="156" w:line="360" w:lineRule="auto"/>
        <w:rPr>
          <w:rFonts w:eastAsiaTheme="minorEastAsia"/>
          <w:b/>
          <w:color w:val="000000" w:themeColor="text1"/>
          <w:kern w:val="0"/>
        </w:rPr>
      </w:pPr>
      <w:r>
        <w:rPr>
          <w:rFonts w:eastAsiaTheme="minorEastAsia" w:hint="eastAsia"/>
          <w:b/>
          <w:color w:val="000000" w:themeColor="text1"/>
          <w:kern w:val="0"/>
        </w:rPr>
        <w:t>6.1.3</w:t>
      </w:r>
      <w:r w:rsidRPr="00C51B4E">
        <w:rPr>
          <w:rFonts w:eastAsiaTheme="minorEastAsia" w:hint="eastAsia"/>
          <w:b/>
          <w:color w:val="000000" w:themeColor="text1"/>
          <w:kern w:val="0"/>
        </w:rPr>
        <w:t xml:space="preserve"> </w:t>
      </w:r>
      <w:r w:rsidRPr="00C51B4E">
        <w:rPr>
          <w:rFonts w:eastAsiaTheme="minorEastAsia" w:hint="eastAsia"/>
          <w:b/>
          <w:color w:val="000000" w:themeColor="text1"/>
          <w:kern w:val="0"/>
        </w:rPr>
        <w:t>本报告期持有的基金发生的重大影响事件</w:t>
      </w:r>
    </w:p>
    <w:p w:rsidR="00B77D4F" w:rsidRDefault="00014A49" w:rsidP="00B77D4F">
      <w:pPr>
        <w:widowControl/>
        <w:jc w:val="left"/>
        <w:rPr>
          <w:rFonts w:eastAsiaTheme="minorEastAsia"/>
          <w:color w:val="000000" w:themeColor="text1"/>
        </w:rPr>
      </w:pPr>
      <w:r w:rsidRPr="00014A49">
        <w:rPr>
          <w:rFonts w:eastAsiaTheme="minorEastAsia" w:hint="eastAsia"/>
          <w:color w:val="000000" w:themeColor="text1"/>
        </w:rPr>
        <w:t>无。</w:t>
      </w:r>
    </w:p>
    <w:p w:rsidR="005342F4" w:rsidRDefault="005342F4" w:rsidP="00B77D4F">
      <w:pPr>
        <w:widowControl/>
        <w:jc w:val="left"/>
        <w:rPr>
          <w:rFonts w:eastAsiaTheme="minorEastAsia"/>
          <w:color w:val="000000" w:themeColor="text1"/>
        </w:rPr>
      </w:pPr>
    </w:p>
    <w:p w:rsidR="00B77D4F" w:rsidRDefault="00B77D4F" w:rsidP="00B77D4F">
      <w:pPr>
        <w:pStyle w:val="2"/>
        <w:spacing w:before="0" w:after="0"/>
        <w:rPr>
          <w:rFonts w:ascii="Times New Roman" w:hAnsi="Times New Roman" w:cs="Times New Roman"/>
          <w:color w:val="000000"/>
          <w:kern w:val="0"/>
          <w:sz w:val="21"/>
          <w:szCs w:val="21"/>
        </w:rPr>
      </w:pPr>
      <w:r>
        <w:rPr>
          <w:rFonts w:ascii="Times New Roman" w:hAnsi="Times New Roman" w:cs="Times New Roman" w:hint="eastAsia"/>
          <w:color w:val="000000"/>
          <w:kern w:val="0"/>
          <w:sz w:val="21"/>
          <w:szCs w:val="21"/>
        </w:rPr>
        <w:t>6</w:t>
      </w:r>
      <w:r>
        <w:rPr>
          <w:rFonts w:ascii="Times New Roman" w:hAnsi="Times New Roman" w:cs="Times New Roman"/>
          <w:color w:val="000000"/>
          <w:kern w:val="0"/>
          <w:sz w:val="21"/>
          <w:szCs w:val="21"/>
        </w:rPr>
        <w:t>.</w:t>
      </w:r>
      <w:r>
        <w:rPr>
          <w:rFonts w:ascii="Times New Roman" w:hAnsi="Times New Roman" w:cs="Times New Roman" w:hint="eastAsia"/>
          <w:color w:val="000000"/>
          <w:kern w:val="0"/>
          <w:sz w:val="21"/>
          <w:szCs w:val="21"/>
        </w:rPr>
        <w:t>2</w:t>
      </w:r>
      <w:r>
        <w:rPr>
          <w:rFonts w:ascii="Times New Roman" w:hAnsi="Times New Roman" w:cs="Times New Roman"/>
          <w:color w:val="000000"/>
          <w:kern w:val="0"/>
          <w:sz w:val="21"/>
          <w:szCs w:val="21"/>
        </w:rPr>
        <w:t xml:space="preserve"> </w:t>
      </w:r>
      <w:r w:rsidRPr="00514C11">
        <w:rPr>
          <w:rFonts w:ascii="Times New Roman" w:hAnsi="Times New Roman" w:cs="Times New Roman"/>
          <w:color w:val="000000"/>
          <w:kern w:val="0"/>
          <w:sz w:val="21"/>
          <w:szCs w:val="21"/>
        </w:rPr>
        <w:t>交银施罗德荣和保本混合型证券投资基金</w:t>
      </w:r>
    </w:p>
    <w:p w:rsidR="008C38C5" w:rsidRDefault="008C38C5" w:rsidP="008C38C5">
      <w:pPr>
        <w:adjustRightInd w:val="0"/>
        <w:snapToGrid w:val="0"/>
        <w:spacing w:beforeLines="50" w:before="156" w:line="360" w:lineRule="auto"/>
      </w:pPr>
      <w:r w:rsidRPr="008C38C5">
        <w:rPr>
          <w:rFonts w:eastAsiaTheme="minorEastAsia" w:hint="eastAsia"/>
          <w:b/>
          <w:color w:val="000000" w:themeColor="text1"/>
          <w:kern w:val="0"/>
        </w:rPr>
        <w:t>（报告期：</w:t>
      </w:r>
      <w:r w:rsidRPr="008C38C5">
        <w:rPr>
          <w:rFonts w:eastAsiaTheme="minorEastAsia" w:hint="eastAsia"/>
          <w:b/>
          <w:color w:val="000000" w:themeColor="text1"/>
          <w:kern w:val="0"/>
        </w:rPr>
        <w:t>2018</w:t>
      </w:r>
      <w:r w:rsidRPr="008C38C5">
        <w:rPr>
          <w:rFonts w:eastAsiaTheme="minorEastAsia" w:hint="eastAsia"/>
          <w:b/>
          <w:color w:val="000000" w:themeColor="text1"/>
          <w:kern w:val="0"/>
        </w:rPr>
        <w:t>年</w:t>
      </w:r>
      <w:r w:rsidRPr="008C38C5">
        <w:rPr>
          <w:rFonts w:eastAsiaTheme="minorEastAsia" w:hint="eastAsia"/>
          <w:b/>
          <w:color w:val="000000" w:themeColor="text1"/>
          <w:kern w:val="0"/>
        </w:rPr>
        <w:t>4</w:t>
      </w:r>
      <w:r w:rsidRPr="008C38C5">
        <w:rPr>
          <w:rFonts w:eastAsiaTheme="minorEastAsia" w:hint="eastAsia"/>
          <w:b/>
          <w:color w:val="000000" w:themeColor="text1"/>
          <w:kern w:val="0"/>
        </w:rPr>
        <w:t>月</w:t>
      </w:r>
      <w:r w:rsidRPr="008C38C5">
        <w:rPr>
          <w:rFonts w:eastAsiaTheme="minorEastAsia" w:hint="eastAsia"/>
          <w:b/>
          <w:color w:val="000000" w:themeColor="text1"/>
          <w:kern w:val="0"/>
        </w:rPr>
        <w:t>1</w:t>
      </w:r>
      <w:r w:rsidRPr="008C38C5">
        <w:rPr>
          <w:rFonts w:eastAsiaTheme="minorEastAsia" w:hint="eastAsia"/>
          <w:b/>
          <w:color w:val="000000" w:themeColor="text1"/>
          <w:kern w:val="0"/>
        </w:rPr>
        <w:t>日</w:t>
      </w:r>
      <w:r w:rsidRPr="008C38C5">
        <w:rPr>
          <w:rFonts w:eastAsiaTheme="minorEastAsia" w:hint="eastAsia"/>
          <w:b/>
          <w:color w:val="000000" w:themeColor="text1"/>
          <w:kern w:val="0"/>
        </w:rPr>
        <w:t>-2018</w:t>
      </w:r>
      <w:r w:rsidRPr="008C38C5">
        <w:rPr>
          <w:rFonts w:eastAsiaTheme="minorEastAsia" w:hint="eastAsia"/>
          <w:b/>
          <w:color w:val="000000" w:themeColor="text1"/>
          <w:kern w:val="0"/>
        </w:rPr>
        <w:t>年</w:t>
      </w:r>
      <w:r w:rsidRPr="008C38C5">
        <w:rPr>
          <w:rFonts w:eastAsiaTheme="minorEastAsia" w:hint="eastAsia"/>
          <w:b/>
          <w:color w:val="000000" w:themeColor="text1"/>
          <w:kern w:val="0"/>
        </w:rPr>
        <w:t>6</w:t>
      </w:r>
      <w:r w:rsidRPr="008C38C5">
        <w:rPr>
          <w:rFonts w:eastAsiaTheme="minorEastAsia" w:hint="eastAsia"/>
          <w:b/>
          <w:color w:val="000000" w:themeColor="text1"/>
          <w:kern w:val="0"/>
        </w:rPr>
        <w:t>月</w:t>
      </w:r>
      <w:r w:rsidRPr="008C38C5">
        <w:rPr>
          <w:rFonts w:eastAsiaTheme="minorEastAsia" w:hint="eastAsia"/>
          <w:b/>
          <w:color w:val="000000" w:themeColor="text1"/>
          <w:kern w:val="0"/>
        </w:rPr>
        <w:t>1</w:t>
      </w:r>
      <w:r w:rsidRPr="008C38C5">
        <w:rPr>
          <w:rFonts w:eastAsiaTheme="minorEastAsia" w:hint="eastAsia"/>
          <w:b/>
          <w:color w:val="000000" w:themeColor="text1"/>
          <w:kern w:val="0"/>
        </w:rPr>
        <w:t>日）</w:t>
      </w:r>
    </w:p>
    <w:p w:rsidR="008C38C5" w:rsidRDefault="008C38C5" w:rsidP="008C38C5">
      <w:pPr>
        <w:adjustRightInd w:val="0"/>
        <w:snapToGrid w:val="0"/>
        <w:spacing w:beforeLines="50" w:before="156" w:line="360" w:lineRule="auto"/>
        <w:rPr>
          <w:rFonts w:eastAsiaTheme="minorEastAsia"/>
          <w:b/>
          <w:color w:val="000000" w:themeColor="text1"/>
          <w:kern w:val="0"/>
        </w:rPr>
      </w:pPr>
      <w:r>
        <w:rPr>
          <w:rFonts w:eastAsiaTheme="minorEastAsia" w:hint="eastAsia"/>
          <w:b/>
          <w:color w:val="000000" w:themeColor="text1"/>
          <w:kern w:val="0"/>
        </w:rPr>
        <w:t>6.2.1</w:t>
      </w:r>
      <w:r w:rsidRPr="008C38C5">
        <w:rPr>
          <w:rFonts w:eastAsiaTheme="minorEastAsia" w:hint="eastAsia"/>
          <w:b/>
          <w:color w:val="000000" w:themeColor="text1"/>
          <w:kern w:val="0"/>
        </w:rPr>
        <w:t>报告期末按公允价值占基金资产净值比例大小排序的前十名基金投资明细</w:t>
      </w:r>
    </w:p>
    <w:p w:rsidR="008C38C5" w:rsidRPr="008C38C5" w:rsidRDefault="008C38C5" w:rsidP="008C38C5">
      <w:pPr>
        <w:widowControl/>
        <w:jc w:val="left"/>
        <w:rPr>
          <w:bCs/>
          <w:color w:val="000000"/>
        </w:rPr>
      </w:pPr>
      <w:r w:rsidRPr="008C38C5">
        <w:rPr>
          <w:rFonts w:hint="eastAsia"/>
          <w:bCs/>
          <w:color w:val="000000"/>
        </w:rPr>
        <w:t>本基金本报告期末未持有基金。</w:t>
      </w:r>
    </w:p>
    <w:p w:rsidR="008C38C5" w:rsidRDefault="008C38C5" w:rsidP="008C38C5">
      <w:pPr>
        <w:adjustRightInd w:val="0"/>
        <w:snapToGrid w:val="0"/>
        <w:spacing w:beforeLines="50" w:before="156" w:line="360" w:lineRule="auto"/>
        <w:rPr>
          <w:rFonts w:eastAsiaTheme="minorEastAsia"/>
          <w:b/>
          <w:color w:val="000000" w:themeColor="text1"/>
          <w:kern w:val="0"/>
        </w:rPr>
      </w:pPr>
      <w:r>
        <w:rPr>
          <w:rFonts w:eastAsiaTheme="minorEastAsia" w:hint="eastAsia"/>
          <w:b/>
          <w:color w:val="000000" w:themeColor="text1"/>
          <w:kern w:val="0"/>
        </w:rPr>
        <w:t>6.2.2</w:t>
      </w:r>
      <w:r w:rsidRPr="008C38C5">
        <w:rPr>
          <w:rFonts w:eastAsiaTheme="minorEastAsia" w:hint="eastAsia"/>
          <w:b/>
          <w:color w:val="000000" w:themeColor="text1"/>
          <w:kern w:val="0"/>
        </w:rPr>
        <w:t>当期交易及持有基金产生的费用</w:t>
      </w:r>
    </w:p>
    <w:p w:rsidR="008C38C5" w:rsidRPr="008C38C5" w:rsidRDefault="008C38C5" w:rsidP="008C38C5">
      <w:pPr>
        <w:widowControl/>
        <w:jc w:val="left"/>
        <w:rPr>
          <w:bCs/>
          <w:color w:val="000000"/>
        </w:rPr>
      </w:pPr>
      <w:r w:rsidRPr="008C38C5">
        <w:rPr>
          <w:rFonts w:hint="eastAsia"/>
          <w:bCs/>
          <w:color w:val="000000"/>
        </w:rPr>
        <w:t>本基金本报告期内未交易或持有基金。</w:t>
      </w:r>
    </w:p>
    <w:p w:rsidR="008C38C5" w:rsidRDefault="008C38C5" w:rsidP="008C38C5">
      <w:pPr>
        <w:adjustRightInd w:val="0"/>
        <w:snapToGrid w:val="0"/>
        <w:spacing w:beforeLines="50" w:before="156" w:line="360" w:lineRule="auto"/>
        <w:rPr>
          <w:rFonts w:eastAsiaTheme="minorEastAsia"/>
          <w:b/>
          <w:color w:val="000000" w:themeColor="text1"/>
          <w:kern w:val="0"/>
        </w:rPr>
      </w:pPr>
      <w:r>
        <w:rPr>
          <w:rFonts w:eastAsiaTheme="minorEastAsia" w:hint="eastAsia"/>
          <w:b/>
          <w:color w:val="000000" w:themeColor="text1"/>
          <w:kern w:val="0"/>
        </w:rPr>
        <w:t>6.2.3</w:t>
      </w:r>
      <w:r w:rsidRPr="00C51B4E">
        <w:rPr>
          <w:rFonts w:eastAsiaTheme="minorEastAsia" w:hint="eastAsia"/>
          <w:b/>
          <w:color w:val="000000" w:themeColor="text1"/>
          <w:kern w:val="0"/>
        </w:rPr>
        <w:t xml:space="preserve"> </w:t>
      </w:r>
      <w:r w:rsidRPr="00C51B4E">
        <w:rPr>
          <w:rFonts w:eastAsiaTheme="minorEastAsia" w:hint="eastAsia"/>
          <w:b/>
          <w:color w:val="000000" w:themeColor="text1"/>
          <w:kern w:val="0"/>
        </w:rPr>
        <w:t>本报告期持有的基金发生的重大影响事件</w:t>
      </w:r>
    </w:p>
    <w:p w:rsidR="00014A49" w:rsidRDefault="00014A49" w:rsidP="00014A49">
      <w:pPr>
        <w:widowControl/>
        <w:jc w:val="left"/>
        <w:rPr>
          <w:rFonts w:eastAsiaTheme="minorEastAsia"/>
          <w:color w:val="000000" w:themeColor="text1"/>
        </w:rPr>
      </w:pPr>
      <w:r w:rsidRPr="00014A49">
        <w:rPr>
          <w:rFonts w:eastAsiaTheme="minorEastAsia" w:hint="eastAsia"/>
          <w:color w:val="000000" w:themeColor="text1"/>
        </w:rPr>
        <w:t>无。</w:t>
      </w:r>
    </w:p>
    <w:p w:rsidR="00014A49" w:rsidRPr="00C51B4E" w:rsidRDefault="00014A49" w:rsidP="008C38C5">
      <w:pPr>
        <w:adjustRightInd w:val="0"/>
        <w:snapToGrid w:val="0"/>
        <w:spacing w:beforeLines="50" w:before="156" w:line="360" w:lineRule="auto"/>
        <w:rPr>
          <w:rFonts w:eastAsiaTheme="minorEastAsia"/>
          <w:b/>
          <w:color w:val="000000" w:themeColor="text1"/>
          <w:kern w:val="0"/>
        </w:rPr>
      </w:pPr>
    </w:p>
    <w:p w:rsidR="004061AC" w:rsidRPr="00DE44C3" w:rsidRDefault="006F5A0C" w:rsidP="005452EC">
      <w:pPr>
        <w:pStyle w:val="1"/>
        <w:spacing w:beforeLines="50" w:before="156" w:afterLines="50" w:after="156" w:line="360" w:lineRule="auto"/>
        <w:jc w:val="center"/>
        <w:rPr>
          <w:color w:val="000000"/>
          <w:kern w:val="0"/>
          <w:sz w:val="21"/>
          <w:szCs w:val="21"/>
        </w:rPr>
      </w:pPr>
      <w:r>
        <w:rPr>
          <w:color w:val="000000"/>
          <w:kern w:val="0"/>
          <w:sz w:val="21"/>
          <w:szCs w:val="21"/>
        </w:rPr>
        <w:t>§</w:t>
      </w:r>
      <w:r>
        <w:rPr>
          <w:rFonts w:hint="eastAsia"/>
          <w:color w:val="000000"/>
          <w:kern w:val="0"/>
          <w:sz w:val="21"/>
          <w:szCs w:val="21"/>
        </w:rPr>
        <w:t>7</w:t>
      </w:r>
      <w:r w:rsidR="004061AC" w:rsidRPr="00DE44C3">
        <w:rPr>
          <w:color w:val="000000"/>
          <w:kern w:val="0"/>
          <w:sz w:val="21"/>
          <w:szCs w:val="21"/>
        </w:rPr>
        <w:t xml:space="preserve">  </w:t>
      </w:r>
      <w:r w:rsidR="004061AC" w:rsidRPr="00DE44C3">
        <w:rPr>
          <w:color w:val="000000"/>
          <w:kern w:val="0"/>
          <w:sz w:val="21"/>
          <w:szCs w:val="21"/>
        </w:rPr>
        <w:t>开放式基金份额变动</w:t>
      </w:r>
    </w:p>
    <w:p w:rsidR="00ED461C" w:rsidRPr="00514C11" w:rsidRDefault="006F5A0C" w:rsidP="00DB1533">
      <w:pPr>
        <w:autoSpaceDE w:val="0"/>
        <w:autoSpaceDN w:val="0"/>
        <w:adjustRightInd w:val="0"/>
        <w:spacing w:line="360" w:lineRule="auto"/>
        <w:jc w:val="left"/>
        <w:rPr>
          <w:b/>
          <w:color w:val="000000"/>
          <w:kern w:val="0"/>
        </w:rPr>
      </w:pPr>
      <w:r>
        <w:rPr>
          <w:rFonts w:hint="eastAsia"/>
          <w:b/>
          <w:color w:val="000000"/>
          <w:kern w:val="0"/>
        </w:rPr>
        <w:t>7</w:t>
      </w:r>
      <w:r w:rsidR="00ED461C" w:rsidRPr="00514C11">
        <w:rPr>
          <w:b/>
          <w:color w:val="000000"/>
          <w:kern w:val="0"/>
        </w:rPr>
        <w:t xml:space="preserve">.1 </w:t>
      </w:r>
      <w:r w:rsidR="00ED461C" w:rsidRPr="00514C11">
        <w:rPr>
          <w:b/>
          <w:color w:val="000000"/>
          <w:kern w:val="0"/>
        </w:rPr>
        <w:t>交银施罗德安心收益债券型证券投资基金</w:t>
      </w:r>
    </w:p>
    <w:p w:rsidR="00ED461C" w:rsidRPr="00514C11" w:rsidRDefault="00ED461C" w:rsidP="00DB1533">
      <w:pPr>
        <w:autoSpaceDE w:val="0"/>
        <w:autoSpaceDN w:val="0"/>
        <w:adjustRightInd w:val="0"/>
        <w:spacing w:line="360" w:lineRule="auto"/>
        <w:ind w:left="15"/>
        <w:jc w:val="right"/>
        <w:rPr>
          <w:color w:val="000000"/>
        </w:rPr>
      </w:pPr>
      <w:r w:rsidRPr="00514C11">
        <w:rPr>
          <w:color w:val="000000"/>
        </w:rPr>
        <w:t>单位：份</w:t>
      </w:r>
    </w:p>
    <w:tbl>
      <w:tblPr>
        <w:tblW w:w="0" w:type="auto"/>
        <w:tblInd w:w="-106" w:type="dxa"/>
        <w:tblLayout w:type="fixed"/>
        <w:tblLook w:val="0000" w:firstRow="0" w:lastRow="0" w:firstColumn="0" w:lastColumn="0" w:noHBand="0" w:noVBand="0"/>
      </w:tblPr>
      <w:tblGrid>
        <w:gridCol w:w="4609"/>
        <w:gridCol w:w="4025"/>
      </w:tblGrid>
      <w:tr w:rsidR="0038505C" w:rsidRPr="00514C11" w:rsidTr="00B15B0A">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B15B0A">
            <w:pPr>
              <w:autoSpaceDE w:val="0"/>
              <w:autoSpaceDN w:val="0"/>
              <w:adjustRightInd w:val="0"/>
              <w:spacing w:before="29" w:line="360" w:lineRule="auto"/>
              <w:ind w:left="17"/>
              <w:rPr>
                <w:color w:val="000000"/>
              </w:rPr>
            </w:pPr>
            <w:r w:rsidRPr="00514C11">
              <w:rPr>
                <w:color w:val="00000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B15B0A">
            <w:pPr>
              <w:autoSpaceDE w:val="0"/>
              <w:autoSpaceDN w:val="0"/>
              <w:adjustRightInd w:val="0"/>
              <w:spacing w:before="29" w:line="360" w:lineRule="auto"/>
              <w:ind w:left="17"/>
              <w:jc w:val="right"/>
              <w:rPr>
                <w:color w:val="000000"/>
              </w:rPr>
            </w:pPr>
            <w:r w:rsidRPr="00514C11">
              <w:rPr>
                <w:color w:val="000000"/>
              </w:rPr>
              <w:t>189,784,733.61</w:t>
            </w:r>
          </w:p>
        </w:tc>
      </w:tr>
      <w:tr w:rsidR="0038505C" w:rsidRPr="00514C11" w:rsidTr="00B15B0A">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2A74F2" w:rsidP="00B15B0A">
            <w:pPr>
              <w:autoSpaceDE w:val="0"/>
              <w:autoSpaceDN w:val="0"/>
              <w:adjustRightInd w:val="0"/>
              <w:spacing w:before="29" w:line="360" w:lineRule="auto"/>
              <w:ind w:left="17"/>
              <w:rPr>
                <w:color w:val="000000"/>
              </w:rPr>
            </w:pPr>
            <w:r>
              <w:rPr>
                <w:rFonts w:ascii="宋体" w:hAnsiTheme="minorHAnsi" w:cs="宋体" w:hint="eastAsia"/>
                <w:color w:val="000000"/>
                <w:lang w:val="zh-CN"/>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B15B0A">
            <w:pPr>
              <w:autoSpaceDE w:val="0"/>
              <w:autoSpaceDN w:val="0"/>
              <w:adjustRightInd w:val="0"/>
              <w:spacing w:before="29" w:line="360" w:lineRule="auto"/>
              <w:ind w:left="17"/>
              <w:jc w:val="right"/>
              <w:rPr>
                <w:color w:val="000000"/>
              </w:rPr>
            </w:pPr>
            <w:r w:rsidRPr="00514C11">
              <w:rPr>
                <w:color w:val="000000"/>
              </w:rPr>
              <w:t>26,889.86</w:t>
            </w:r>
          </w:p>
        </w:tc>
      </w:tr>
      <w:tr w:rsidR="0038505C" w:rsidRPr="00514C11" w:rsidTr="00B15B0A">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2A74F2" w:rsidP="00B15B0A">
            <w:pPr>
              <w:autoSpaceDE w:val="0"/>
              <w:autoSpaceDN w:val="0"/>
              <w:adjustRightInd w:val="0"/>
              <w:spacing w:before="29" w:line="360" w:lineRule="auto"/>
              <w:ind w:left="17"/>
              <w:rPr>
                <w:color w:val="000000"/>
              </w:rPr>
            </w:pPr>
            <w:r>
              <w:rPr>
                <w:rFonts w:ascii="宋体" w:hAnsiTheme="minorHAnsi" w:cs="宋体" w:hint="eastAsia"/>
                <w:color w:val="000000"/>
                <w:lang w:val="zh-CN"/>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B15B0A">
            <w:pPr>
              <w:autoSpaceDE w:val="0"/>
              <w:autoSpaceDN w:val="0"/>
              <w:adjustRightInd w:val="0"/>
              <w:spacing w:before="29" w:line="360" w:lineRule="auto"/>
              <w:ind w:left="17"/>
              <w:jc w:val="right"/>
              <w:rPr>
                <w:color w:val="000000"/>
              </w:rPr>
            </w:pPr>
            <w:r w:rsidRPr="00514C11">
              <w:rPr>
                <w:color w:val="000000"/>
              </w:rPr>
              <w:t>86,091,770.90</w:t>
            </w:r>
          </w:p>
        </w:tc>
      </w:tr>
      <w:tr w:rsidR="0038505C" w:rsidRPr="00514C11" w:rsidTr="00B15B0A">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1F44FA" w:rsidP="00B15B0A">
            <w:pPr>
              <w:autoSpaceDE w:val="0"/>
              <w:autoSpaceDN w:val="0"/>
              <w:adjustRightInd w:val="0"/>
              <w:spacing w:before="29" w:line="360" w:lineRule="auto"/>
              <w:ind w:left="17"/>
              <w:rPr>
                <w:color w:val="000000"/>
              </w:rPr>
            </w:pPr>
            <w:r>
              <w:rPr>
                <w:rFonts w:ascii="宋体" w:hAnsiTheme="minorHAnsi" w:cs="宋体" w:hint="eastAsia"/>
                <w:color w:val="000000"/>
                <w:lang w:val="zh-CN"/>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B15B0A">
            <w:pPr>
              <w:autoSpaceDE w:val="0"/>
              <w:autoSpaceDN w:val="0"/>
              <w:adjustRightInd w:val="0"/>
              <w:spacing w:before="29" w:line="360" w:lineRule="auto"/>
              <w:ind w:left="17"/>
              <w:jc w:val="right"/>
              <w:rPr>
                <w:color w:val="000000"/>
              </w:rPr>
            </w:pPr>
            <w:r w:rsidRPr="00514C11">
              <w:rPr>
                <w:color w:val="000000"/>
              </w:rPr>
              <w:t>-</w:t>
            </w:r>
          </w:p>
        </w:tc>
      </w:tr>
      <w:tr w:rsidR="0038505C" w:rsidRPr="00514C11" w:rsidTr="00B15B0A">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B15B0A">
            <w:pPr>
              <w:autoSpaceDE w:val="0"/>
              <w:autoSpaceDN w:val="0"/>
              <w:adjustRightInd w:val="0"/>
              <w:spacing w:before="29" w:line="360" w:lineRule="auto"/>
              <w:ind w:left="17"/>
              <w:rPr>
                <w:color w:val="000000"/>
              </w:rPr>
            </w:pPr>
            <w:r w:rsidRPr="00514C11">
              <w:rPr>
                <w:color w:val="00000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B15B0A">
            <w:pPr>
              <w:autoSpaceDE w:val="0"/>
              <w:autoSpaceDN w:val="0"/>
              <w:adjustRightInd w:val="0"/>
              <w:spacing w:before="29" w:line="360" w:lineRule="auto"/>
              <w:ind w:left="17"/>
              <w:jc w:val="right"/>
              <w:rPr>
                <w:color w:val="000000"/>
              </w:rPr>
            </w:pPr>
            <w:r w:rsidRPr="00514C11">
              <w:rPr>
                <w:color w:val="000000"/>
              </w:rPr>
              <w:t>103,719,852.57</w:t>
            </w:r>
          </w:p>
        </w:tc>
      </w:tr>
    </w:tbl>
    <w:p w:rsidR="00077707" w:rsidRDefault="00852D50">
      <w:pPr>
        <w:autoSpaceDE w:val="0"/>
        <w:autoSpaceDN w:val="0"/>
        <w:adjustRightInd w:val="0"/>
        <w:spacing w:line="360" w:lineRule="auto"/>
        <w:jc w:val="left"/>
        <w:rPr>
          <w:color w:val="000000"/>
        </w:rPr>
      </w:pPr>
      <w:r>
        <w:rPr>
          <w:color w:val="000000"/>
        </w:rPr>
        <w:t>注：</w:t>
      </w:r>
      <w:r>
        <w:rPr>
          <w:color w:val="000000"/>
        </w:rPr>
        <w:t>1</w:t>
      </w:r>
      <w:r>
        <w:rPr>
          <w:color w:val="000000"/>
        </w:rPr>
        <w:t>、上表中</w:t>
      </w:r>
      <w:r>
        <w:rPr>
          <w:color w:val="000000"/>
        </w:rPr>
        <w:t>“</w:t>
      </w:r>
      <w:r>
        <w:rPr>
          <w:color w:val="000000"/>
        </w:rPr>
        <w:t>报告期</w:t>
      </w:r>
      <w:r>
        <w:rPr>
          <w:color w:val="000000"/>
        </w:rPr>
        <w:t>”</w:t>
      </w:r>
      <w:r>
        <w:rPr>
          <w:color w:val="000000"/>
        </w:rPr>
        <w:t>指</w:t>
      </w:r>
      <w:r>
        <w:rPr>
          <w:color w:val="000000"/>
        </w:rPr>
        <w:t>2018</w:t>
      </w:r>
      <w:r>
        <w:rPr>
          <w:color w:val="000000"/>
        </w:rPr>
        <w:t>年</w:t>
      </w:r>
      <w:r>
        <w:rPr>
          <w:color w:val="000000"/>
        </w:rPr>
        <w:t>6</w:t>
      </w:r>
      <w:r>
        <w:rPr>
          <w:color w:val="000000"/>
        </w:rPr>
        <w:t>月</w:t>
      </w:r>
      <w:r>
        <w:rPr>
          <w:color w:val="000000"/>
        </w:rPr>
        <w:t>2</w:t>
      </w:r>
      <w:r>
        <w:rPr>
          <w:color w:val="000000"/>
        </w:rPr>
        <w:t>日至</w:t>
      </w:r>
      <w:r>
        <w:rPr>
          <w:color w:val="000000"/>
        </w:rPr>
        <w:t>2018</w:t>
      </w:r>
      <w:r>
        <w:rPr>
          <w:color w:val="000000"/>
        </w:rPr>
        <w:t>年</w:t>
      </w:r>
      <w:r>
        <w:rPr>
          <w:color w:val="000000"/>
        </w:rPr>
        <w:t>6</w:t>
      </w:r>
      <w:r>
        <w:rPr>
          <w:color w:val="000000"/>
        </w:rPr>
        <w:t>月</w:t>
      </w:r>
      <w:r>
        <w:rPr>
          <w:color w:val="000000"/>
        </w:rPr>
        <w:t>30</w:t>
      </w:r>
      <w:r>
        <w:rPr>
          <w:color w:val="000000"/>
        </w:rPr>
        <w:t>日；</w:t>
      </w:r>
    </w:p>
    <w:p w:rsidR="00077707" w:rsidRDefault="00852D50">
      <w:pPr>
        <w:autoSpaceDE w:val="0"/>
        <w:autoSpaceDN w:val="0"/>
        <w:adjustRightInd w:val="0"/>
        <w:spacing w:line="360" w:lineRule="auto"/>
        <w:jc w:val="left"/>
        <w:rPr>
          <w:color w:val="000000"/>
        </w:rPr>
      </w:pPr>
      <w:r>
        <w:rPr>
          <w:color w:val="000000"/>
        </w:rPr>
        <w:t>2</w:t>
      </w:r>
      <w:r>
        <w:rPr>
          <w:color w:val="000000"/>
        </w:rPr>
        <w:t>、如果本报告期间发生转换入、红利再投业务，则总申购份额中包含该业务；</w:t>
      </w:r>
      <w:r>
        <w:rPr>
          <w:color w:val="000000"/>
        </w:rPr>
        <w:t xml:space="preserve"> </w:t>
      </w:r>
    </w:p>
    <w:p w:rsidR="00ED461C" w:rsidRPr="00514C11" w:rsidRDefault="00ED461C" w:rsidP="00DB1533">
      <w:pPr>
        <w:autoSpaceDE w:val="0"/>
        <w:autoSpaceDN w:val="0"/>
        <w:adjustRightInd w:val="0"/>
        <w:spacing w:line="360" w:lineRule="auto"/>
        <w:jc w:val="left"/>
        <w:rPr>
          <w:color w:val="000000"/>
        </w:rPr>
      </w:pPr>
      <w:r w:rsidRPr="00514C11">
        <w:rPr>
          <w:color w:val="000000"/>
        </w:rPr>
        <w:t>3</w:t>
      </w:r>
      <w:r w:rsidRPr="00514C11">
        <w:rPr>
          <w:color w:val="000000"/>
        </w:rPr>
        <w:t>、如果本报告期间发生转换出业务，则总赎回份额中包含该业务。</w:t>
      </w:r>
    </w:p>
    <w:p w:rsidR="00ED461C" w:rsidRPr="00514C11" w:rsidRDefault="006F5A0C" w:rsidP="00DB1533">
      <w:pPr>
        <w:autoSpaceDE w:val="0"/>
        <w:autoSpaceDN w:val="0"/>
        <w:adjustRightInd w:val="0"/>
        <w:spacing w:line="360" w:lineRule="auto"/>
        <w:jc w:val="left"/>
        <w:rPr>
          <w:b/>
          <w:color w:val="000000"/>
          <w:kern w:val="0"/>
        </w:rPr>
      </w:pPr>
      <w:r>
        <w:rPr>
          <w:rFonts w:hint="eastAsia"/>
          <w:b/>
          <w:color w:val="000000"/>
          <w:kern w:val="0"/>
        </w:rPr>
        <w:t>7</w:t>
      </w:r>
      <w:r w:rsidR="00ED461C" w:rsidRPr="00514C11">
        <w:rPr>
          <w:b/>
          <w:color w:val="000000"/>
          <w:kern w:val="0"/>
        </w:rPr>
        <w:t xml:space="preserve">.2 </w:t>
      </w:r>
      <w:r w:rsidR="00ED461C" w:rsidRPr="00514C11">
        <w:rPr>
          <w:b/>
          <w:color w:val="000000"/>
          <w:kern w:val="0"/>
        </w:rPr>
        <w:t>交银施罗德荣和保本混合型证券投资基金</w:t>
      </w:r>
    </w:p>
    <w:p w:rsidR="00ED461C" w:rsidRPr="00514C11" w:rsidRDefault="00ED461C" w:rsidP="00DB1533">
      <w:pPr>
        <w:autoSpaceDE w:val="0"/>
        <w:autoSpaceDN w:val="0"/>
        <w:adjustRightInd w:val="0"/>
        <w:spacing w:before="29" w:line="360" w:lineRule="auto"/>
        <w:ind w:left="15"/>
        <w:jc w:val="right"/>
        <w:rPr>
          <w:color w:val="000000"/>
        </w:rPr>
      </w:pPr>
      <w:r w:rsidRPr="00514C11">
        <w:rPr>
          <w:color w:val="000000"/>
        </w:rPr>
        <w:t>单位：份</w:t>
      </w:r>
    </w:p>
    <w:tbl>
      <w:tblPr>
        <w:tblW w:w="0" w:type="auto"/>
        <w:tblInd w:w="-106" w:type="dxa"/>
        <w:tblLayout w:type="fixed"/>
        <w:tblLook w:val="0000" w:firstRow="0" w:lastRow="0" w:firstColumn="0" w:lastColumn="0" w:noHBand="0" w:noVBand="0"/>
      </w:tblPr>
      <w:tblGrid>
        <w:gridCol w:w="4609"/>
        <w:gridCol w:w="4025"/>
      </w:tblGrid>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rPr>
                <w:color w:val="000000"/>
              </w:rPr>
            </w:pPr>
            <w:r w:rsidRPr="00514C11">
              <w:rPr>
                <w:color w:val="00000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853,727,865.82</w:t>
            </w:r>
          </w:p>
        </w:tc>
      </w:tr>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4368FD" w:rsidP="00DB1533">
            <w:pPr>
              <w:autoSpaceDE w:val="0"/>
              <w:autoSpaceDN w:val="0"/>
              <w:adjustRightInd w:val="0"/>
              <w:spacing w:before="29" w:line="360" w:lineRule="auto"/>
              <w:ind w:left="17"/>
              <w:rPr>
                <w:color w:val="000000"/>
              </w:rPr>
            </w:pPr>
            <w:r>
              <w:rPr>
                <w:rFonts w:ascii="宋体" w:hAnsiTheme="minorHAnsi" w:cs="宋体" w:hint="eastAsia"/>
                <w:color w:val="000000"/>
                <w:lang w:val="zh-CN"/>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51,231.80</w:t>
            </w:r>
          </w:p>
        </w:tc>
      </w:tr>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4368FD" w:rsidP="00DB1533">
            <w:pPr>
              <w:autoSpaceDE w:val="0"/>
              <w:autoSpaceDN w:val="0"/>
              <w:adjustRightInd w:val="0"/>
              <w:spacing w:before="29" w:line="360" w:lineRule="auto"/>
              <w:ind w:left="17"/>
              <w:rPr>
                <w:color w:val="000000"/>
              </w:rPr>
            </w:pPr>
            <w:r>
              <w:rPr>
                <w:rFonts w:ascii="宋体" w:hAnsiTheme="minorHAnsi" w:cs="宋体" w:hint="eastAsia"/>
                <w:color w:val="000000"/>
                <w:lang w:val="zh-CN"/>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663,994,364.01</w:t>
            </w:r>
          </w:p>
        </w:tc>
      </w:tr>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364CE6" w:rsidP="00DB1533">
            <w:pPr>
              <w:autoSpaceDE w:val="0"/>
              <w:autoSpaceDN w:val="0"/>
              <w:adjustRightInd w:val="0"/>
              <w:spacing w:before="29" w:line="360" w:lineRule="auto"/>
              <w:ind w:left="17"/>
              <w:rPr>
                <w:color w:val="000000"/>
              </w:rPr>
            </w:pPr>
            <w:r>
              <w:rPr>
                <w:rFonts w:ascii="宋体" w:hAnsiTheme="minorHAnsi" w:cs="宋体" w:hint="eastAsia"/>
                <w:color w:val="000000"/>
                <w:lang w:val="zh-CN"/>
              </w:rPr>
              <w:t>报告期期间基金拆分变动份额（份额减少以</w:t>
            </w:r>
            <w:r>
              <w:rPr>
                <w:rFonts w:ascii="宋体" w:hAnsiTheme="minorHAnsi" w:cs="宋体"/>
                <w:color w:val="000000"/>
                <w:lang w:val="zh-CN"/>
              </w:rPr>
              <w:t>“</w:t>
            </w:r>
            <w:r>
              <w:rPr>
                <w:rFonts w:ascii="宋体" w:hAnsiTheme="minorHAnsi" w:cs="宋体"/>
                <w:color w:val="000000"/>
                <w:lang w:val="zh-CN"/>
              </w:rPr>
              <w:t>-</w:t>
            </w:r>
            <w:r>
              <w:rPr>
                <w:rFonts w:ascii="宋体" w:hAnsiTheme="minorHAnsi" w:cs="宋体"/>
                <w:color w:val="000000"/>
                <w:lang w:val="zh-CN"/>
              </w:rPr>
              <w:t>”</w:t>
            </w:r>
            <w:r>
              <w:rPr>
                <w:rFonts w:ascii="宋体" w:hAnsiTheme="minorHAnsi" w:cs="宋体" w:hint="eastAsia"/>
                <w:color w:val="000000"/>
                <w:lang w:val="zh-CN"/>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w:t>
            </w:r>
          </w:p>
        </w:tc>
      </w:tr>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rPr>
                <w:color w:val="000000"/>
              </w:rPr>
            </w:pPr>
            <w:r w:rsidRPr="00514C11">
              <w:rPr>
                <w:color w:val="00000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189,784,733.61</w:t>
            </w:r>
          </w:p>
        </w:tc>
      </w:tr>
    </w:tbl>
    <w:p w:rsidR="00077707" w:rsidRDefault="00852D50">
      <w:pPr>
        <w:autoSpaceDE w:val="0"/>
        <w:autoSpaceDN w:val="0"/>
        <w:adjustRightInd w:val="0"/>
        <w:spacing w:before="29" w:line="360" w:lineRule="auto"/>
        <w:ind w:left="15"/>
        <w:jc w:val="left"/>
        <w:rPr>
          <w:color w:val="000000"/>
        </w:rPr>
      </w:pPr>
      <w:r>
        <w:rPr>
          <w:color w:val="000000"/>
        </w:rPr>
        <w:t>注：</w:t>
      </w:r>
      <w:r>
        <w:rPr>
          <w:color w:val="000000"/>
        </w:rPr>
        <w:t>1</w:t>
      </w:r>
      <w:r>
        <w:rPr>
          <w:color w:val="000000"/>
        </w:rPr>
        <w:t>、上表中</w:t>
      </w:r>
      <w:r>
        <w:rPr>
          <w:color w:val="000000"/>
        </w:rPr>
        <w:t>“</w:t>
      </w:r>
      <w:r>
        <w:rPr>
          <w:color w:val="000000"/>
        </w:rPr>
        <w:t>报告期</w:t>
      </w:r>
      <w:r>
        <w:rPr>
          <w:color w:val="000000"/>
        </w:rPr>
        <w:t>”</w:t>
      </w:r>
      <w:r>
        <w:rPr>
          <w:color w:val="000000"/>
        </w:rPr>
        <w:t>指</w:t>
      </w:r>
      <w:r>
        <w:rPr>
          <w:color w:val="000000"/>
        </w:rPr>
        <w:t>2018</w:t>
      </w:r>
      <w:r>
        <w:rPr>
          <w:color w:val="000000"/>
        </w:rPr>
        <w:t>年</w:t>
      </w:r>
      <w:r>
        <w:rPr>
          <w:color w:val="000000"/>
        </w:rPr>
        <w:t>4</w:t>
      </w:r>
      <w:r>
        <w:rPr>
          <w:color w:val="000000"/>
        </w:rPr>
        <w:t>月</w:t>
      </w:r>
      <w:r>
        <w:rPr>
          <w:color w:val="000000"/>
        </w:rPr>
        <w:t>1</w:t>
      </w:r>
      <w:r>
        <w:rPr>
          <w:color w:val="000000"/>
        </w:rPr>
        <w:t>日至</w:t>
      </w:r>
      <w:r>
        <w:rPr>
          <w:color w:val="000000"/>
        </w:rPr>
        <w:t>2018</w:t>
      </w:r>
      <w:r>
        <w:rPr>
          <w:color w:val="000000"/>
        </w:rPr>
        <w:t>年</w:t>
      </w:r>
      <w:r>
        <w:rPr>
          <w:color w:val="000000"/>
        </w:rPr>
        <w:t>6</w:t>
      </w:r>
      <w:r>
        <w:rPr>
          <w:color w:val="000000"/>
        </w:rPr>
        <w:t>月</w:t>
      </w:r>
      <w:r>
        <w:rPr>
          <w:color w:val="000000"/>
        </w:rPr>
        <w:t>1</w:t>
      </w:r>
      <w:r>
        <w:rPr>
          <w:color w:val="000000"/>
        </w:rPr>
        <w:t>日；</w:t>
      </w:r>
    </w:p>
    <w:p w:rsidR="00077707" w:rsidRDefault="00852D50">
      <w:pPr>
        <w:autoSpaceDE w:val="0"/>
        <w:autoSpaceDN w:val="0"/>
        <w:adjustRightInd w:val="0"/>
        <w:spacing w:before="29" w:line="360" w:lineRule="auto"/>
        <w:ind w:left="15"/>
        <w:jc w:val="left"/>
        <w:rPr>
          <w:color w:val="000000"/>
        </w:rPr>
      </w:pPr>
      <w:r>
        <w:rPr>
          <w:color w:val="000000"/>
        </w:rPr>
        <w:t>2</w:t>
      </w:r>
      <w:r>
        <w:rPr>
          <w:color w:val="000000"/>
        </w:rPr>
        <w:t>、如果本报告期间发生转换入、红利再投业务，则总申购份额中包含该业务；</w:t>
      </w:r>
      <w:r>
        <w:rPr>
          <w:color w:val="000000"/>
        </w:rPr>
        <w:t xml:space="preserve"> </w:t>
      </w:r>
    </w:p>
    <w:p w:rsidR="004061AC" w:rsidRDefault="00ED461C" w:rsidP="00DB1533">
      <w:pPr>
        <w:autoSpaceDE w:val="0"/>
        <w:autoSpaceDN w:val="0"/>
        <w:adjustRightInd w:val="0"/>
        <w:spacing w:before="29" w:line="360" w:lineRule="auto"/>
        <w:ind w:left="15"/>
        <w:jc w:val="left"/>
        <w:rPr>
          <w:color w:val="000000"/>
        </w:rPr>
      </w:pPr>
      <w:r w:rsidRPr="00514C11">
        <w:rPr>
          <w:color w:val="000000"/>
        </w:rPr>
        <w:t>3</w:t>
      </w:r>
      <w:r w:rsidRPr="00514C11">
        <w:rPr>
          <w:color w:val="000000"/>
        </w:rPr>
        <w:t>、如果本报告期间发生转换出业务，则总赎回份额中包含该业务。</w:t>
      </w:r>
    </w:p>
    <w:p w:rsidR="00EB374A" w:rsidRPr="00DE44C3" w:rsidRDefault="006A7EE4" w:rsidP="005452EC">
      <w:pPr>
        <w:pStyle w:val="1"/>
        <w:spacing w:beforeLines="50" w:before="156" w:afterLines="50" w:after="156" w:line="360" w:lineRule="auto"/>
        <w:jc w:val="center"/>
        <w:rPr>
          <w:color w:val="000000"/>
          <w:kern w:val="0"/>
          <w:sz w:val="21"/>
          <w:szCs w:val="21"/>
        </w:rPr>
      </w:pPr>
      <w:r>
        <w:rPr>
          <w:color w:val="000000"/>
          <w:kern w:val="0"/>
          <w:sz w:val="21"/>
          <w:szCs w:val="21"/>
        </w:rPr>
        <w:t>§8</w:t>
      </w:r>
      <w:r w:rsidR="00EB374A" w:rsidRPr="00DE44C3">
        <w:rPr>
          <w:color w:val="000000"/>
          <w:kern w:val="0"/>
          <w:sz w:val="21"/>
          <w:szCs w:val="21"/>
        </w:rPr>
        <w:t xml:space="preserve">  </w:t>
      </w:r>
      <w:r w:rsidR="00EB374A" w:rsidRPr="00DE44C3">
        <w:rPr>
          <w:color w:val="000000"/>
          <w:kern w:val="0"/>
          <w:sz w:val="21"/>
          <w:szCs w:val="21"/>
        </w:rPr>
        <w:t>基金管理人运用固有资金投资本基金情况</w:t>
      </w:r>
    </w:p>
    <w:p w:rsidR="00EB374A" w:rsidRPr="00514C11" w:rsidRDefault="006A7EE4" w:rsidP="00DB1533">
      <w:pPr>
        <w:autoSpaceDE w:val="0"/>
        <w:autoSpaceDN w:val="0"/>
        <w:adjustRightInd w:val="0"/>
        <w:spacing w:before="29" w:line="360" w:lineRule="auto"/>
        <w:ind w:left="15"/>
        <w:jc w:val="left"/>
        <w:rPr>
          <w:b/>
          <w:color w:val="000000"/>
          <w:kern w:val="0"/>
        </w:rPr>
      </w:pPr>
      <w:r>
        <w:rPr>
          <w:b/>
          <w:color w:val="000000"/>
          <w:kern w:val="0"/>
        </w:rPr>
        <w:t>8</w:t>
      </w:r>
      <w:r w:rsidR="00EB374A" w:rsidRPr="00514C11">
        <w:rPr>
          <w:b/>
          <w:color w:val="000000"/>
          <w:kern w:val="0"/>
        </w:rPr>
        <w:t xml:space="preserve">.1 </w:t>
      </w:r>
      <w:r w:rsidR="00EB374A" w:rsidRPr="00514C11">
        <w:rPr>
          <w:b/>
          <w:color w:val="000000"/>
          <w:kern w:val="0"/>
        </w:rPr>
        <w:t>基金管理人持有本基金份额变动情况</w:t>
      </w:r>
    </w:p>
    <w:p w:rsidR="00EB374A" w:rsidRDefault="00EB374A" w:rsidP="00DB1533">
      <w:pPr>
        <w:autoSpaceDE w:val="0"/>
        <w:autoSpaceDN w:val="0"/>
        <w:adjustRightInd w:val="0"/>
        <w:spacing w:before="29" w:line="360" w:lineRule="auto"/>
        <w:ind w:left="15"/>
        <w:jc w:val="left"/>
        <w:rPr>
          <w:color w:val="000000"/>
        </w:rPr>
      </w:pPr>
      <w:r w:rsidRPr="00514C11">
        <w:rPr>
          <w:color w:val="000000"/>
        </w:rPr>
        <w:t>本报告期内未发生基金管理人运用固有资金投资本基金的情况。</w:t>
      </w:r>
    </w:p>
    <w:p w:rsidR="00A91387" w:rsidRPr="00514C11" w:rsidRDefault="006A7EE4" w:rsidP="00A91387">
      <w:pPr>
        <w:autoSpaceDE w:val="0"/>
        <w:autoSpaceDN w:val="0"/>
        <w:adjustRightInd w:val="0"/>
        <w:spacing w:before="29" w:line="360" w:lineRule="auto"/>
        <w:ind w:left="15"/>
        <w:jc w:val="left"/>
        <w:rPr>
          <w:b/>
          <w:color w:val="000000"/>
          <w:kern w:val="0"/>
        </w:rPr>
      </w:pPr>
      <w:r>
        <w:rPr>
          <w:b/>
          <w:color w:val="000000"/>
          <w:kern w:val="0"/>
        </w:rPr>
        <w:t>8</w:t>
      </w:r>
      <w:r w:rsidR="00A91387" w:rsidRPr="00514C11">
        <w:rPr>
          <w:b/>
          <w:color w:val="000000"/>
          <w:kern w:val="0"/>
        </w:rPr>
        <w:t xml:space="preserve">.2 </w:t>
      </w:r>
      <w:r w:rsidR="00A91387" w:rsidRPr="00514C11">
        <w:rPr>
          <w:b/>
          <w:color w:val="000000"/>
          <w:kern w:val="0"/>
        </w:rPr>
        <w:t>基金管理人运用固有资金投资本基金交易明细</w:t>
      </w:r>
    </w:p>
    <w:p w:rsidR="00A91387" w:rsidRPr="00514C11" w:rsidRDefault="006A7EE4" w:rsidP="00A91387">
      <w:pPr>
        <w:autoSpaceDE w:val="0"/>
        <w:autoSpaceDN w:val="0"/>
        <w:adjustRightInd w:val="0"/>
        <w:spacing w:before="29" w:line="360" w:lineRule="auto"/>
        <w:ind w:left="15"/>
        <w:jc w:val="left"/>
        <w:rPr>
          <w:b/>
          <w:color w:val="000000"/>
          <w:kern w:val="0"/>
        </w:rPr>
      </w:pPr>
      <w:r>
        <w:rPr>
          <w:b/>
          <w:color w:val="000000"/>
          <w:kern w:val="0"/>
        </w:rPr>
        <w:t>8</w:t>
      </w:r>
      <w:r w:rsidR="00A91387" w:rsidRPr="00514C11">
        <w:rPr>
          <w:b/>
          <w:color w:val="000000"/>
          <w:kern w:val="0"/>
        </w:rPr>
        <w:t xml:space="preserve">.2.1 </w:t>
      </w:r>
      <w:r w:rsidR="00A91387" w:rsidRPr="00514C11">
        <w:rPr>
          <w:b/>
          <w:color w:val="000000"/>
          <w:kern w:val="0"/>
        </w:rPr>
        <w:t>交银施罗德安心收益债券型证券投资基金</w:t>
      </w:r>
    </w:p>
    <w:p w:rsidR="00A91387" w:rsidRPr="00514C11" w:rsidRDefault="00A91387" w:rsidP="00A91387">
      <w:pPr>
        <w:autoSpaceDE w:val="0"/>
        <w:autoSpaceDN w:val="0"/>
        <w:adjustRightInd w:val="0"/>
        <w:spacing w:before="29" w:line="360" w:lineRule="auto"/>
        <w:ind w:left="15"/>
        <w:jc w:val="left"/>
        <w:rPr>
          <w:color w:val="000000"/>
        </w:rPr>
      </w:pPr>
      <w:r w:rsidRPr="00514C11">
        <w:rPr>
          <w:color w:val="000000"/>
        </w:rPr>
        <w:t>本基金管理人本报告期内未进行本基金的申购、赎回、红利再投等。</w:t>
      </w:r>
    </w:p>
    <w:p w:rsidR="00A91387" w:rsidRPr="00BC4780" w:rsidRDefault="006A7EE4" w:rsidP="00A91387">
      <w:pPr>
        <w:autoSpaceDE w:val="0"/>
        <w:autoSpaceDN w:val="0"/>
        <w:adjustRightInd w:val="0"/>
        <w:spacing w:before="29" w:line="360" w:lineRule="auto"/>
        <w:ind w:left="15"/>
        <w:jc w:val="left"/>
        <w:rPr>
          <w:b/>
          <w:color w:val="000000"/>
          <w:kern w:val="0"/>
        </w:rPr>
      </w:pPr>
      <w:r>
        <w:rPr>
          <w:b/>
          <w:color w:val="000000"/>
          <w:kern w:val="0"/>
        </w:rPr>
        <w:t>8</w:t>
      </w:r>
      <w:r w:rsidR="00A91387" w:rsidRPr="00514C11">
        <w:rPr>
          <w:b/>
          <w:color w:val="000000"/>
          <w:kern w:val="0"/>
        </w:rPr>
        <w:t xml:space="preserve">.2.2 </w:t>
      </w:r>
      <w:r w:rsidR="00A91387" w:rsidRPr="00514C11">
        <w:rPr>
          <w:b/>
          <w:color w:val="000000"/>
          <w:kern w:val="0"/>
        </w:rPr>
        <w:t>交银施罗德荣和保本混合型证券投资基金</w:t>
      </w:r>
    </w:p>
    <w:p w:rsidR="00A91387" w:rsidRPr="00514C11" w:rsidRDefault="00A91387" w:rsidP="00A91387">
      <w:pPr>
        <w:autoSpaceDE w:val="0"/>
        <w:autoSpaceDN w:val="0"/>
        <w:adjustRightInd w:val="0"/>
        <w:spacing w:before="29" w:line="360" w:lineRule="auto"/>
        <w:ind w:left="15"/>
        <w:jc w:val="left"/>
        <w:rPr>
          <w:color w:val="000000"/>
        </w:rPr>
      </w:pPr>
      <w:r w:rsidRPr="00514C11">
        <w:rPr>
          <w:color w:val="000000"/>
        </w:rPr>
        <w:t>本基金管理人本报告期内未进行本基金的申购、赎回、红利再投等。</w:t>
      </w:r>
    </w:p>
    <w:p w:rsidR="00A91387" w:rsidRPr="00A91387" w:rsidRDefault="00A91387" w:rsidP="00DB1533">
      <w:pPr>
        <w:autoSpaceDE w:val="0"/>
        <w:autoSpaceDN w:val="0"/>
        <w:adjustRightInd w:val="0"/>
        <w:spacing w:before="29" w:line="360" w:lineRule="auto"/>
        <w:ind w:left="15"/>
        <w:jc w:val="left"/>
        <w:rPr>
          <w:color w:val="000000"/>
        </w:rPr>
      </w:pPr>
    </w:p>
    <w:p w:rsidR="00514C11" w:rsidRPr="00514C11" w:rsidRDefault="006A7EE4" w:rsidP="005452EC">
      <w:pPr>
        <w:pStyle w:val="1"/>
        <w:spacing w:beforeLines="50" w:before="156" w:afterLines="50" w:after="156" w:line="360" w:lineRule="auto"/>
        <w:jc w:val="center"/>
        <w:rPr>
          <w:color w:val="000000"/>
          <w:kern w:val="0"/>
          <w:sz w:val="21"/>
          <w:szCs w:val="21"/>
        </w:rPr>
      </w:pPr>
      <w:r>
        <w:rPr>
          <w:color w:val="000000"/>
          <w:kern w:val="0"/>
          <w:sz w:val="21"/>
          <w:szCs w:val="21"/>
        </w:rPr>
        <w:t>§9</w:t>
      </w:r>
      <w:r w:rsidR="00514C11" w:rsidRPr="00514C11">
        <w:rPr>
          <w:color w:val="000000"/>
          <w:kern w:val="0"/>
          <w:sz w:val="21"/>
          <w:szCs w:val="21"/>
        </w:rPr>
        <w:t xml:space="preserve"> </w:t>
      </w:r>
      <w:r w:rsidR="00514C11" w:rsidRPr="00514C11">
        <w:rPr>
          <w:color w:val="000000"/>
          <w:kern w:val="0"/>
          <w:sz w:val="21"/>
          <w:szCs w:val="21"/>
        </w:rPr>
        <w:t>影响投资者决策的其他重要信息</w:t>
      </w:r>
    </w:p>
    <w:p w:rsidR="00514C11" w:rsidRPr="00514C11" w:rsidRDefault="006A7EE4" w:rsidP="00DB1533">
      <w:pPr>
        <w:autoSpaceDE w:val="0"/>
        <w:autoSpaceDN w:val="0"/>
        <w:adjustRightInd w:val="0"/>
        <w:spacing w:line="360" w:lineRule="auto"/>
        <w:jc w:val="left"/>
        <w:rPr>
          <w:rFonts w:eastAsiaTheme="minorEastAsia"/>
          <w:b/>
          <w:bCs/>
          <w:color w:val="000000" w:themeColor="text1"/>
          <w:kern w:val="0"/>
        </w:rPr>
      </w:pPr>
      <w:r>
        <w:rPr>
          <w:b/>
          <w:color w:val="000000"/>
          <w:kern w:val="0"/>
        </w:rPr>
        <w:t>9</w:t>
      </w:r>
      <w:r w:rsidR="008B40EC" w:rsidRPr="008B40EC">
        <w:rPr>
          <w:b/>
          <w:color w:val="000000"/>
          <w:kern w:val="0"/>
        </w:rPr>
        <w:t>.1</w:t>
      </w:r>
      <w:r w:rsidR="00514C11" w:rsidRPr="00514C11">
        <w:rPr>
          <w:rFonts w:eastAsiaTheme="minorEastAsia"/>
          <w:b/>
          <w:bCs/>
          <w:color w:val="000000" w:themeColor="text1"/>
          <w:kern w:val="0"/>
        </w:rPr>
        <w:t xml:space="preserve"> </w:t>
      </w:r>
      <w:r w:rsidR="00514C11" w:rsidRPr="00514C11">
        <w:rPr>
          <w:rFonts w:eastAsiaTheme="minorEastAsia"/>
          <w:b/>
          <w:bCs/>
          <w:color w:val="000000" w:themeColor="text1"/>
          <w:kern w:val="0"/>
        </w:rPr>
        <w:t>影响投资者决策的其他重要信息</w:t>
      </w:r>
    </w:p>
    <w:p w:rsidR="00077707" w:rsidRDefault="00852D50">
      <w:pPr>
        <w:adjustRightInd w:val="0"/>
        <w:spacing w:line="360" w:lineRule="auto"/>
        <w:ind w:firstLineChars="200" w:firstLine="420"/>
        <w:rPr>
          <w:color w:val="000000"/>
        </w:rPr>
      </w:pPr>
      <w:r>
        <w:rPr>
          <w:color w:val="000000"/>
        </w:rPr>
        <w:t>交银施罗德荣和保本混合型证券投资基金保本周期期限三年，自交银施罗德荣和保本混合型证券投资基金基金合同生效日（即</w:t>
      </w:r>
      <w:r>
        <w:rPr>
          <w:color w:val="000000"/>
        </w:rPr>
        <w:t>2015</w:t>
      </w:r>
      <w:r>
        <w:rPr>
          <w:color w:val="000000"/>
        </w:rPr>
        <w:t>年</w:t>
      </w:r>
      <w:r>
        <w:rPr>
          <w:color w:val="000000"/>
        </w:rPr>
        <w:t>5</w:t>
      </w:r>
      <w:r>
        <w:rPr>
          <w:color w:val="000000"/>
        </w:rPr>
        <w:t>月</w:t>
      </w:r>
      <w:r>
        <w:rPr>
          <w:color w:val="000000"/>
        </w:rPr>
        <w:t>29</w:t>
      </w:r>
      <w:r>
        <w:rPr>
          <w:color w:val="000000"/>
        </w:rPr>
        <w:t>日）起至三个公历年后对应日止，如该对应日为非工作日，保本周期到期日顺延至下一个工作日，本基金第一个保本周期于</w:t>
      </w:r>
      <w:r>
        <w:rPr>
          <w:color w:val="000000"/>
        </w:rPr>
        <w:t>2018</w:t>
      </w:r>
      <w:r>
        <w:rPr>
          <w:color w:val="000000"/>
        </w:rPr>
        <w:t>年</w:t>
      </w:r>
      <w:r>
        <w:rPr>
          <w:color w:val="000000"/>
        </w:rPr>
        <w:t>5</w:t>
      </w:r>
      <w:r>
        <w:rPr>
          <w:color w:val="000000"/>
        </w:rPr>
        <w:t>月</w:t>
      </w:r>
      <w:r>
        <w:rPr>
          <w:color w:val="000000"/>
        </w:rPr>
        <w:t>29</w:t>
      </w:r>
      <w:r>
        <w:rPr>
          <w:color w:val="000000"/>
        </w:rPr>
        <w:t>日到期。交银施罗德荣和保本混合型证券投资基金保本周期到期后，已按照《交银施罗德荣和保本混合型证券投资基金基金合同》的约定转型为非保本的混合型基金，即</w:t>
      </w:r>
      <w:r>
        <w:rPr>
          <w:color w:val="000000"/>
        </w:rPr>
        <w:t>“</w:t>
      </w:r>
      <w:r>
        <w:rPr>
          <w:color w:val="000000"/>
        </w:rPr>
        <w:t>交银施罗德安心收益债券型证券投资基金</w:t>
      </w:r>
      <w:r>
        <w:rPr>
          <w:color w:val="000000"/>
        </w:rPr>
        <w:t>”</w:t>
      </w:r>
      <w:r>
        <w:rPr>
          <w:color w:val="000000"/>
        </w:rPr>
        <w:t>。基金托管人及基金登记机构不变，基金代码亦保持不变为</w:t>
      </w:r>
      <w:r>
        <w:rPr>
          <w:color w:val="000000"/>
        </w:rPr>
        <w:t>“519753”</w:t>
      </w:r>
      <w:r>
        <w:rPr>
          <w:color w:val="000000"/>
        </w:rPr>
        <w:t>。转型后基金的投资目标、投资范围、投资策略、投资比例、业绩比较基准、估值方法、申赎原则、收益分配及基金费率等按照《交银施罗德安心收益债券型证券投资基金基金合同》相关规定进行运作。前述修改变更事项已按照相关法律法规及基金合同的约定履行相关手续。</w:t>
      </w:r>
    </w:p>
    <w:p w:rsidR="00514C11" w:rsidRPr="00514C11" w:rsidRDefault="00514C11" w:rsidP="00DB1533">
      <w:pPr>
        <w:adjustRightInd w:val="0"/>
        <w:spacing w:line="360" w:lineRule="auto"/>
        <w:ind w:firstLineChars="200" w:firstLine="420"/>
        <w:rPr>
          <w:color w:val="000000"/>
        </w:rPr>
      </w:pPr>
      <w:r w:rsidRPr="00514C11">
        <w:rPr>
          <w:color w:val="000000"/>
        </w:rPr>
        <w:t>交银施罗德荣和保本混合型证券投资基金保本周期到期安排及交银施罗德安心收益债券型证券投资基金转型后运作相关业务规则详情请查阅本基金管理人于</w:t>
      </w:r>
      <w:r w:rsidRPr="00514C11">
        <w:rPr>
          <w:color w:val="000000"/>
        </w:rPr>
        <w:t>2018</w:t>
      </w:r>
      <w:r w:rsidRPr="00514C11">
        <w:rPr>
          <w:color w:val="000000"/>
        </w:rPr>
        <w:t>年</w:t>
      </w:r>
      <w:r w:rsidRPr="00514C11">
        <w:rPr>
          <w:color w:val="000000"/>
        </w:rPr>
        <w:t>5</w:t>
      </w:r>
      <w:r w:rsidRPr="00514C11">
        <w:rPr>
          <w:color w:val="000000"/>
        </w:rPr>
        <w:t>月</w:t>
      </w:r>
      <w:r w:rsidRPr="00514C11">
        <w:rPr>
          <w:color w:val="000000"/>
        </w:rPr>
        <w:t>22</w:t>
      </w:r>
      <w:r w:rsidRPr="00514C11">
        <w:rPr>
          <w:color w:val="000000"/>
        </w:rPr>
        <w:t>日发布的《交银施罗德荣和保本混合型证券投资基金保本周期到期安排及转型为交银施罗德安心收益债券型证券投资基金后运作相关业务规则的公告》及刊登在</w:t>
      </w:r>
      <w:r w:rsidRPr="00514C11">
        <w:rPr>
          <w:color w:val="000000"/>
        </w:rPr>
        <w:t>2018</w:t>
      </w:r>
      <w:r w:rsidRPr="00514C11">
        <w:rPr>
          <w:color w:val="000000"/>
        </w:rPr>
        <w:t>年</w:t>
      </w:r>
      <w:r w:rsidRPr="00514C11">
        <w:rPr>
          <w:color w:val="000000"/>
        </w:rPr>
        <w:t>5</w:t>
      </w:r>
      <w:r w:rsidRPr="00514C11">
        <w:rPr>
          <w:color w:val="000000"/>
        </w:rPr>
        <w:t>月</w:t>
      </w:r>
      <w:r w:rsidRPr="00514C11">
        <w:rPr>
          <w:color w:val="000000"/>
        </w:rPr>
        <w:t>22</w:t>
      </w:r>
      <w:r w:rsidRPr="00514C11">
        <w:rPr>
          <w:color w:val="000000"/>
        </w:rPr>
        <w:t>日《中国证券报》、</w:t>
      </w:r>
      <w:r w:rsidRPr="00514C11">
        <w:rPr>
          <w:color w:val="000000"/>
        </w:rPr>
        <w:t>2018</w:t>
      </w:r>
      <w:r w:rsidRPr="00514C11">
        <w:rPr>
          <w:color w:val="000000"/>
        </w:rPr>
        <w:t>年</w:t>
      </w:r>
      <w:r w:rsidRPr="00514C11">
        <w:rPr>
          <w:color w:val="000000"/>
        </w:rPr>
        <w:t>5</w:t>
      </w:r>
      <w:r w:rsidRPr="00514C11">
        <w:rPr>
          <w:color w:val="000000"/>
        </w:rPr>
        <w:t>月</w:t>
      </w:r>
      <w:r w:rsidRPr="00514C11">
        <w:rPr>
          <w:color w:val="000000"/>
        </w:rPr>
        <w:t>23</w:t>
      </w:r>
      <w:r w:rsidRPr="00514C11">
        <w:rPr>
          <w:color w:val="000000"/>
        </w:rPr>
        <w:t>日《上海证券报》和</w:t>
      </w:r>
      <w:r w:rsidRPr="00514C11">
        <w:rPr>
          <w:color w:val="000000"/>
        </w:rPr>
        <w:t>2018</w:t>
      </w:r>
      <w:r w:rsidRPr="00514C11">
        <w:rPr>
          <w:color w:val="000000"/>
        </w:rPr>
        <w:t>年</w:t>
      </w:r>
      <w:r w:rsidRPr="00514C11">
        <w:rPr>
          <w:color w:val="000000"/>
        </w:rPr>
        <w:t>5</w:t>
      </w:r>
      <w:r w:rsidRPr="00514C11">
        <w:rPr>
          <w:color w:val="000000"/>
        </w:rPr>
        <w:t>月</w:t>
      </w:r>
      <w:r w:rsidRPr="00514C11">
        <w:rPr>
          <w:color w:val="000000"/>
        </w:rPr>
        <w:t>24</w:t>
      </w:r>
      <w:r w:rsidRPr="00514C11">
        <w:rPr>
          <w:color w:val="000000"/>
        </w:rPr>
        <w:t>日《证券时报》上的交银施罗德安心收益债券型证券投资基金的《基金合同摘要》、《招募说明书》等。投资者亦可通过本基金管理人网站或相关销售机构查阅交银施罗德安心收益债券型证券投资基金的相关基金法律文件。</w:t>
      </w:r>
    </w:p>
    <w:p w:rsidR="004061AC" w:rsidRPr="00DE44C3" w:rsidRDefault="004061AC" w:rsidP="005452EC">
      <w:pPr>
        <w:pStyle w:val="1"/>
        <w:spacing w:beforeLines="50" w:before="156" w:afterLines="50" w:after="156" w:line="360" w:lineRule="auto"/>
        <w:jc w:val="center"/>
        <w:rPr>
          <w:color w:val="000000"/>
          <w:kern w:val="0"/>
          <w:sz w:val="21"/>
          <w:szCs w:val="21"/>
        </w:rPr>
      </w:pPr>
      <w:r w:rsidRPr="00DE44C3">
        <w:rPr>
          <w:color w:val="000000"/>
          <w:kern w:val="0"/>
          <w:sz w:val="21"/>
          <w:szCs w:val="21"/>
        </w:rPr>
        <w:t>§</w:t>
      </w:r>
      <w:r w:rsidR="006A7EE4">
        <w:rPr>
          <w:color w:val="000000"/>
          <w:kern w:val="0"/>
          <w:sz w:val="21"/>
          <w:szCs w:val="21"/>
        </w:rPr>
        <w:t>10</w:t>
      </w:r>
      <w:r w:rsidRPr="00DE44C3">
        <w:rPr>
          <w:color w:val="000000"/>
          <w:kern w:val="0"/>
          <w:sz w:val="21"/>
          <w:szCs w:val="21"/>
        </w:rPr>
        <w:t xml:space="preserve">  </w:t>
      </w:r>
      <w:r w:rsidRPr="00DE44C3">
        <w:rPr>
          <w:color w:val="000000"/>
          <w:kern w:val="0"/>
          <w:sz w:val="21"/>
          <w:szCs w:val="21"/>
        </w:rPr>
        <w:t>备查文件目录</w:t>
      </w:r>
    </w:p>
    <w:p w:rsidR="004061AC" w:rsidRPr="00514C11" w:rsidRDefault="006A7EE4" w:rsidP="00DB1533">
      <w:pPr>
        <w:autoSpaceDE w:val="0"/>
        <w:autoSpaceDN w:val="0"/>
        <w:adjustRightInd w:val="0"/>
        <w:spacing w:before="29" w:line="360" w:lineRule="auto"/>
        <w:ind w:left="15"/>
        <w:jc w:val="left"/>
        <w:rPr>
          <w:b/>
          <w:color w:val="000000"/>
          <w:kern w:val="0"/>
        </w:rPr>
      </w:pPr>
      <w:r>
        <w:rPr>
          <w:b/>
          <w:color w:val="000000"/>
          <w:kern w:val="0"/>
        </w:rPr>
        <w:t>10</w:t>
      </w:r>
      <w:r w:rsidR="004061AC" w:rsidRPr="00514C11">
        <w:rPr>
          <w:b/>
          <w:color w:val="000000"/>
          <w:kern w:val="0"/>
        </w:rPr>
        <w:t>.</w:t>
      </w:r>
      <w:r w:rsidR="00676095" w:rsidRPr="00514C11">
        <w:rPr>
          <w:b/>
          <w:color w:val="000000"/>
          <w:kern w:val="0"/>
        </w:rPr>
        <w:t>1</w:t>
      </w:r>
      <w:r w:rsidR="004061AC" w:rsidRPr="00514C11">
        <w:rPr>
          <w:b/>
          <w:color w:val="000000"/>
          <w:kern w:val="0"/>
        </w:rPr>
        <w:t xml:space="preserve"> </w:t>
      </w:r>
      <w:r w:rsidR="004061AC" w:rsidRPr="00514C11">
        <w:rPr>
          <w:b/>
          <w:color w:val="000000"/>
          <w:kern w:val="0"/>
        </w:rPr>
        <w:t>备查文件目录</w:t>
      </w:r>
    </w:p>
    <w:p w:rsidR="00077707" w:rsidRDefault="00852D50">
      <w:pPr>
        <w:adjustRightInd w:val="0"/>
        <w:spacing w:before="29" w:line="360" w:lineRule="auto"/>
        <w:ind w:firstLineChars="200" w:firstLine="420"/>
        <w:rPr>
          <w:color w:val="000000"/>
        </w:rPr>
      </w:pPr>
      <w:r>
        <w:rPr>
          <w:color w:val="000000"/>
        </w:rPr>
        <w:t>1</w:t>
      </w:r>
      <w:r>
        <w:rPr>
          <w:color w:val="000000"/>
        </w:rPr>
        <w:t>、中国证监会准予交银施罗德荣和保本混合型证券投资基金募集注册的文件；</w:t>
      </w:r>
      <w:r>
        <w:rPr>
          <w:color w:val="000000"/>
        </w:rPr>
        <w:t xml:space="preserve"> </w:t>
      </w:r>
    </w:p>
    <w:p w:rsidR="00077707" w:rsidRDefault="00852D50">
      <w:pPr>
        <w:adjustRightInd w:val="0"/>
        <w:spacing w:before="29" w:line="360" w:lineRule="auto"/>
        <w:ind w:firstLineChars="200" w:firstLine="420"/>
        <w:rPr>
          <w:color w:val="000000"/>
        </w:rPr>
      </w:pPr>
      <w:r>
        <w:rPr>
          <w:color w:val="000000"/>
        </w:rPr>
        <w:t>2</w:t>
      </w:r>
      <w:r>
        <w:rPr>
          <w:color w:val="000000"/>
        </w:rPr>
        <w:t>、《交银施罗德安心收益债券型证券投资基金基金合同》；</w:t>
      </w:r>
      <w:r>
        <w:rPr>
          <w:color w:val="000000"/>
        </w:rPr>
        <w:t xml:space="preserve"> </w:t>
      </w:r>
    </w:p>
    <w:p w:rsidR="00077707" w:rsidRDefault="00852D50">
      <w:pPr>
        <w:adjustRightInd w:val="0"/>
        <w:spacing w:before="29" w:line="360" w:lineRule="auto"/>
        <w:ind w:firstLineChars="200" w:firstLine="420"/>
        <w:rPr>
          <w:color w:val="000000"/>
        </w:rPr>
      </w:pPr>
      <w:r>
        <w:rPr>
          <w:color w:val="000000"/>
        </w:rPr>
        <w:t>3</w:t>
      </w:r>
      <w:r>
        <w:rPr>
          <w:color w:val="000000"/>
        </w:rPr>
        <w:t>、《交银施罗德安心收益债券型证券投资基金招募说明书》；</w:t>
      </w:r>
      <w:r>
        <w:rPr>
          <w:color w:val="000000"/>
        </w:rPr>
        <w:t xml:space="preserve"> </w:t>
      </w:r>
    </w:p>
    <w:p w:rsidR="00077707" w:rsidRDefault="00852D50">
      <w:pPr>
        <w:adjustRightInd w:val="0"/>
        <w:spacing w:before="29" w:line="360" w:lineRule="auto"/>
        <w:ind w:firstLineChars="200" w:firstLine="420"/>
        <w:rPr>
          <w:color w:val="000000"/>
        </w:rPr>
      </w:pPr>
      <w:r>
        <w:rPr>
          <w:color w:val="000000"/>
        </w:rPr>
        <w:t>4</w:t>
      </w:r>
      <w:r>
        <w:rPr>
          <w:color w:val="000000"/>
        </w:rPr>
        <w:t>、《交银施罗德安心收益债券型证券投资基金托管协议》；</w:t>
      </w:r>
      <w:r>
        <w:rPr>
          <w:color w:val="000000"/>
        </w:rPr>
        <w:t xml:space="preserve"> </w:t>
      </w:r>
    </w:p>
    <w:p w:rsidR="00077707" w:rsidRDefault="00852D50">
      <w:pPr>
        <w:adjustRightInd w:val="0"/>
        <w:spacing w:before="29" w:line="360" w:lineRule="auto"/>
        <w:ind w:firstLineChars="200" w:firstLine="420"/>
        <w:rPr>
          <w:color w:val="000000"/>
        </w:rPr>
      </w:pPr>
      <w:r>
        <w:rPr>
          <w:color w:val="000000"/>
        </w:rPr>
        <w:t>5</w:t>
      </w:r>
      <w:r>
        <w:rPr>
          <w:color w:val="000000"/>
        </w:rPr>
        <w:t>、《交银施罗德荣和保本混合型证券投资基金基金合同》；</w:t>
      </w:r>
      <w:r>
        <w:rPr>
          <w:color w:val="000000"/>
        </w:rPr>
        <w:t xml:space="preserve"> </w:t>
      </w:r>
    </w:p>
    <w:p w:rsidR="00077707" w:rsidRDefault="00852D50">
      <w:pPr>
        <w:adjustRightInd w:val="0"/>
        <w:spacing w:before="29" w:line="360" w:lineRule="auto"/>
        <w:ind w:firstLineChars="200" w:firstLine="420"/>
        <w:rPr>
          <w:color w:val="000000"/>
        </w:rPr>
      </w:pPr>
      <w:r>
        <w:rPr>
          <w:color w:val="000000"/>
        </w:rPr>
        <w:t>6</w:t>
      </w:r>
      <w:r>
        <w:rPr>
          <w:color w:val="000000"/>
        </w:rPr>
        <w:t>、《交银施罗德荣和保本混合型证券投资基金招募说明书》；</w:t>
      </w:r>
      <w:r>
        <w:rPr>
          <w:color w:val="000000"/>
        </w:rPr>
        <w:t xml:space="preserve"> </w:t>
      </w:r>
    </w:p>
    <w:p w:rsidR="00077707" w:rsidRDefault="00852D50">
      <w:pPr>
        <w:adjustRightInd w:val="0"/>
        <w:spacing w:before="29" w:line="360" w:lineRule="auto"/>
        <w:ind w:firstLineChars="200" w:firstLine="420"/>
        <w:rPr>
          <w:color w:val="000000"/>
        </w:rPr>
      </w:pPr>
      <w:r>
        <w:rPr>
          <w:color w:val="000000"/>
        </w:rPr>
        <w:t>7</w:t>
      </w:r>
      <w:r>
        <w:rPr>
          <w:color w:val="000000"/>
        </w:rPr>
        <w:t>、《交银施罗德荣和保本混合型证券投资基金托管协议》；</w:t>
      </w:r>
      <w:r>
        <w:rPr>
          <w:color w:val="000000"/>
        </w:rPr>
        <w:t xml:space="preserve"> </w:t>
      </w:r>
    </w:p>
    <w:p w:rsidR="00077707" w:rsidRDefault="00852D50">
      <w:pPr>
        <w:adjustRightInd w:val="0"/>
        <w:spacing w:before="29" w:line="360" w:lineRule="auto"/>
        <w:ind w:firstLineChars="200" w:firstLine="420"/>
        <w:rPr>
          <w:color w:val="000000"/>
        </w:rPr>
      </w:pPr>
      <w:r>
        <w:rPr>
          <w:color w:val="000000"/>
        </w:rPr>
        <w:t>8</w:t>
      </w:r>
      <w:r>
        <w:rPr>
          <w:color w:val="000000"/>
        </w:rPr>
        <w:t>、《交银施罗德荣和保本混合型证券投资基金保证合同》；</w:t>
      </w:r>
    </w:p>
    <w:p w:rsidR="00077707" w:rsidRDefault="00852D50">
      <w:pPr>
        <w:adjustRightInd w:val="0"/>
        <w:spacing w:before="29" w:line="360" w:lineRule="auto"/>
        <w:ind w:firstLineChars="200" w:firstLine="420"/>
        <w:rPr>
          <w:color w:val="000000"/>
        </w:rPr>
      </w:pPr>
      <w:r>
        <w:rPr>
          <w:color w:val="000000"/>
        </w:rPr>
        <w:t>9</w:t>
      </w:r>
      <w:r>
        <w:rPr>
          <w:color w:val="000000"/>
        </w:rPr>
        <w:t>、基金管理人业务资格批件、营业执照；</w:t>
      </w:r>
      <w:r>
        <w:rPr>
          <w:color w:val="000000"/>
        </w:rPr>
        <w:t xml:space="preserve"> </w:t>
      </w:r>
    </w:p>
    <w:p w:rsidR="00077707" w:rsidRDefault="00852D50">
      <w:pPr>
        <w:adjustRightInd w:val="0"/>
        <w:spacing w:before="29" w:line="360" w:lineRule="auto"/>
        <w:ind w:firstLineChars="200" w:firstLine="420"/>
        <w:rPr>
          <w:color w:val="000000"/>
        </w:rPr>
      </w:pPr>
      <w:r>
        <w:rPr>
          <w:color w:val="000000"/>
        </w:rPr>
        <w:t>10</w:t>
      </w:r>
      <w:r>
        <w:rPr>
          <w:color w:val="000000"/>
        </w:rPr>
        <w:t>、基金托管人业务资格批件、营业执照；</w:t>
      </w:r>
      <w:r>
        <w:rPr>
          <w:color w:val="000000"/>
        </w:rPr>
        <w:t xml:space="preserve"> </w:t>
      </w:r>
    </w:p>
    <w:p w:rsidR="00077707" w:rsidRDefault="00852D50">
      <w:pPr>
        <w:adjustRightInd w:val="0"/>
        <w:spacing w:before="29" w:line="360" w:lineRule="auto"/>
        <w:ind w:firstLineChars="200" w:firstLine="420"/>
        <w:rPr>
          <w:color w:val="000000"/>
        </w:rPr>
      </w:pPr>
      <w:r>
        <w:rPr>
          <w:color w:val="000000"/>
        </w:rPr>
        <w:t>11</w:t>
      </w:r>
      <w:r>
        <w:rPr>
          <w:color w:val="000000"/>
        </w:rPr>
        <w:t>、关于申请募集注册交银施罗德荣和保本混合型证券投资基金的法律意见书；</w:t>
      </w:r>
      <w:r>
        <w:rPr>
          <w:color w:val="000000"/>
        </w:rPr>
        <w:t xml:space="preserve"> </w:t>
      </w:r>
    </w:p>
    <w:p w:rsidR="00077707" w:rsidRDefault="00852D50">
      <w:pPr>
        <w:adjustRightInd w:val="0"/>
        <w:spacing w:before="29" w:line="360" w:lineRule="auto"/>
        <w:ind w:firstLineChars="200" w:firstLine="420"/>
        <w:rPr>
          <w:color w:val="000000"/>
        </w:rPr>
      </w:pPr>
      <w:r>
        <w:rPr>
          <w:color w:val="000000"/>
        </w:rPr>
        <w:t>12</w:t>
      </w:r>
      <w:r>
        <w:rPr>
          <w:color w:val="000000"/>
        </w:rPr>
        <w:t>、关于修改《交银施罗德荣和保本混合型证券投资基金基金合同》的法律意见书</w:t>
      </w:r>
    </w:p>
    <w:p w:rsidR="004061AC" w:rsidRPr="00514C11" w:rsidRDefault="006D7FF8" w:rsidP="00DB1533">
      <w:pPr>
        <w:adjustRightInd w:val="0"/>
        <w:spacing w:before="29" w:line="360" w:lineRule="auto"/>
        <w:ind w:firstLineChars="200" w:firstLine="420"/>
        <w:rPr>
          <w:color w:val="000000"/>
        </w:rPr>
      </w:pPr>
      <w:r w:rsidRPr="00514C11">
        <w:rPr>
          <w:color w:val="000000"/>
        </w:rPr>
        <w:t>13</w:t>
      </w:r>
      <w:r w:rsidRPr="00514C11">
        <w:rPr>
          <w:color w:val="000000"/>
        </w:rPr>
        <w:t>、报告期内交银施罗德荣和保本混合型证券投资基金、交银施罗德安心收益债券型证券投资基金在指定报刊上各项公告的原稿。</w:t>
      </w:r>
    </w:p>
    <w:p w:rsidR="004061AC" w:rsidRPr="00514C11" w:rsidRDefault="006A7EE4" w:rsidP="00DB1533">
      <w:pPr>
        <w:autoSpaceDE w:val="0"/>
        <w:autoSpaceDN w:val="0"/>
        <w:adjustRightInd w:val="0"/>
        <w:spacing w:before="29" w:line="360" w:lineRule="auto"/>
        <w:ind w:left="15"/>
        <w:jc w:val="left"/>
        <w:rPr>
          <w:b/>
          <w:color w:val="000000"/>
          <w:kern w:val="0"/>
        </w:rPr>
      </w:pPr>
      <w:r>
        <w:rPr>
          <w:b/>
          <w:color w:val="000000"/>
          <w:kern w:val="0"/>
        </w:rPr>
        <w:t>10</w:t>
      </w:r>
      <w:r w:rsidR="004061AC" w:rsidRPr="00514C11">
        <w:rPr>
          <w:b/>
          <w:color w:val="000000"/>
          <w:kern w:val="0"/>
        </w:rPr>
        <w:t>.</w:t>
      </w:r>
      <w:r w:rsidR="00676095" w:rsidRPr="00514C11">
        <w:rPr>
          <w:b/>
          <w:color w:val="000000"/>
          <w:kern w:val="0"/>
        </w:rPr>
        <w:t>2</w:t>
      </w:r>
      <w:r w:rsidR="004061AC" w:rsidRPr="00514C11">
        <w:rPr>
          <w:b/>
          <w:color w:val="000000"/>
          <w:kern w:val="0"/>
        </w:rPr>
        <w:t xml:space="preserve"> </w:t>
      </w:r>
      <w:r w:rsidR="004061AC" w:rsidRPr="00514C11">
        <w:rPr>
          <w:b/>
          <w:color w:val="000000"/>
          <w:kern w:val="0"/>
        </w:rPr>
        <w:t>存放地点</w:t>
      </w:r>
    </w:p>
    <w:p w:rsidR="004061AC" w:rsidRPr="00514C11" w:rsidRDefault="006D7FF8" w:rsidP="00DB1533">
      <w:pPr>
        <w:adjustRightInd w:val="0"/>
        <w:spacing w:before="29" w:line="360" w:lineRule="auto"/>
        <w:ind w:firstLineChars="200" w:firstLine="420"/>
        <w:rPr>
          <w:color w:val="000000"/>
        </w:rPr>
      </w:pPr>
      <w:r w:rsidRPr="00514C11">
        <w:rPr>
          <w:color w:val="000000"/>
        </w:rPr>
        <w:t>备查文件存放于基金管理人的办公场所。</w:t>
      </w:r>
    </w:p>
    <w:p w:rsidR="004061AC" w:rsidRPr="00514C11" w:rsidRDefault="006A7EE4" w:rsidP="00DB1533">
      <w:pPr>
        <w:autoSpaceDE w:val="0"/>
        <w:autoSpaceDN w:val="0"/>
        <w:adjustRightInd w:val="0"/>
        <w:spacing w:before="29" w:line="360" w:lineRule="auto"/>
        <w:ind w:left="15"/>
        <w:jc w:val="left"/>
        <w:rPr>
          <w:b/>
          <w:color w:val="000000"/>
          <w:kern w:val="0"/>
        </w:rPr>
      </w:pPr>
      <w:r>
        <w:rPr>
          <w:b/>
          <w:color w:val="000000"/>
          <w:kern w:val="0"/>
        </w:rPr>
        <w:t>10</w:t>
      </w:r>
      <w:r w:rsidR="004061AC" w:rsidRPr="00514C11">
        <w:rPr>
          <w:b/>
          <w:color w:val="000000"/>
          <w:kern w:val="0"/>
        </w:rPr>
        <w:t>.</w:t>
      </w:r>
      <w:r w:rsidR="00676095" w:rsidRPr="00514C11">
        <w:rPr>
          <w:b/>
          <w:color w:val="000000"/>
          <w:kern w:val="0"/>
        </w:rPr>
        <w:t>3</w:t>
      </w:r>
      <w:r w:rsidR="004061AC" w:rsidRPr="00514C11">
        <w:rPr>
          <w:b/>
          <w:color w:val="000000"/>
          <w:kern w:val="0"/>
        </w:rPr>
        <w:t xml:space="preserve"> </w:t>
      </w:r>
      <w:r w:rsidR="004061AC" w:rsidRPr="00514C11">
        <w:rPr>
          <w:b/>
          <w:color w:val="000000"/>
          <w:kern w:val="0"/>
        </w:rPr>
        <w:t>查阅方式</w:t>
      </w:r>
    </w:p>
    <w:p w:rsidR="00077707" w:rsidRDefault="00852D50">
      <w:pPr>
        <w:adjustRightInd w:val="0"/>
        <w:spacing w:before="29" w:line="360" w:lineRule="auto"/>
        <w:ind w:firstLineChars="200" w:firstLine="420"/>
        <w:rPr>
          <w:color w:val="000000"/>
        </w:rPr>
      </w:pPr>
      <w:r>
        <w:rPr>
          <w:color w:val="000000"/>
        </w:rPr>
        <w:t>投资者可在办公时间内至基金管理人的办公场所免费查阅备查文件，或者登录基金管理人的网站</w:t>
      </w:r>
      <w:r>
        <w:rPr>
          <w:color w:val="000000"/>
        </w:rPr>
        <w:t>(www.fund001.com)</w:t>
      </w:r>
      <w:r>
        <w:rPr>
          <w:color w:val="000000"/>
        </w:rPr>
        <w:t>查阅。在支付工本费后，投资者可在合理时间内取得上述文件的复制件或复印件。</w:t>
      </w:r>
      <w:r>
        <w:rPr>
          <w:color w:val="000000"/>
        </w:rPr>
        <w:t xml:space="preserve"> </w:t>
      </w:r>
    </w:p>
    <w:p w:rsidR="00636DB7" w:rsidRPr="00514C11" w:rsidRDefault="006D7FF8" w:rsidP="00DB1533">
      <w:pPr>
        <w:adjustRightInd w:val="0"/>
        <w:spacing w:before="29" w:line="360" w:lineRule="auto"/>
        <w:ind w:firstLineChars="200" w:firstLine="420"/>
        <w:rPr>
          <w:color w:val="000000"/>
        </w:rPr>
      </w:pPr>
      <w:r w:rsidRPr="00514C11">
        <w:rPr>
          <w:color w:val="000000"/>
        </w:rPr>
        <w:t>投资者对本报告书如有疑问，可咨询本基金管理人交银施罗德基金管理有限公司。本公司客户服务中心电话：</w:t>
      </w:r>
      <w:r w:rsidRPr="00514C11">
        <w:rPr>
          <w:color w:val="000000"/>
        </w:rPr>
        <w:t>400-700-5000</w:t>
      </w:r>
      <w:r w:rsidRPr="00514C11">
        <w:rPr>
          <w:color w:val="000000"/>
        </w:rPr>
        <w:t>（免长途话费），</w:t>
      </w:r>
      <w:r w:rsidRPr="00514C11">
        <w:rPr>
          <w:color w:val="000000"/>
        </w:rPr>
        <w:t>021-61055000</w:t>
      </w:r>
      <w:r w:rsidRPr="00514C11">
        <w:rPr>
          <w:color w:val="000000"/>
        </w:rPr>
        <w:t>，电子邮件：</w:t>
      </w:r>
      <w:r w:rsidRPr="00514C11">
        <w:rPr>
          <w:color w:val="000000"/>
        </w:rPr>
        <w:t>services@jysld.com</w:t>
      </w:r>
    </w:p>
    <w:p w:rsidR="004061AC" w:rsidRPr="00514C11" w:rsidRDefault="004061AC" w:rsidP="00DB1533">
      <w:pPr>
        <w:spacing w:line="360" w:lineRule="auto"/>
        <w:ind w:left="840"/>
        <w:jc w:val="right"/>
        <w:rPr>
          <w:rFonts w:eastAsiaTheme="minorEastAsia"/>
          <w:color w:val="000000" w:themeColor="text1"/>
        </w:rPr>
      </w:pPr>
    </w:p>
    <w:p w:rsidR="00C71497" w:rsidRPr="00514C11" w:rsidRDefault="00C71497" w:rsidP="00DB1533">
      <w:pPr>
        <w:spacing w:line="360" w:lineRule="auto"/>
        <w:ind w:left="840"/>
        <w:jc w:val="right"/>
        <w:rPr>
          <w:rFonts w:eastAsiaTheme="minorEastAsia"/>
          <w:color w:val="000000" w:themeColor="text1"/>
        </w:rPr>
      </w:pPr>
    </w:p>
    <w:p w:rsidR="00C71497" w:rsidRPr="00514C11" w:rsidRDefault="00C71497" w:rsidP="00DB1533">
      <w:pPr>
        <w:spacing w:line="360" w:lineRule="auto"/>
        <w:ind w:left="840"/>
        <w:jc w:val="right"/>
        <w:rPr>
          <w:rFonts w:eastAsiaTheme="minorEastAsia"/>
          <w:color w:val="000000" w:themeColor="text1"/>
        </w:rPr>
      </w:pPr>
    </w:p>
    <w:p w:rsidR="00C71497" w:rsidRPr="00514C11" w:rsidRDefault="00C71497" w:rsidP="00DB1533">
      <w:pPr>
        <w:spacing w:line="360" w:lineRule="auto"/>
        <w:ind w:left="840"/>
        <w:jc w:val="right"/>
        <w:rPr>
          <w:rFonts w:eastAsiaTheme="minorEastAsia"/>
          <w:color w:val="000000" w:themeColor="text1"/>
        </w:rPr>
      </w:pPr>
    </w:p>
    <w:p w:rsidR="00C71497" w:rsidRPr="00514C11" w:rsidRDefault="00C71497" w:rsidP="00DB1533">
      <w:pPr>
        <w:spacing w:line="360" w:lineRule="auto"/>
        <w:ind w:left="840"/>
        <w:jc w:val="right"/>
        <w:rPr>
          <w:rFonts w:eastAsiaTheme="minorEastAsia"/>
          <w:color w:val="000000" w:themeColor="text1"/>
        </w:rPr>
      </w:pPr>
    </w:p>
    <w:p w:rsidR="00C71497" w:rsidRPr="00514C11" w:rsidRDefault="00C71497" w:rsidP="00DB1533">
      <w:pPr>
        <w:spacing w:line="360" w:lineRule="auto"/>
        <w:ind w:left="840"/>
        <w:jc w:val="right"/>
        <w:rPr>
          <w:rFonts w:eastAsiaTheme="minorEastAsia"/>
          <w:color w:val="000000" w:themeColor="text1"/>
        </w:rPr>
      </w:pPr>
    </w:p>
    <w:p w:rsidR="004061AC" w:rsidRPr="00514C11" w:rsidRDefault="004061AC" w:rsidP="00DB1533">
      <w:pPr>
        <w:spacing w:line="360" w:lineRule="auto"/>
        <w:ind w:left="840"/>
        <w:jc w:val="right"/>
        <w:rPr>
          <w:rFonts w:eastAsiaTheme="minorEastAsia"/>
          <w:color w:val="000000" w:themeColor="text1"/>
        </w:rPr>
      </w:pPr>
    </w:p>
    <w:p w:rsidR="004061AC" w:rsidRPr="00514C11" w:rsidRDefault="004061AC" w:rsidP="00DB1533">
      <w:pPr>
        <w:spacing w:line="360" w:lineRule="auto"/>
        <w:ind w:left="840"/>
        <w:jc w:val="right"/>
        <w:rPr>
          <w:rFonts w:eastAsiaTheme="minorEastAsia"/>
          <w:color w:val="000000" w:themeColor="text1"/>
        </w:rPr>
      </w:pPr>
    </w:p>
    <w:p w:rsidR="004061AC" w:rsidRPr="003D2311" w:rsidRDefault="00832A00" w:rsidP="00DB1533">
      <w:pPr>
        <w:spacing w:line="360" w:lineRule="auto"/>
        <w:jc w:val="right"/>
        <w:rPr>
          <w:rFonts w:eastAsiaTheme="minorEastAsia"/>
          <w:b/>
          <w:bCs/>
          <w:color w:val="000000" w:themeColor="text1"/>
          <w:sz w:val="24"/>
          <w:szCs w:val="24"/>
        </w:rPr>
      </w:pPr>
      <w:r w:rsidRPr="003D2311">
        <w:rPr>
          <w:rFonts w:eastAsiaTheme="minorEastAsia"/>
          <w:b/>
          <w:bCs/>
          <w:color w:val="000000" w:themeColor="text1"/>
          <w:sz w:val="24"/>
          <w:szCs w:val="24"/>
        </w:rPr>
        <w:t>交银施罗德基金管理有限公司</w:t>
      </w:r>
    </w:p>
    <w:p w:rsidR="004061AC" w:rsidRPr="003D2311" w:rsidRDefault="00945AF6" w:rsidP="00DB1533">
      <w:pPr>
        <w:spacing w:line="360" w:lineRule="auto"/>
        <w:jc w:val="right"/>
        <w:rPr>
          <w:rFonts w:eastAsiaTheme="minorEastAsia"/>
          <w:b/>
          <w:bCs/>
          <w:color w:val="000000" w:themeColor="text1"/>
          <w:sz w:val="24"/>
          <w:szCs w:val="24"/>
        </w:rPr>
      </w:pPr>
      <w:r w:rsidRPr="003D2311">
        <w:rPr>
          <w:rFonts w:eastAsiaTheme="minorEastAsia"/>
          <w:b/>
          <w:bCs/>
          <w:color w:val="000000" w:themeColor="text1"/>
          <w:sz w:val="24"/>
          <w:szCs w:val="24"/>
        </w:rPr>
        <w:t>二〇一八年七月十八日</w:t>
      </w:r>
    </w:p>
    <w:p w:rsidR="00A90049" w:rsidRPr="00514C11" w:rsidRDefault="00A90049" w:rsidP="00DB1533">
      <w:pPr>
        <w:spacing w:line="360" w:lineRule="auto"/>
        <w:rPr>
          <w:rFonts w:eastAsiaTheme="minorEastAsia"/>
          <w:color w:val="000000" w:themeColor="text1"/>
        </w:rPr>
      </w:pPr>
    </w:p>
    <w:sectPr w:rsidR="00A90049" w:rsidRPr="00514C11" w:rsidSect="00304A12">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92" w:rsidRDefault="009B4A92" w:rsidP="00876D65">
      <w:r>
        <w:separator/>
      </w:r>
    </w:p>
  </w:endnote>
  <w:endnote w:type="continuationSeparator" w:id="0">
    <w:p w:rsidR="009B4A92" w:rsidRDefault="009B4A9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3B" w:rsidRPr="001D0DB0" w:rsidRDefault="00D0083B" w:rsidP="00F11104">
    <w:pPr>
      <w:pStyle w:val="a6"/>
      <w:tabs>
        <w:tab w:val="left" w:pos="4215"/>
        <w:tab w:val="center" w:pos="4545"/>
      </w:tabs>
    </w:pPr>
    <w:r>
      <w:ptab w:relativeTo="margin" w:alignment="center" w:leader="none"/>
    </w:r>
    <w:r>
      <w:ptab w:relativeTo="margin" w:alignment="center" w:leader="none"/>
    </w:r>
    <w:r w:rsidR="00272557">
      <w:fldChar w:fldCharType="begin"/>
    </w:r>
    <w:r>
      <w:instrText xml:space="preserve"> PAGE   \* MERGEFORMAT </w:instrText>
    </w:r>
    <w:r w:rsidR="00272557">
      <w:fldChar w:fldCharType="separate"/>
    </w:r>
    <w:r w:rsidR="00A03539" w:rsidRPr="00A03539">
      <w:rPr>
        <w:noProof/>
        <w:lang w:val="zh-CN"/>
      </w:rPr>
      <w:t>1</w:t>
    </w:r>
    <w:r w:rsidR="00272557">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3B" w:rsidRDefault="00272557">
    <w:pPr>
      <w:pStyle w:val="a6"/>
      <w:framePr w:wrap="auto" w:vAnchor="text" w:hAnchor="margin" w:xAlign="center" w:y="1"/>
      <w:rPr>
        <w:rStyle w:val="a7"/>
      </w:rPr>
    </w:pPr>
    <w:r>
      <w:rPr>
        <w:rStyle w:val="a7"/>
      </w:rPr>
      <w:fldChar w:fldCharType="begin"/>
    </w:r>
    <w:r w:rsidR="00D0083B">
      <w:rPr>
        <w:rStyle w:val="a7"/>
      </w:rPr>
      <w:instrText xml:space="preserve">PAGE  </w:instrText>
    </w:r>
    <w:r>
      <w:rPr>
        <w:rStyle w:val="a7"/>
      </w:rPr>
      <w:fldChar w:fldCharType="separate"/>
    </w:r>
    <w:r w:rsidR="00A03539">
      <w:rPr>
        <w:rStyle w:val="a7"/>
        <w:noProof/>
      </w:rPr>
      <w:t>8</w:t>
    </w:r>
    <w:r>
      <w:rPr>
        <w:rStyle w:val="a7"/>
      </w:rPr>
      <w:fldChar w:fldCharType="end"/>
    </w:r>
  </w:p>
  <w:p w:rsidR="00D0083B" w:rsidRDefault="00D008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92" w:rsidRDefault="009B4A92" w:rsidP="00876D65">
      <w:r>
        <w:separator/>
      </w:r>
    </w:p>
  </w:footnote>
  <w:footnote w:type="continuationSeparator" w:id="0">
    <w:p w:rsidR="009B4A92" w:rsidRDefault="009B4A9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3B" w:rsidRPr="00630411" w:rsidRDefault="00D0083B" w:rsidP="00630411">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373D"/>
    <w:rsid w:val="00014099"/>
    <w:rsid w:val="00014A49"/>
    <w:rsid w:val="000160C5"/>
    <w:rsid w:val="000210E7"/>
    <w:rsid w:val="00026C7B"/>
    <w:rsid w:val="00031EBB"/>
    <w:rsid w:val="00033B8D"/>
    <w:rsid w:val="0004028B"/>
    <w:rsid w:val="00043852"/>
    <w:rsid w:val="000450DD"/>
    <w:rsid w:val="000463DE"/>
    <w:rsid w:val="000554C5"/>
    <w:rsid w:val="000743CA"/>
    <w:rsid w:val="00074F07"/>
    <w:rsid w:val="00077707"/>
    <w:rsid w:val="00080F17"/>
    <w:rsid w:val="0008313A"/>
    <w:rsid w:val="000907D2"/>
    <w:rsid w:val="00090A26"/>
    <w:rsid w:val="000A1203"/>
    <w:rsid w:val="000A12EA"/>
    <w:rsid w:val="000A2B53"/>
    <w:rsid w:val="000B266F"/>
    <w:rsid w:val="000B624F"/>
    <w:rsid w:val="000B73C6"/>
    <w:rsid w:val="000C190B"/>
    <w:rsid w:val="000C1E17"/>
    <w:rsid w:val="000C3A61"/>
    <w:rsid w:val="000C5216"/>
    <w:rsid w:val="000D0E6C"/>
    <w:rsid w:val="000D2282"/>
    <w:rsid w:val="000D3ED4"/>
    <w:rsid w:val="000D4AE7"/>
    <w:rsid w:val="000F1065"/>
    <w:rsid w:val="000F6CC8"/>
    <w:rsid w:val="0010032F"/>
    <w:rsid w:val="001053C9"/>
    <w:rsid w:val="00107825"/>
    <w:rsid w:val="00111261"/>
    <w:rsid w:val="00114ACE"/>
    <w:rsid w:val="00114F43"/>
    <w:rsid w:val="00137452"/>
    <w:rsid w:val="00144F93"/>
    <w:rsid w:val="001465AF"/>
    <w:rsid w:val="00147376"/>
    <w:rsid w:val="00150192"/>
    <w:rsid w:val="00150752"/>
    <w:rsid w:val="00150E7E"/>
    <w:rsid w:val="00151955"/>
    <w:rsid w:val="00154BE1"/>
    <w:rsid w:val="00160EDC"/>
    <w:rsid w:val="001631C7"/>
    <w:rsid w:val="001675CD"/>
    <w:rsid w:val="00171EF0"/>
    <w:rsid w:val="00175D4F"/>
    <w:rsid w:val="001761D2"/>
    <w:rsid w:val="001830D7"/>
    <w:rsid w:val="00185A34"/>
    <w:rsid w:val="001911DE"/>
    <w:rsid w:val="00196E6C"/>
    <w:rsid w:val="001A73E8"/>
    <w:rsid w:val="001B0A62"/>
    <w:rsid w:val="001B2F35"/>
    <w:rsid w:val="001C0993"/>
    <w:rsid w:val="001C71E4"/>
    <w:rsid w:val="001C78B2"/>
    <w:rsid w:val="001C79F2"/>
    <w:rsid w:val="001D025B"/>
    <w:rsid w:val="001D028F"/>
    <w:rsid w:val="001D63BB"/>
    <w:rsid w:val="001D6A4B"/>
    <w:rsid w:val="001E4630"/>
    <w:rsid w:val="001E5E30"/>
    <w:rsid w:val="001E5FFF"/>
    <w:rsid w:val="001F0964"/>
    <w:rsid w:val="001F30DA"/>
    <w:rsid w:val="001F44FA"/>
    <w:rsid w:val="001F5DC5"/>
    <w:rsid w:val="001F605E"/>
    <w:rsid w:val="00200FAB"/>
    <w:rsid w:val="0020150F"/>
    <w:rsid w:val="00213821"/>
    <w:rsid w:val="00217B92"/>
    <w:rsid w:val="00220C32"/>
    <w:rsid w:val="002279D3"/>
    <w:rsid w:val="00237F09"/>
    <w:rsid w:val="00240248"/>
    <w:rsid w:val="0024363B"/>
    <w:rsid w:val="00261111"/>
    <w:rsid w:val="00264E55"/>
    <w:rsid w:val="00272557"/>
    <w:rsid w:val="00275745"/>
    <w:rsid w:val="0027688F"/>
    <w:rsid w:val="00276E44"/>
    <w:rsid w:val="00281106"/>
    <w:rsid w:val="002835C9"/>
    <w:rsid w:val="00286BEF"/>
    <w:rsid w:val="00286FA2"/>
    <w:rsid w:val="002918E3"/>
    <w:rsid w:val="00296604"/>
    <w:rsid w:val="002973A9"/>
    <w:rsid w:val="002A74F2"/>
    <w:rsid w:val="002B0951"/>
    <w:rsid w:val="002B1D1A"/>
    <w:rsid w:val="002B7BAF"/>
    <w:rsid w:val="002C4B83"/>
    <w:rsid w:val="002D6FB6"/>
    <w:rsid w:val="002E1B9F"/>
    <w:rsid w:val="002E3B09"/>
    <w:rsid w:val="002E52B3"/>
    <w:rsid w:val="002E594D"/>
    <w:rsid w:val="00304A12"/>
    <w:rsid w:val="00305636"/>
    <w:rsid w:val="00307023"/>
    <w:rsid w:val="00311662"/>
    <w:rsid w:val="0031198B"/>
    <w:rsid w:val="00312A9F"/>
    <w:rsid w:val="00315D5D"/>
    <w:rsid w:val="00316484"/>
    <w:rsid w:val="00316E01"/>
    <w:rsid w:val="00320300"/>
    <w:rsid w:val="00324508"/>
    <w:rsid w:val="003259C8"/>
    <w:rsid w:val="003307FE"/>
    <w:rsid w:val="00343B7A"/>
    <w:rsid w:val="003470E2"/>
    <w:rsid w:val="0035040C"/>
    <w:rsid w:val="00352719"/>
    <w:rsid w:val="00355364"/>
    <w:rsid w:val="0035611C"/>
    <w:rsid w:val="003649E6"/>
    <w:rsid w:val="00364CCB"/>
    <w:rsid w:val="00364CE6"/>
    <w:rsid w:val="00375DB3"/>
    <w:rsid w:val="0038505C"/>
    <w:rsid w:val="0039085F"/>
    <w:rsid w:val="00394069"/>
    <w:rsid w:val="003A5489"/>
    <w:rsid w:val="003A6061"/>
    <w:rsid w:val="003B1826"/>
    <w:rsid w:val="003B6FBC"/>
    <w:rsid w:val="003C41E2"/>
    <w:rsid w:val="003D2311"/>
    <w:rsid w:val="003E2240"/>
    <w:rsid w:val="003E3B2A"/>
    <w:rsid w:val="003E62FB"/>
    <w:rsid w:val="003F0AA2"/>
    <w:rsid w:val="003F39DF"/>
    <w:rsid w:val="003F63BE"/>
    <w:rsid w:val="004061AC"/>
    <w:rsid w:val="004066D4"/>
    <w:rsid w:val="00406C52"/>
    <w:rsid w:val="00412748"/>
    <w:rsid w:val="004149AC"/>
    <w:rsid w:val="0042009D"/>
    <w:rsid w:val="00426106"/>
    <w:rsid w:val="00427F58"/>
    <w:rsid w:val="00433805"/>
    <w:rsid w:val="004368FD"/>
    <w:rsid w:val="00446779"/>
    <w:rsid w:val="00471408"/>
    <w:rsid w:val="00484E03"/>
    <w:rsid w:val="004858E0"/>
    <w:rsid w:val="004934E9"/>
    <w:rsid w:val="004943C2"/>
    <w:rsid w:val="00496743"/>
    <w:rsid w:val="004A11A7"/>
    <w:rsid w:val="004B1932"/>
    <w:rsid w:val="004C702F"/>
    <w:rsid w:val="004D493E"/>
    <w:rsid w:val="004D495A"/>
    <w:rsid w:val="004D770C"/>
    <w:rsid w:val="004E5975"/>
    <w:rsid w:val="004E790A"/>
    <w:rsid w:val="004F4C9E"/>
    <w:rsid w:val="004F50FD"/>
    <w:rsid w:val="004F5911"/>
    <w:rsid w:val="00500059"/>
    <w:rsid w:val="00500A03"/>
    <w:rsid w:val="00503D89"/>
    <w:rsid w:val="00505701"/>
    <w:rsid w:val="00512200"/>
    <w:rsid w:val="005143CD"/>
    <w:rsid w:val="005144F2"/>
    <w:rsid w:val="005145B8"/>
    <w:rsid w:val="00514C11"/>
    <w:rsid w:val="005242A5"/>
    <w:rsid w:val="005249DD"/>
    <w:rsid w:val="005273EA"/>
    <w:rsid w:val="00531BA5"/>
    <w:rsid w:val="00531F10"/>
    <w:rsid w:val="00532E86"/>
    <w:rsid w:val="005342F4"/>
    <w:rsid w:val="00542434"/>
    <w:rsid w:val="00542470"/>
    <w:rsid w:val="00542546"/>
    <w:rsid w:val="005452EC"/>
    <w:rsid w:val="005454FB"/>
    <w:rsid w:val="00556084"/>
    <w:rsid w:val="005659E4"/>
    <w:rsid w:val="005761EE"/>
    <w:rsid w:val="0058049B"/>
    <w:rsid w:val="00582D99"/>
    <w:rsid w:val="0058551C"/>
    <w:rsid w:val="0059076B"/>
    <w:rsid w:val="005A0F1F"/>
    <w:rsid w:val="005A6675"/>
    <w:rsid w:val="005B2E9C"/>
    <w:rsid w:val="005B4F93"/>
    <w:rsid w:val="005B73D2"/>
    <w:rsid w:val="005C5E5B"/>
    <w:rsid w:val="005D2B36"/>
    <w:rsid w:val="005D7AE1"/>
    <w:rsid w:val="005E1093"/>
    <w:rsid w:val="005E1117"/>
    <w:rsid w:val="005E475E"/>
    <w:rsid w:val="005F3996"/>
    <w:rsid w:val="005F6AF6"/>
    <w:rsid w:val="0060084E"/>
    <w:rsid w:val="00603C90"/>
    <w:rsid w:val="006066D2"/>
    <w:rsid w:val="00607392"/>
    <w:rsid w:val="0061286A"/>
    <w:rsid w:val="00614CC4"/>
    <w:rsid w:val="0062025E"/>
    <w:rsid w:val="00624CAE"/>
    <w:rsid w:val="00626998"/>
    <w:rsid w:val="006269FB"/>
    <w:rsid w:val="00627A9C"/>
    <w:rsid w:val="00630411"/>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497E"/>
    <w:rsid w:val="006A67F8"/>
    <w:rsid w:val="006A7AF1"/>
    <w:rsid w:val="006A7EE4"/>
    <w:rsid w:val="006B0AC7"/>
    <w:rsid w:val="006B11BB"/>
    <w:rsid w:val="006B32AB"/>
    <w:rsid w:val="006C12B8"/>
    <w:rsid w:val="006C37FC"/>
    <w:rsid w:val="006C7EA3"/>
    <w:rsid w:val="006D39E9"/>
    <w:rsid w:val="006D3BE3"/>
    <w:rsid w:val="006D4252"/>
    <w:rsid w:val="006D7004"/>
    <w:rsid w:val="006D789D"/>
    <w:rsid w:val="006D7FF8"/>
    <w:rsid w:val="006E042A"/>
    <w:rsid w:val="006E764F"/>
    <w:rsid w:val="006F2F95"/>
    <w:rsid w:val="006F5A0C"/>
    <w:rsid w:val="006F5E68"/>
    <w:rsid w:val="00706D60"/>
    <w:rsid w:val="007075E3"/>
    <w:rsid w:val="00707F66"/>
    <w:rsid w:val="007120CC"/>
    <w:rsid w:val="00720D28"/>
    <w:rsid w:val="00722509"/>
    <w:rsid w:val="00727FCD"/>
    <w:rsid w:val="00730F60"/>
    <w:rsid w:val="00733DDD"/>
    <w:rsid w:val="007360A6"/>
    <w:rsid w:val="00736FD2"/>
    <w:rsid w:val="00740536"/>
    <w:rsid w:val="00742F47"/>
    <w:rsid w:val="00750CDF"/>
    <w:rsid w:val="00752BA5"/>
    <w:rsid w:val="00752F3B"/>
    <w:rsid w:val="00753A7D"/>
    <w:rsid w:val="00755D86"/>
    <w:rsid w:val="00767C98"/>
    <w:rsid w:val="00770971"/>
    <w:rsid w:val="00777CFD"/>
    <w:rsid w:val="00785FF8"/>
    <w:rsid w:val="007927DE"/>
    <w:rsid w:val="00796CA8"/>
    <w:rsid w:val="00797305"/>
    <w:rsid w:val="007A0E59"/>
    <w:rsid w:val="007A5438"/>
    <w:rsid w:val="007B035B"/>
    <w:rsid w:val="007B4C04"/>
    <w:rsid w:val="007B4D7A"/>
    <w:rsid w:val="007B5AFB"/>
    <w:rsid w:val="007C5862"/>
    <w:rsid w:val="007D40D1"/>
    <w:rsid w:val="007E1EBF"/>
    <w:rsid w:val="007E4C62"/>
    <w:rsid w:val="007F230E"/>
    <w:rsid w:val="008014F9"/>
    <w:rsid w:val="0080358B"/>
    <w:rsid w:val="0080404B"/>
    <w:rsid w:val="008059BD"/>
    <w:rsid w:val="00807E81"/>
    <w:rsid w:val="0081091B"/>
    <w:rsid w:val="00812D46"/>
    <w:rsid w:val="00815A38"/>
    <w:rsid w:val="00817D57"/>
    <w:rsid w:val="0082103F"/>
    <w:rsid w:val="0082115D"/>
    <w:rsid w:val="008279FE"/>
    <w:rsid w:val="00831259"/>
    <w:rsid w:val="0083208A"/>
    <w:rsid w:val="0083218A"/>
    <w:rsid w:val="00832964"/>
    <w:rsid w:val="00832A00"/>
    <w:rsid w:val="008330ED"/>
    <w:rsid w:val="00837845"/>
    <w:rsid w:val="008420B8"/>
    <w:rsid w:val="00842CDF"/>
    <w:rsid w:val="008438A7"/>
    <w:rsid w:val="008442C4"/>
    <w:rsid w:val="00846739"/>
    <w:rsid w:val="00847104"/>
    <w:rsid w:val="00852D50"/>
    <w:rsid w:val="00853140"/>
    <w:rsid w:val="00854537"/>
    <w:rsid w:val="008606B6"/>
    <w:rsid w:val="00860761"/>
    <w:rsid w:val="00866CF2"/>
    <w:rsid w:val="008700EC"/>
    <w:rsid w:val="008734EA"/>
    <w:rsid w:val="00876D65"/>
    <w:rsid w:val="00891261"/>
    <w:rsid w:val="00892B72"/>
    <w:rsid w:val="00896492"/>
    <w:rsid w:val="00896E2F"/>
    <w:rsid w:val="008A08C3"/>
    <w:rsid w:val="008A21B2"/>
    <w:rsid w:val="008B2FDD"/>
    <w:rsid w:val="008B304A"/>
    <w:rsid w:val="008B40EC"/>
    <w:rsid w:val="008C38C5"/>
    <w:rsid w:val="008C75E7"/>
    <w:rsid w:val="008C7CA8"/>
    <w:rsid w:val="008D09EC"/>
    <w:rsid w:val="008D3C75"/>
    <w:rsid w:val="008E07EB"/>
    <w:rsid w:val="008E2DCB"/>
    <w:rsid w:val="008E326D"/>
    <w:rsid w:val="008F3066"/>
    <w:rsid w:val="008F5F67"/>
    <w:rsid w:val="008F60F2"/>
    <w:rsid w:val="0090198C"/>
    <w:rsid w:val="0090217D"/>
    <w:rsid w:val="00904E7C"/>
    <w:rsid w:val="00905C5E"/>
    <w:rsid w:val="009078DC"/>
    <w:rsid w:val="00921AC7"/>
    <w:rsid w:val="00924582"/>
    <w:rsid w:val="00931291"/>
    <w:rsid w:val="00931C23"/>
    <w:rsid w:val="0093367D"/>
    <w:rsid w:val="00937387"/>
    <w:rsid w:val="0094026A"/>
    <w:rsid w:val="009431FA"/>
    <w:rsid w:val="00944B4D"/>
    <w:rsid w:val="00945AF6"/>
    <w:rsid w:val="009550BE"/>
    <w:rsid w:val="00955531"/>
    <w:rsid w:val="00955BE8"/>
    <w:rsid w:val="00957594"/>
    <w:rsid w:val="00961BF5"/>
    <w:rsid w:val="00963F40"/>
    <w:rsid w:val="0096478A"/>
    <w:rsid w:val="0098122D"/>
    <w:rsid w:val="00984DA8"/>
    <w:rsid w:val="00986596"/>
    <w:rsid w:val="00990685"/>
    <w:rsid w:val="009922B8"/>
    <w:rsid w:val="0099405D"/>
    <w:rsid w:val="009A0ABE"/>
    <w:rsid w:val="009B2D4B"/>
    <w:rsid w:val="009B4A92"/>
    <w:rsid w:val="009C0430"/>
    <w:rsid w:val="009C4E99"/>
    <w:rsid w:val="009C5186"/>
    <w:rsid w:val="009C60F7"/>
    <w:rsid w:val="009D0952"/>
    <w:rsid w:val="009D2815"/>
    <w:rsid w:val="009E31DA"/>
    <w:rsid w:val="009E3261"/>
    <w:rsid w:val="009E402C"/>
    <w:rsid w:val="009E5DAB"/>
    <w:rsid w:val="009E7C6A"/>
    <w:rsid w:val="009F7ED4"/>
    <w:rsid w:val="00A009FA"/>
    <w:rsid w:val="00A03539"/>
    <w:rsid w:val="00A03AAC"/>
    <w:rsid w:val="00A047D1"/>
    <w:rsid w:val="00A04F76"/>
    <w:rsid w:val="00A07EDD"/>
    <w:rsid w:val="00A22AD0"/>
    <w:rsid w:val="00A22DA8"/>
    <w:rsid w:val="00A31671"/>
    <w:rsid w:val="00A37898"/>
    <w:rsid w:val="00A45320"/>
    <w:rsid w:val="00A52F8F"/>
    <w:rsid w:val="00A5612C"/>
    <w:rsid w:val="00A5689C"/>
    <w:rsid w:val="00A57AE4"/>
    <w:rsid w:val="00A6132B"/>
    <w:rsid w:val="00A63F19"/>
    <w:rsid w:val="00A64B26"/>
    <w:rsid w:val="00A66F42"/>
    <w:rsid w:val="00A76625"/>
    <w:rsid w:val="00A82BC5"/>
    <w:rsid w:val="00A83500"/>
    <w:rsid w:val="00A90049"/>
    <w:rsid w:val="00A91387"/>
    <w:rsid w:val="00A917BF"/>
    <w:rsid w:val="00A96A94"/>
    <w:rsid w:val="00A973C2"/>
    <w:rsid w:val="00AA3A38"/>
    <w:rsid w:val="00AA4F94"/>
    <w:rsid w:val="00AB047E"/>
    <w:rsid w:val="00AB0D5B"/>
    <w:rsid w:val="00AB223D"/>
    <w:rsid w:val="00AC39FD"/>
    <w:rsid w:val="00AC592E"/>
    <w:rsid w:val="00AC6C10"/>
    <w:rsid w:val="00AC7BC6"/>
    <w:rsid w:val="00AD0D27"/>
    <w:rsid w:val="00AD24AA"/>
    <w:rsid w:val="00AE39AD"/>
    <w:rsid w:val="00AE7962"/>
    <w:rsid w:val="00B01FC0"/>
    <w:rsid w:val="00B125F0"/>
    <w:rsid w:val="00B12B7D"/>
    <w:rsid w:val="00B16985"/>
    <w:rsid w:val="00B221B8"/>
    <w:rsid w:val="00B270A4"/>
    <w:rsid w:val="00B27206"/>
    <w:rsid w:val="00B3052E"/>
    <w:rsid w:val="00B32AA7"/>
    <w:rsid w:val="00B4012D"/>
    <w:rsid w:val="00B40F64"/>
    <w:rsid w:val="00B42A76"/>
    <w:rsid w:val="00B46334"/>
    <w:rsid w:val="00B57220"/>
    <w:rsid w:val="00B66A69"/>
    <w:rsid w:val="00B70F0D"/>
    <w:rsid w:val="00B7378D"/>
    <w:rsid w:val="00B775EF"/>
    <w:rsid w:val="00B77D4F"/>
    <w:rsid w:val="00B82413"/>
    <w:rsid w:val="00B85352"/>
    <w:rsid w:val="00B87214"/>
    <w:rsid w:val="00B918EC"/>
    <w:rsid w:val="00B92FF5"/>
    <w:rsid w:val="00B946BD"/>
    <w:rsid w:val="00B959E6"/>
    <w:rsid w:val="00B97C40"/>
    <w:rsid w:val="00BA604D"/>
    <w:rsid w:val="00BB506A"/>
    <w:rsid w:val="00BC2BDA"/>
    <w:rsid w:val="00BC4585"/>
    <w:rsid w:val="00BC4780"/>
    <w:rsid w:val="00BC47F1"/>
    <w:rsid w:val="00BC50F1"/>
    <w:rsid w:val="00BC73E5"/>
    <w:rsid w:val="00BD7473"/>
    <w:rsid w:val="00BD7703"/>
    <w:rsid w:val="00BE420D"/>
    <w:rsid w:val="00BE475D"/>
    <w:rsid w:val="00BF6314"/>
    <w:rsid w:val="00C21520"/>
    <w:rsid w:val="00C222B2"/>
    <w:rsid w:val="00C225FB"/>
    <w:rsid w:val="00C3544E"/>
    <w:rsid w:val="00C36A9B"/>
    <w:rsid w:val="00C37530"/>
    <w:rsid w:val="00C37947"/>
    <w:rsid w:val="00C46B88"/>
    <w:rsid w:val="00C51456"/>
    <w:rsid w:val="00C5218C"/>
    <w:rsid w:val="00C52191"/>
    <w:rsid w:val="00C5642F"/>
    <w:rsid w:val="00C63554"/>
    <w:rsid w:val="00C66C44"/>
    <w:rsid w:val="00C71497"/>
    <w:rsid w:val="00C718EF"/>
    <w:rsid w:val="00C72F5B"/>
    <w:rsid w:val="00C73BCD"/>
    <w:rsid w:val="00C7411D"/>
    <w:rsid w:val="00C74802"/>
    <w:rsid w:val="00C77AEF"/>
    <w:rsid w:val="00C87129"/>
    <w:rsid w:val="00C91E1B"/>
    <w:rsid w:val="00CA5FD5"/>
    <w:rsid w:val="00CA7703"/>
    <w:rsid w:val="00CB0F92"/>
    <w:rsid w:val="00CB4EDD"/>
    <w:rsid w:val="00CD1283"/>
    <w:rsid w:val="00CD4E6D"/>
    <w:rsid w:val="00CD5707"/>
    <w:rsid w:val="00CD7702"/>
    <w:rsid w:val="00CD7A8F"/>
    <w:rsid w:val="00CE29EA"/>
    <w:rsid w:val="00CF4FA0"/>
    <w:rsid w:val="00CF6572"/>
    <w:rsid w:val="00D0083B"/>
    <w:rsid w:val="00D02347"/>
    <w:rsid w:val="00D04755"/>
    <w:rsid w:val="00D13737"/>
    <w:rsid w:val="00D1638E"/>
    <w:rsid w:val="00D21FFF"/>
    <w:rsid w:val="00D272A5"/>
    <w:rsid w:val="00D3651C"/>
    <w:rsid w:val="00D36C1E"/>
    <w:rsid w:val="00D37962"/>
    <w:rsid w:val="00D43AFB"/>
    <w:rsid w:val="00D570F5"/>
    <w:rsid w:val="00D57B7C"/>
    <w:rsid w:val="00D63C6F"/>
    <w:rsid w:val="00D64C51"/>
    <w:rsid w:val="00D65B44"/>
    <w:rsid w:val="00D66F23"/>
    <w:rsid w:val="00D67413"/>
    <w:rsid w:val="00D8099B"/>
    <w:rsid w:val="00D866A8"/>
    <w:rsid w:val="00D92F47"/>
    <w:rsid w:val="00D94B8D"/>
    <w:rsid w:val="00D95640"/>
    <w:rsid w:val="00D96C8D"/>
    <w:rsid w:val="00DA1F8E"/>
    <w:rsid w:val="00DA2876"/>
    <w:rsid w:val="00DB1533"/>
    <w:rsid w:val="00DB17B2"/>
    <w:rsid w:val="00DC0B51"/>
    <w:rsid w:val="00DD2ACC"/>
    <w:rsid w:val="00DE27F7"/>
    <w:rsid w:val="00DE2966"/>
    <w:rsid w:val="00DE3914"/>
    <w:rsid w:val="00DE44C3"/>
    <w:rsid w:val="00DF59FD"/>
    <w:rsid w:val="00E44E18"/>
    <w:rsid w:val="00E54301"/>
    <w:rsid w:val="00E55ABD"/>
    <w:rsid w:val="00E603D6"/>
    <w:rsid w:val="00E60817"/>
    <w:rsid w:val="00E614F0"/>
    <w:rsid w:val="00E67B42"/>
    <w:rsid w:val="00E74C42"/>
    <w:rsid w:val="00E90C35"/>
    <w:rsid w:val="00EA70F1"/>
    <w:rsid w:val="00EB2516"/>
    <w:rsid w:val="00EB2746"/>
    <w:rsid w:val="00EB2C07"/>
    <w:rsid w:val="00EB374A"/>
    <w:rsid w:val="00EC668A"/>
    <w:rsid w:val="00EC6E88"/>
    <w:rsid w:val="00ED033D"/>
    <w:rsid w:val="00ED0AE3"/>
    <w:rsid w:val="00ED461C"/>
    <w:rsid w:val="00ED62BE"/>
    <w:rsid w:val="00EF17AB"/>
    <w:rsid w:val="00EF6FA5"/>
    <w:rsid w:val="00F11104"/>
    <w:rsid w:val="00F13122"/>
    <w:rsid w:val="00F16E3F"/>
    <w:rsid w:val="00F22499"/>
    <w:rsid w:val="00F22B0F"/>
    <w:rsid w:val="00F246CB"/>
    <w:rsid w:val="00F24B42"/>
    <w:rsid w:val="00F24F73"/>
    <w:rsid w:val="00F27299"/>
    <w:rsid w:val="00F31F6E"/>
    <w:rsid w:val="00F3389C"/>
    <w:rsid w:val="00F375F2"/>
    <w:rsid w:val="00F5495B"/>
    <w:rsid w:val="00F54EAE"/>
    <w:rsid w:val="00F60DE5"/>
    <w:rsid w:val="00F66A51"/>
    <w:rsid w:val="00F71057"/>
    <w:rsid w:val="00F71A4B"/>
    <w:rsid w:val="00F728CF"/>
    <w:rsid w:val="00F743D4"/>
    <w:rsid w:val="00F83B17"/>
    <w:rsid w:val="00F87EBB"/>
    <w:rsid w:val="00F87EDA"/>
    <w:rsid w:val="00F90BCB"/>
    <w:rsid w:val="00F970EE"/>
    <w:rsid w:val="00F97256"/>
    <w:rsid w:val="00FB0BC9"/>
    <w:rsid w:val="00FB41D3"/>
    <w:rsid w:val="00FB4F70"/>
    <w:rsid w:val="00FB5EFC"/>
    <w:rsid w:val="00FB77BB"/>
    <w:rsid w:val="00FC15AA"/>
    <w:rsid w:val="00FD1375"/>
    <w:rsid w:val="00FD359E"/>
    <w:rsid w:val="00FD4407"/>
    <w:rsid w:val="00FD5F37"/>
    <w:rsid w:val="00FE0A17"/>
    <w:rsid w:val="00FE179F"/>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E32784-06E4-41DB-9F4B-E7178843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466">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 w:id="2054846436">
      <w:bodyDiv w:val="1"/>
      <w:marLeft w:val="0"/>
      <w:marRight w:val="0"/>
      <w:marTop w:val="0"/>
      <w:marBottom w:val="0"/>
      <w:divBdr>
        <w:top w:val="none" w:sz="0" w:space="0" w:color="auto"/>
        <w:left w:val="none" w:sz="0" w:space="0" w:color="auto"/>
        <w:bottom w:val="none" w:sz="0" w:space="0" w:color="auto"/>
        <w:right w:val="none" w:sz="0" w:space="0" w:color="auto"/>
      </w:divBdr>
    </w:div>
    <w:div w:id="205726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DCE69-5DC6-4605-A055-936A9631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2001</TotalTime>
  <Pages>22</Pages>
  <Words>2006</Words>
  <Characters>11437</Characters>
  <Application>Microsoft Office Word</Application>
  <DocSecurity>0</DocSecurity>
  <Lines>95</Lines>
  <Paragraphs>26</Paragraphs>
  <ScaleCrop>false</ScaleCrop>
  <Company/>
  <LinksUpToDate>false</LinksUpToDate>
  <CharactersWithSpaces>13417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1193</cp:revision>
  <dcterms:created xsi:type="dcterms:W3CDTF">2012-10-16T06:07:00Z</dcterms:created>
  <dcterms:modified xsi:type="dcterms:W3CDTF">2018-07-16T10:06:00Z</dcterms:modified>
</cp:coreProperties>
</file>