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交银施罗德双轮动债券型证券投资基金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二〇一八年七月十八日</w:t>
      </w:r>
    </w:p>
    <w:p w:rsidR="009238DB" w:rsidRPr="007F52FA" w:rsidRDefault="009238DB" w:rsidP="0028293E">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41690D" w:rsidRDefault="002509D8">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41690D" w:rsidRDefault="002509D8">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17</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41690D" w:rsidRDefault="002509D8">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41690D" w:rsidRDefault="002509D8">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41690D" w:rsidRDefault="002509D8">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交银双轮动债券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519723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2013</w:t>
            </w:r>
            <w:r w:rsidRPr="007F52FA">
              <w:rPr>
                <w:color w:val="000000"/>
                <w:kern w:val="0"/>
                <w:sz w:val="24"/>
              </w:rPr>
              <w:t>年</w:t>
            </w:r>
            <w:r w:rsidRPr="007F52FA">
              <w:rPr>
                <w:color w:val="000000"/>
                <w:kern w:val="0"/>
                <w:sz w:val="24"/>
              </w:rPr>
              <w:t>4</w:t>
            </w:r>
            <w:r w:rsidRPr="007F52FA">
              <w:rPr>
                <w:color w:val="000000"/>
                <w:kern w:val="0"/>
                <w:sz w:val="24"/>
              </w:rPr>
              <w:t>月</w:t>
            </w:r>
            <w:r w:rsidRPr="007F52FA">
              <w:rPr>
                <w:color w:val="000000"/>
                <w:kern w:val="0"/>
                <w:sz w:val="24"/>
              </w:rPr>
              <w:t>18</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1,707,197,168.76</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本基金在严格控制投资风险的基础上，通过积极主动的投资管理，把握债券市场轮动带来的机会，力争实现基金资产长期稳健的增值。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判断不同类别债券在经济周期的不同阶段的相对投资价值，动态调整大类金融资产比例，自上而下决定类属资产配置和债券组合久期、期限结构。同时，通过对信用债发债主体所处行业的景气轮动判断，并结合内部信用评级系统，综合考察信用债券的信用评级，在严谨深入的分析基础上，综合考量各类债券的流动性、供求关系和收益率水平等，自下而上地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交银双轮动债券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交银双轮动债券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519723</w:t>
            </w:r>
            <w:r w:rsidRPr="007F52FA">
              <w:rPr>
                <w:color w:val="000000" w:themeColor="text1"/>
                <w:sz w:val="24"/>
              </w:rPr>
              <w:t>（前端）、</w:t>
            </w:r>
            <w:r w:rsidRPr="007F52FA">
              <w:rPr>
                <w:color w:val="000000" w:themeColor="text1"/>
                <w:sz w:val="24"/>
              </w:rPr>
              <w:t>519724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519725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1,702,637,544.11</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4,559,624.65</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交银双轮动债券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交银双轮动债券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19,285,397.56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57,584.91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25,224,815.08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77,282.66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0.0159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0.0150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1,802,850,768.15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4,826,779.67</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1.059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1.059</w:t>
            </w:r>
          </w:p>
        </w:tc>
      </w:tr>
    </w:tbl>
    <w:p w:rsidR="0041690D" w:rsidRDefault="002509D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lastRenderedPageBreak/>
        <w:t>1</w:t>
      </w:r>
      <w:r w:rsidRPr="007F52FA">
        <w:rPr>
          <w:b/>
          <w:sz w:val="24"/>
        </w:rPr>
        <w:t>、</w:t>
      </w:r>
      <w:r w:rsidR="00A5643A" w:rsidRPr="007F52FA">
        <w:rPr>
          <w:b/>
          <w:color w:val="000000"/>
          <w:kern w:val="0"/>
          <w:sz w:val="24"/>
        </w:rPr>
        <w:t>交银双轮动债券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41690D">
        <w:trPr>
          <w:jc w:val="center"/>
        </w:trPr>
        <w:tc>
          <w:tcPr>
            <w:tcW w:w="1266" w:type="dxa"/>
            <w:vAlign w:val="center"/>
          </w:tcPr>
          <w:p w:rsidR="0041690D" w:rsidRDefault="002509D8">
            <w:pPr>
              <w:jc w:val="left"/>
            </w:pPr>
            <w:r>
              <w:rPr>
                <w:color w:val="000000"/>
                <w:sz w:val="24"/>
              </w:rPr>
              <w:t>过去三个月</w:t>
            </w:r>
          </w:p>
        </w:tc>
        <w:tc>
          <w:tcPr>
            <w:tcW w:w="1267" w:type="dxa"/>
            <w:vAlign w:val="center"/>
          </w:tcPr>
          <w:p w:rsidR="0041690D" w:rsidRDefault="002509D8">
            <w:pPr>
              <w:jc w:val="center"/>
            </w:pPr>
            <w:r>
              <w:rPr>
                <w:color w:val="000000"/>
                <w:sz w:val="24"/>
              </w:rPr>
              <w:t>1.53%</w:t>
            </w:r>
          </w:p>
        </w:tc>
        <w:tc>
          <w:tcPr>
            <w:tcW w:w="1267" w:type="dxa"/>
            <w:vAlign w:val="center"/>
          </w:tcPr>
          <w:p w:rsidR="0041690D" w:rsidRDefault="002509D8">
            <w:pPr>
              <w:jc w:val="center"/>
            </w:pPr>
            <w:r>
              <w:rPr>
                <w:color w:val="000000"/>
                <w:sz w:val="24"/>
              </w:rPr>
              <w:t>0.08%</w:t>
            </w:r>
          </w:p>
        </w:tc>
        <w:tc>
          <w:tcPr>
            <w:tcW w:w="1267" w:type="dxa"/>
            <w:vAlign w:val="center"/>
          </w:tcPr>
          <w:p w:rsidR="0041690D" w:rsidRDefault="002509D8">
            <w:pPr>
              <w:jc w:val="center"/>
            </w:pPr>
            <w:r>
              <w:rPr>
                <w:color w:val="000000"/>
                <w:sz w:val="24"/>
              </w:rPr>
              <w:t>1.01%</w:t>
            </w:r>
          </w:p>
        </w:tc>
        <w:tc>
          <w:tcPr>
            <w:tcW w:w="1267" w:type="dxa"/>
            <w:vAlign w:val="center"/>
          </w:tcPr>
          <w:p w:rsidR="0041690D" w:rsidRDefault="002509D8">
            <w:pPr>
              <w:jc w:val="center"/>
            </w:pPr>
            <w:r>
              <w:rPr>
                <w:color w:val="000000"/>
                <w:sz w:val="24"/>
              </w:rPr>
              <w:t>0.10%</w:t>
            </w:r>
          </w:p>
        </w:tc>
        <w:tc>
          <w:tcPr>
            <w:tcW w:w="1267" w:type="dxa"/>
            <w:vAlign w:val="center"/>
          </w:tcPr>
          <w:p w:rsidR="0041690D" w:rsidRDefault="002509D8">
            <w:pPr>
              <w:jc w:val="center"/>
            </w:pPr>
            <w:r>
              <w:rPr>
                <w:color w:val="000000"/>
                <w:sz w:val="24"/>
              </w:rPr>
              <w:t>0.52%</w:t>
            </w:r>
          </w:p>
        </w:tc>
        <w:tc>
          <w:tcPr>
            <w:tcW w:w="1267" w:type="dxa"/>
            <w:vAlign w:val="center"/>
          </w:tcPr>
          <w:p w:rsidR="0041690D" w:rsidRDefault="002509D8">
            <w:pPr>
              <w:jc w:val="center"/>
            </w:pPr>
            <w:r>
              <w:rPr>
                <w:color w:val="000000"/>
                <w:sz w:val="24"/>
              </w:rPr>
              <w:t>-0.02%</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交银双轮动债券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41690D">
        <w:trPr>
          <w:jc w:val="center"/>
        </w:trPr>
        <w:tc>
          <w:tcPr>
            <w:tcW w:w="1266" w:type="dxa"/>
            <w:vAlign w:val="center"/>
          </w:tcPr>
          <w:p w:rsidR="0041690D" w:rsidRDefault="002509D8">
            <w:pPr>
              <w:jc w:val="left"/>
            </w:pPr>
            <w:r>
              <w:rPr>
                <w:color w:val="000000"/>
                <w:sz w:val="24"/>
              </w:rPr>
              <w:t>过去三个月</w:t>
            </w:r>
          </w:p>
        </w:tc>
        <w:tc>
          <w:tcPr>
            <w:tcW w:w="1267" w:type="dxa"/>
            <w:vAlign w:val="center"/>
          </w:tcPr>
          <w:p w:rsidR="0041690D" w:rsidRDefault="002509D8">
            <w:pPr>
              <w:jc w:val="center"/>
            </w:pPr>
            <w:r>
              <w:rPr>
                <w:color w:val="000000"/>
                <w:sz w:val="24"/>
              </w:rPr>
              <w:t>1.53%</w:t>
            </w:r>
          </w:p>
        </w:tc>
        <w:tc>
          <w:tcPr>
            <w:tcW w:w="1267" w:type="dxa"/>
            <w:vAlign w:val="center"/>
          </w:tcPr>
          <w:p w:rsidR="0041690D" w:rsidRDefault="002509D8">
            <w:pPr>
              <w:jc w:val="center"/>
            </w:pPr>
            <w:r>
              <w:rPr>
                <w:color w:val="000000"/>
                <w:sz w:val="24"/>
              </w:rPr>
              <w:t>0.08%</w:t>
            </w:r>
          </w:p>
        </w:tc>
        <w:tc>
          <w:tcPr>
            <w:tcW w:w="1267" w:type="dxa"/>
            <w:vAlign w:val="center"/>
          </w:tcPr>
          <w:p w:rsidR="0041690D" w:rsidRDefault="002509D8">
            <w:pPr>
              <w:jc w:val="center"/>
            </w:pPr>
            <w:r>
              <w:rPr>
                <w:color w:val="000000"/>
                <w:sz w:val="24"/>
              </w:rPr>
              <w:t>1.01%</w:t>
            </w:r>
          </w:p>
        </w:tc>
        <w:tc>
          <w:tcPr>
            <w:tcW w:w="1267" w:type="dxa"/>
            <w:vAlign w:val="center"/>
          </w:tcPr>
          <w:p w:rsidR="0041690D" w:rsidRDefault="002509D8">
            <w:pPr>
              <w:jc w:val="center"/>
            </w:pPr>
            <w:r>
              <w:rPr>
                <w:color w:val="000000"/>
                <w:sz w:val="24"/>
              </w:rPr>
              <w:t>0.10%</w:t>
            </w:r>
          </w:p>
        </w:tc>
        <w:tc>
          <w:tcPr>
            <w:tcW w:w="1267" w:type="dxa"/>
            <w:vAlign w:val="center"/>
          </w:tcPr>
          <w:p w:rsidR="0041690D" w:rsidRDefault="002509D8">
            <w:pPr>
              <w:jc w:val="center"/>
            </w:pPr>
            <w:r>
              <w:rPr>
                <w:color w:val="000000"/>
                <w:sz w:val="24"/>
              </w:rPr>
              <w:t>0.52%</w:t>
            </w:r>
          </w:p>
        </w:tc>
        <w:tc>
          <w:tcPr>
            <w:tcW w:w="1267" w:type="dxa"/>
            <w:vAlign w:val="center"/>
          </w:tcPr>
          <w:p w:rsidR="0041690D" w:rsidRDefault="002509D8">
            <w:pPr>
              <w:jc w:val="center"/>
            </w:pPr>
            <w:r>
              <w:rPr>
                <w:color w:val="000000"/>
                <w:sz w:val="24"/>
              </w:rPr>
              <w:t>-0.02%</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交银施罗德双轮动债券型证券投资基金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w:t>
      </w:r>
      <w:r w:rsidR="00D04410" w:rsidRPr="007F52FA">
        <w:rPr>
          <w:rFonts w:ascii="Times New Roman" w:hAnsi="Times New Roman"/>
          <w:sz w:val="24"/>
          <w:szCs w:val="24"/>
        </w:rPr>
        <w:t>年</w:t>
      </w:r>
      <w:r w:rsidR="00D04410" w:rsidRPr="007F52FA">
        <w:rPr>
          <w:rFonts w:ascii="Times New Roman" w:hAnsi="Times New Roman"/>
          <w:sz w:val="24"/>
          <w:szCs w:val="24"/>
        </w:rPr>
        <w:t>4</w:t>
      </w:r>
      <w:r w:rsidR="00D04410" w:rsidRPr="007F52FA">
        <w:rPr>
          <w:rFonts w:ascii="Times New Roman" w:hAnsi="Times New Roman"/>
          <w:sz w:val="24"/>
          <w:szCs w:val="24"/>
        </w:rPr>
        <w:t>月</w:t>
      </w:r>
      <w:r w:rsidR="00D04410" w:rsidRPr="007F52FA">
        <w:rPr>
          <w:rFonts w:ascii="Times New Roman" w:hAnsi="Times New Roman"/>
          <w:sz w:val="24"/>
          <w:szCs w:val="24"/>
        </w:rPr>
        <w:t>18</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交银双轮动债券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交银双轮动债券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41690D">
        <w:trPr>
          <w:jc w:val="center"/>
        </w:trPr>
        <w:tc>
          <w:tcPr>
            <w:tcW w:w="946" w:type="dxa"/>
            <w:vAlign w:val="center"/>
          </w:tcPr>
          <w:p w:rsidR="0041690D" w:rsidRDefault="002509D8">
            <w:pPr>
              <w:jc w:val="center"/>
            </w:pPr>
            <w:r>
              <w:rPr>
                <w:color w:val="000000"/>
                <w:sz w:val="24"/>
              </w:rPr>
              <w:t>唐赟</w:t>
            </w:r>
          </w:p>
        </w:tc>
        <w:tc>
          <w:tcPr>
            <w:tcW w:w="924" w:type="dxa"/>
            <w:vAlign w:val="center"/>
          </w:tcPr>
          <w:p w:rsidR="0041690D" w:rsidRDefault="002509D8">
            <w:pPr>
              <w:jc w:val="center"/>
            </w:pPr>
            <w:r>
              <w:rPr>
                <w:color w:val="000000"/>
                <w:sz w:val="24"/>
              </w:rPr>
              <w:t>交银信用添利债券</w:t>
            </w:r>
            <w:r>
              <w:rPr>
                <w:color w:val="000000"/>
                <w:sz w:val="24"/>
              </w:rPr>
              <w:t>(LOF)</w:t>
            </w:r>
            <w:r>
              <w:rPr>
                <w:color w:val="000000"/>
                <w:sz w:val="24"/>
              </w:rPr>
              <w:t>、交银双利债券、交银双轮动债券、交银裕通纯债债券、交银安心收益债券的基金经理</w:t>
            </w:r>
          </w:p>
        </w:tc>
        <w:tc>
          <w:tcPr>
            <w:tcW w:w="1202" w:type="dxa"/>
            <w:vAlign w:val="center"/>
          </w:tcPr>
          <w:p w:rsidR="0041690D" w:rsidRDefault="002509D8">
            <w:pPr>
              <w:jc w:val="center"/>
            </w:pPr>
            <w:r>
              <w:rPr>
                <w:color w:val="000000"/>
                <w:sz w:val="24"/>
              </w:rPr>
              <w:t>2015-08-04</w:t>
            </w:r>
          </w:p>
        </w:tc>
        <w:tc>
          <w:tcPr>
            <w:tcW w:w="1300" w:type="dxa"/>
            <w:vAlign w:val="center"/>
          </w:tcPr>
          <w:p w:rsidR="0041690D" w:rsidRDefault="002509D8">
            <w:pPr>
              <w:jc w:val="center"/>
            </w:pPr>
            <w:r>
              <w:rPr>
                <w:color w:val="000000"/>
                <w:sz w:val="24"/>
              </w:rPr>
              <w:t>-</w:t>
            </w:r>
          </w:p>
        </w:tc>
        <w:tc>
          <w:tcPr>
            <w:tcW w:w="1245" w:type="dxa"/>
            <w:vAlign w:val="center"/>
          </w:tcPr>
          <w:p w:rsidR="0041690D" w:rsidRDefault="002509D8">
            <w:pPr>
              <w:jc w:val="center"/>
            </w:pPr>
            <w:r>
              <w:rPr>
                <w:color w:val="000000"/>
                <w:sz w:val="24"/>
              </w:rPr>
              <w:t>6</w:t>
            </w:r>
            <w:r>
              <w:rPr>
                <w:color w:val="000000"/>
                <w:sz w:val="24"/>
              </w:rPr>
              <w:t>年</w:t>
            </w:r>
          </w:p>
        </w:tc>
        <w:tc>
          <w:tcPr>
            <w:tcW w:w="3251" w:type="dxa"/>
            <w:vAlign w:val="center"/>
          </w:tcPr>
          <w:p w:rsidR="0041690D" w:rsidRDefault="002509D8" w:rsidP="00EC6FE6">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sidR="00446CF5" w:rsidRPr="00446CF5">
              <w:rPr>
                <w:rFonts w:hint="eastAsia"/>
                <w:color w:val="000000"/>
                <w:sz w:val="24"/>
              </w:rPr>
              <w:t>2015</w:t>
            </w:r>
            <w:r w:rsidR="00446CF5" w:rsidRPr="00446CF5">
              <w:rPr>
                <w:rFonts w:hint="eastAsia"/>
                <w:color w:val="000000"/>
                <w:sz w:val="24"/>
              </w:rPr>
              <w:t>年</w:t>
            </w:r>
            <w:r w:rsidR="00446CF5" w:rsidRPr="00446CF5">
              <w:rPr>
                <w:rFonts w:hint="eastAsia"/>
                <w:color w:val="000000"/>
                <w:sz w:val="24"/>
              </w:rPr>
              <w:t>11</w:t>
            </w:r>
            <w:r w:rsidR="00446CF5" w:rsidRPr="00446CF5">
              <w:rPr>
                <w:rFonts w:hint="eastAsia"/>
                <w:color w:val="000000"/>
                <w:sz w:val="24"/>
              </w:rPr>
              <w:t>月</w:t>
            </w:r>
            <w:r w:rsidR="00446CF5" w:rsidRPr="00446CF5">
              <w:rPr>
                <w:rFonts w:hint="eastAsia"/>
                <w:color w:val="000000"/>
                <w:sz w:val="24"/>
              </w:rPr>
              <w:t>7</w:t>
            </w:r>
            <w:r w:rsidR="00446CF5" w:rsidRPr="00446CF5">
              <w:rPr>
                <w:rFonts w:hint="eastAsia"/>
                <w:color w:val="000000"/>
                <w:sz w:val="24"/>
              </w:rPr>
              <w:t>日至</w:t>
            </w:r>
            <w:r w:rsidR="00446CF5" w:rsidRPr="00446CF5">
              <w:rPr>
                <w:rFonts w:hint="eastAsia"/>
                <w:color w:val="000000"/>
                <w:sz w:val="24"/>
              </w:rPr>
              <w:t>2018</w:t>
            </w:r>
            <w:r w:rsidR="00446CF5" w:rsidRPr="00446CF5">
              <w:rPr>
                <w:rFonts w:hint="eastAsia"/>
                <w:color w:val="000000"/>
                <w:sz w:val="24"/>
              </w:rPr>
              <w:t>年</w:t>
            </w:r>
            <w:r w:rsidR="00446CF5" w:rsidRPr="00446CF5">
              <w:rPr>
                <w:rFonts w:hint="eastAsia"/>
                <w:color w:val="000000"/>
                <w:sz w:val="24"/>
              </w:rPr>
              <w:t>6</w:t>
            </w:r>
            <w:r w:rsidR="00446CF5" w:rsidRPr="00446CF5">
              <w:rPr>
                <w:rFonts w:hint="eastAsia"/>
                <w:color w:val="000000"/>
                <w:sz w:val="24"/>
              </w:rPr>
              <w:t>月</w:t>
            </w:r>
            <w:r w:rsidR="00446CF5" w:rsidRPr="00446CF5">
              <w:rPr>
                <w:rFonts w:hint="eastAsia"/>
                <w:color w:val="000000"/>
                <w:sz w:val="24"/>
              </w:rPr>
              <w:t>1</w:t>
            </w:r>
            <w:r w:rsidR="00446CF5" w:rsidRPr="00446CF5">
              <w:rPr>
                <w:rFonts w:hint="eastAsia"/>
                <w:color w:val="000000"/>
                <w:sz w:val="24"/>
              </w:rPr>
              <w:t>日担任转型前的交银施罗德荣和保本混合型证券投资基金的基金经理。</w:t>
            </w:r>
            <w:bookmarkStart w:id="0" w:name="_GoBack"/>
            <w:bookmarkEnd w:id="0"/>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41690D" w:rsidRDefault="002509D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1690D" w:rsidRDefault="002509D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1690D" w:rsidRDefault="002509D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41690D" w:rsidRDefault="002509D8">
      <w:pPr>
        <w:spacing w:before="29" w:line="288" w:lineRule="auto"/>
        <w:ind w:firstLineChars="200" w:firstLine="480"/>
        <w:rPr>
          <w:color w:val="000000"/>
          <w:sz w:val="24"/>
        </w:rPr>
      </w:pPr>
      <w:r>
        <w:rPr>
          <w:color w:val="000000"/>
          <w:sz w:val="24"/>
        </w:rPr>
        <w:t>二季度以来在意外降准、表外融资持续收缩、经济通胀趋弱、贸易战局势反复发酵等多方面因素交织的背景下，债券收益率呈现出先下后上继而再次大幅下行的宽幅波动中。四月上旬债券收益率延续了一季度以来的下行趋势，稳步下行。央行在四月宣布降准</w:t>
      </w:r>
      <w:r>
        <w:rPr>
          <w:color w:val="000000"/>
          <w:sz w:val="24"/>
        </w:rPr>
        <w:t>1</w:t>
      </w:r>
      <w:r>
        <w:rPr>
          <w:color w:val="000000"/>
          <w:sz w:val="24"/>
        </w:rPr>
        <w:t>个百分点置换</w:t>
      </w:r>
      <w:r>
        <w:rPr>
          <w:color w:val="000000"/>
          <w:sz w:val="24"/>
        </w:rPr>
        <w:t>MLF</w:t>
      </w:r>
      <w:r>
        <w:rPr>
          <w:color w:val="000000"/>
          <w:sz w:val="24"/>
        </w:rPr>
        <w:t>操作，债券市场在反复预期中终于确认货币政策已经实质性转松，债市强势上涨，收益率大幅下行。四月下旬开始由于降准释放资金和缴税缴准错位，季末流动性紧张，叠加资管新规的出台，收益率震荡上行。进入六月后随着最新社会融资规模数据公布，信用收紧格局下收益率重回下行通道。六月底央行再一次降准</w:t>
      </w:r>
      <w:r>
        <w:rPr>
          <w:color w:val="000000"/>
          <w:sz w:val="24"/>
        </w:rPr>
        <w:t>0.5</w:t>
      </w:r>
      <w:r>
        <w:rPr>
          <w:color w:val="000000"/>
          <w:sz w:val="24"/>
        </w:rPr>
        <w:t>个百分点，收益率再次开启大幅下行空间。</w:t>
      </w:r>
    </w:p>
    <w:p w:rsidR="0041690D" w:rsidRDefault="002509D8">
      <w:pPr>
        <w:spacing w:before="29" w:line="288" w:lineRule="auto"/>
        <w:ind w:firstLineChars="200" w:firstLine="480"/>
        <w:rPr>
          <w:color w:val="000000"/>
          <w:sz w:val="24"/>
        </w:rPr>
      </w:pPr>
      <w:r>
        <w:rPr>
          <w:color w:val="000000"/>
          <w:sz w:val="24"/>
        </w:rPr>
        <w:t>报告期内，基于对收益率下行大趋势的判断，本基金维持较高的久期配置在债券底仓，同时选择部分仓位进行长久期利率债波段交易，增厚组合收益。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三季度，我们判断债市收益率下行的趋势不改。经济基本面仍面临一定的下行压力，一方面体现在融资环境收缩对地产和基建投资的挤压上，另一方面表现为中美贸易摩擦升级对出口的负面影响上。随着去杠杆政策的持续推进，为了避免信用风险发酵带来流动性危机和经济失速下滑，我们预计货币政策将保持较为宽松态势，宽货币紧信用大逻辑继续支持债券市场收益率下行。风险方面，我们关注监管政策落地带来的短期调整风险和不断压缩的中美利差可能阶段性地成为制约债市收益率下行的因素。整体而言，我们认为债券市场上涨的机会大于下跌的风险。随着去杠杆进程的推进，信用风险逐渐暴露，我们认为低等级信用债利差未能充分反应未来的信用风险，我们将继续规避中低评级信用债，以中高等级的信用债为底仓，保持中性偏高久期，择机进行利率债的波段操作，以期增强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2018</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日，交银双轮动债券</w:t>
      </w:r>
      <w:r w:rsidRPr="007F52FA">
        <w:rPr>
          <w:color w:val="000000"/>
          <w:sz w:val="24"/>
        </w:rPr>
        <w:t>A/B</w:t>
      </w:r>
      <w:r w:rsidRPr="007F52FA">
        <w:rPr>
          <w:color w:val="000000"/>
          <w:sz w:val="24"/>
        </w:rPr>
        <w:t>份额净值为</w:t>
      </w:r>
      <w:r w:rsidRPr="007F52FA">
        <w:rPr>
          <w:color w:val="000000"/>
          <w:sz w:val="24"/>
        </w:rPr>
        <w:t>1.059</w:t>
      </w:r>
      <w:r w:rsidRPr="007F52FA">
        <w:rPr>
          <w:color w:val="000000"/>
          <w:sz w:val="24"/>
        </w:rPr>
        <w:t>元，本报告期份额净值增长率为</w:t>
      </w:r>
      <w:r w:rsidRPr="007F52FA">
        <w:rPr>
          <w:color w:val="000000"/>
          <w:sz w:val="24"/>
        </w:rPr>
        <w:t>1.53%</w:t>
      </w:r>
      <w:r w:rsidRPr="007F52FA">
        <w:rPr>
          <w:color w:val="000000"/>
          <w:sz w:val="24"/>
        </w:rPr>
        <w:t>，同期业绩比较基准增长率为</w:t>
      </w:r>
      <w:r w:rsidRPr="007F52FA">
        <w:rPr>
          <w:color w:val="000000"/>
          <w:sz w:val="24"/>
        </w:rPr>
        <w:t>1.01%</w:t>
      </w:r>
      <w:r w:rsidRPr="007F52FA">
        <w:rPr>
          <w:color w:val="000000"/>
          <w:sz w:val="24"/>
        </w:rPr>
        <w:t>；交银双轮动债券</w:t>
      </w:r>
      <w:r w:rsidRPr="007F52FA">
        <w:rPr>
          <w:color w:val="000000"/>
          <w:sz w:val="24"/>
        </w:rPr>
        <w:t>C</w:t>
      </w:r>
      <w:r w:rsidRPr="007F52FA">
        <w:rPr>
          <w:color w:val="000000"/>
          <w:sz w:val="24"/>
        </w:rPr>
        <w:t>份额净值为</w:t>
      </w:r>
      <w:r w:rsidRPr="007F52FA">
        <w:rPr>
          <w:color w:val="000000"/>
          <w:sz w:val="24"/>
        </w:rPr>
        <w:t>1.059</w:t>
      </w:r>
      <w:r w:rsidRPr="007F52FA">
        <w:rPr>
          <w:color w:val="000000"/>
          <w:sz w:val="24"/>
        </w:rPr>
        <w:t>元，本报告期份额净值增长率为</w:t>
      </w:r>
      <w:r w:rsidRPr="007F52FA">
        <w:rPr>
          <w:color w:val="000000"/>
          <w:sz w:val="24"/>
        </w:rPr>
        <w:t>1.53%</w:t>
      </w:r>
      <w:r w:rsidRPr="007F52FA">
        <w:rPr>
          <w:color w:val="000000"/>
          <w:sz w:val="24"/>
        </w:rPr>
        <w:t>，同期业绩比较基准增长率为</w:t>
      </w:r>
      <w:r w:rsidRPr="007F52FA">
        <w:rPr>
          <w:color w:val="000000"/>
          <w:sz w:val="24"/>
        </w:rPr>
        <w:t>1.01%</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7C6127">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2,238,968,600.00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93.65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2,233,968,600.00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93.44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5,000,000.00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0.21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8,710,124.59</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0.36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143,192,290.91</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5.99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2,390,871,015.50</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494,853,800.00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27.38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374,125,800.00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20.70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653,712,400.00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36.16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80,608,000.00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4.46</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1,004,794,400.00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55.58</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2,233,968,600.00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123.58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41690D">
        <w:trPr>
          <w:jc w:val="center"/>
        </w:trPr>
        <w:tc>
          <w:tcPr>
            <w:tcW w:w="1075" w:type="dxa"/>
            <w:vAlign w:val="center"/>
          </w:tcPr>
          <w:p w:rsidR="0041690D" w:rsidRDefault="002509D8">
            <w:pPr>
              <w:jc w:val="center"/>
            </w:pPr>
            <w:r>
              <w:rPr>
                <w:color w:val="000000"/>
                <w:sz w:val="24"/>
              </w:rPr>
              <w:t>1</w:t>
            </w:r>
          </w:p>
        </w:tc>
        <w:tc>
          <w:tcPr>
            <w:tcW w:w="1533" w:type="dxa"/>
            <w:vAlign w:val="center"/>
          </w:tcPr>
          <w:p w:rsidR="0041690D" w:rsidRDefault="002509D8">
            <w:pPr>
              <w:jc w:val="center"/>
            </w:pPr>
            <w:r>
              <w:rPr>
                <w:color w:val="000000"/>
                <w:sz w:val="24"/>
              </w:rPr>
              <w:t>180205</w:t>
            </w:r>
          </w:p>
        </w:tc>
        <w:tc>
          <w:tcPr>
            <w:tcW w:w="1533" w:type="dxa"/>
            <w:vAlign w:val="center"/>
          </w:tcPr>
          <w:p w:rsidR="0041690D" w:rsidRDefault="002509D8">
            <w:pPr>
              <w:jc w:val="center"/>
            </w:pPr>
            <w:r>
              <w:rPr>
                <w:color w:val="000000"/>
                <w:sz w:val="24"/>
              </w:rPr>
              <w:t>18</w:t>
            </w:r>
            <w:r>
              <w:rPr>
                <w:color w:val="000000"/>
                <w:sz w:val="24"/>
              </w:rPr>
              <w:t>国开</w:t>
            </w:r>
            <w:r>
              <w:rPr>
                <w:color w:val="000000"/>
                <w:sz w:val="24"/>
              </w:rPr>
              <w:t>05</w:t>
            </w:r>
          </w:p>
        </w:tc>
        <w:tc>
          <w:tcPr>
            <w:tcW w:w="1394" w:type="dxa"/>
            <w:vAlign w:val="center"/>
          </w:tcPr>
          <w:p w:rsidR="0041690D" w:rsidRDefault="002509D8">
            <w:pPr>
              <w:jc w:val="right"/>
            </w:pPr>
            <w:r>
              <w:rPr>
                <w:color w:val="000000"/>
                <w:sz w:val="24"/>
              </w:rPr>
              <w:t>2,700,000</w:t>
            </w:r>
          </w:p>
        </w:tc>
        <w:tc>
          <w:tcPr>
            <w:tcW w:w="1944" w:type="dxa"/>
            <w:vAlign w:val="center"/>
          </w:tcPr>
          <w:p w:rsidR="0041690D" w:rsidRDefault="002509D8">
            <w:pPr>
              <w:jc w:val="right"/>
            </w:pPr>
            <w:r>
              <w:rPr>
                <w:color w:val="000000"/>
                <w:sz w:val="24"/>
              </w:rPr>
              <w:t>283,149,000.00</w:t>
            </w:r>
          </w:p>
        </w:tc>
        <w:tc>
          <w:tcPr>
            <w:tcW w:w="1389" w:type="dxa"/>
            <w:vAlign w:val="center"/>
          </w:tcPr>
          <w:p w:rsidR="0041690D" w:rsidRDefault="002509D8">
            <w:pPr>
              <w:jc w:val="right"/>
            </w:pPr>
            <w:r>
              <w:rPr>
                <w:color w:val="000000"/>
                <w:sz w:val="24"/>
              </w:rPr>
              <w:t>15.66</w:t>
            </w:r>
          </w:p>
        </w:tc>
      </w:tr>
      <w:tr w:rsidR="0041690D">
        <w:trPr>
          <w:jc w:val="center"/>
        </w:trPr>
        <w:tc>
          <w:tcPr>
            <w:tcW w:w="1075" w:type="dxa"/>
            <w:vAlign w:val="center"/>
          </w:tcPr>
          <w:p w:rsidR="0041690D" w:rsidRDefault="002509D8">
            <w:pPr>
              <w:jc w:val="center"/>
            </w:pPr>
            <w:r>
              <w:rPr>
                <w:color w:val="000000"/>
                <w:sz w:val="24"/>
              </w:rPr>
              <w:t>2</w:t>
            </w:r>
          </w:p>
        </w:tc>
        <w:tc>
          <w:tcPr>
            <w:tcW w:w="1533" w:type="dxa"/>
            <w:vAlign w:val="center"/>
          </w:tcPr>
          <w:p w:rsidR="0041690D" w:rsidRDefault="002509D8">
            <w:pPr>
              <w:jc w:val="center"/>
            </w:pPr>
            <w:r>
              <w:rPr>
                <w:color w:val="000000"/>
                <w:sz w:val="24"/>
              </w:rPr>
              <w:t>101800139</w:t>
            </w:r>
          </w:p>
        </w:tc>
        <w:tc>
          <w:tcPr>
            <w:tcW w:w="1533" w:type="dxa"/>
            <w:vAlign w:val="center"/>
          </w:tcPr>
          <w:p w:rsidR="0041690D" w:rsidRDefault="002509D8">
            <w:pPr>
              <w:jc w:val="center"/>
            </w:pPr>
            <w:r>
              <w:rPr>
                <w:color w:val="000000"/>
                <w:sz w:val="24"/>
              </w:rPr>
              <w:t>18</w:t>
            </w:r>
            <w:r>
              <w:rPr>
                <w:color w:val="000000"/>
                <w:sz w:val="24"/>
              </w:rPr>
              <w:t>京城建</w:t>
            </w:r>
            <w:r>
              <w:rPr>
                <w:color w:val="000000"/>
                <w:sz w:val="24"/>
              </w:rPr>
              <w:t>MTN001</w:t>
            </w:r>
          </w:p>
        </w:tc>
        <w:tc>
          <w:tcPr>
            <w:tcW w:w="1394" w:type="dxa"/>
            <w:vAlign w:val="center"/>
          </w:tcPr>
          <w:p w:rsidR="0041690D" w:rsidRDefault="002509D8">
            <w:pPr>
              <w:jc w:val="right"/>
            </w:pPr>
            <w:r>
              <w:rPr>
                <w:color w:val="000000"/>
                <w:sz w:val="24"/>
              </w:rPr>
              <w:t>1,000,000</w:t>
            </w:r>
          </w:p>
        </w:tc>
        <w:tc>
          <w:tcPr>
            <w:tcW w:w="1944" w:type="dxa"/>
            <w:vAlign w:val="center"/>
          </w:tcPr>
          <w:p w:rsidR="0041690D" w:rsidRDefault="002509D8">
            <w:pPr>
              <w:jc w:val="right"/>
            </w:pPr>
            <w:r>
              <w:rPr>
                <w:color w:val="000000"/>
                <w:sz w:val="24"/>
              </w:rPr>
              <w:t>101,190,000.00</w:t>
            </w:r>
          </w:p>
        </w:tc>
        <w:tc>
          <w:tcPr>
            <w:tcW w:w="1389" w:type="dxa"/>
            <w:vAlign w:val="center"/>
          </w:tcPr>
          <w:p w:rsidR="0041690D" w:rsidRDefault="002509D8">
            <w:pPr>
              <w:jc w:val="right"/>
            </w:pPr>
            <w:r>
              <w:rPr>
                <w:color w:val="000000"/>
                <w:sz w:val="24"/>
              </w:rPr>
              <w:t>5.60</w:t>
            </w:r>
          </w:p>
        </w:tc>
      </w:tr>
      <w:tr w:rsidR="0041690D">
        <w:trPr>
          <w:jc w:val="center"/>
        </w:trPr>
        <w:tc>
          <w:tcPr>
            <w:tcW w:w="1075" w:type="dxa"/>
            <w:vAlign w:val="center"/>
          </w:tcPr>
          <w:p w:rsidR="0041690D" w:rsidRDefault="002509D8">
            <w:pPr>
              <w:jc w:val="center"/>
            </w:pPr>
            <w:r>
              <w:rPr>
                <w:color w:val="000000"/>
                <w:sz w:val="24"/>
              </w:rPr>
              <w:t>3</w:t>
            </w:r>
          </w:p>
        </w:tc>
        <w:tc>
          <w:tcPr>
            <w:tcW w:w="1533" w:type="dxa"/>
            <w:vAlign w:val="center"/>
          </w:tcPr>
          <w:p w:rsidR="0041690D" w:rsidRDefault="002509D8">
            <w:pPr>
              <w:jc w:val="center"/>
            </w:pPr>
            <w:r>
              <w:rPr>
                <w:color w:val="000000"/>
                <w:sz w:val="24"/>
              </w:rPr>
              <w:t>091506001</w:t>
            </w:r>
          </w:p>
        </w:tc>
        <w:tc>
          <w:tcPr>
            <w:tcW w:w="1533" w:type="dxa"/>
            <w:vAlign w:val="center"/>
          </w:tcPr>
          <w:p w:rsidR="0041690D" w:rsidRDefault="002509D8">
            <w:pPr>
              <w:jc w:val="center"/>
            </w:pPr>
            <w:r>
              <w:rPr>
                <w:color w:val="000000"/>
                <w:sz w:val="24"/>
              </w:rPr>
              <w:t>15</w:t>
            </w:r>
            <w:r>
              <w:rPr>
                <w:color w:val="000000"/>
                <w:sz w:val="24"/>
              </w:rPr>
              <w:t>汇丰香港债</w:t>
            </w:r>
            <w:r>
              <w:rPr>
                <w:color w:val="000000"/>
                <w:sz w:val="24"/>
              </w:rPr>
              <w:t>01</w:t>
            </w:r>
          </w:p>
        </w:tc>
        <w:tc>
          <w:tcPr>
            <w:tcW w:w="1394" w:type="dxa"/>
            <w:vAlign w:val="center"/>
          </w:tcPr>
          <w:p w:rsidR="0041690D" w:rsidRDefault="002509D8">
            <w:pPr>
              <w:jc w:val="right"/>
            </w:pPr>
            <w:r>
              <w:rPr>
                <w:color w:val="000000"/>
                <w:sz w:val="24"/>
              </w:rPr>
              <w:t>1,000,000</w:t>
            </w:r>
          </w:p>
        </w:tc>
        <w:tc>
          <w:tcPr>
            <w:tcW w:w="1944" w:type="dxa"/>
            <w:vAlign w:val="center"/>
          </w:tcPr>
          <w:p w:rsidR="0041690D" w:rsidRDefault="002509D8">
            <w:pPr>
              <w:jc w:val="right"/>
            </w:pPr>
            <w:r>
              <w:rPr>
                <w:color w:val="000000"/>
                <w:sz w:val="24"/>
              </w:rPr>
              <w:t>100,440,000.00</w:t>
            </w:r>
          </w:p>
        </w:tc>
        <w:tc>
          <w:tcPr>
            <w:tcW w:w="1389" w:type="dxa"/>
            <w:vAlign w:val="center"/>
          </w:tcPr>
          <w:p w:rsidR="0041690D" w:rsidRDefault="002509D8">
            <w:pPr>
              <w:jc w:val="right"/>
            </w:pPr>
            <w:r>
              <w:rPr>
                <w:color w:val="000000"/>
                <w:sz w:val="24"/>
              </w:rPr>
              <w:t>5.56</w:t>
            </w:r>
          </w:p>
        </w:tc>
      </w:tr>
      <w:tr w:rsidR="0041690D">
        <w:trPr>
          <w:jc w:val="center"/>
        </w:trPr>
        <w:tc>
          <w:tcPr>
            <w:tcW w:w="1075" w:type="dxa"/>
            <w:vAlign w:val="center"/>
          </w:tcPr>
          <w:p w:rsidR="0041690D" w:rsidRDefault="002509D8">
            <w:pPr>
              <w:jc w:val="center"/>
            </w:pPr>
            <w:r>
              <w:rPr>
                <w:color w:val="000000"/>
                <w:sz w:val="24"/>
              </w:rPr>
              <w:t>4</w:t>
            </w:r>
          </w:p>
        </w:tc>
        <w:tc>
          <w:tcPr>
            <w:tcW w:w="1533" w:type="dxa"/>
            <w:vAlign w:val="center"/>
          </w:tcPr>
          <w:p w:rsidR="0041690D" w:rsidRDefault="002509D8">
            <w:pPr>
              <w:jc w:val="center"/>
            </w:pPr>
            <w:r>
              <w:rPr>
                <w:color w:val="000000"/>
                <w:sz w:val="24"/>
              </w:rPr>
              <w:t>136588</w:t>
            </w:r>
          </w:p>
        </w:tc>
        <w:tc>
          <w:tcPr>
            <w:tcW w:w="1533" w:type="dxa"/>
            <w:vAlign w:val="center"/>
          </w:tcPr>
          <w:p w:rsidR="0041690D" w:rsidRDefault="002509D8">
            <w:pPr>
              <w:jc w:val="center"/>
            </w:pPr>
            <w:r>
              <w:rPr>
                <w:color w:val="000000"/>
                <w:sz w:val="24"/>
              </w:rPr>
              <w:t>16</w:t>
            </w:r>
            <w:r>
              <w:rPr>
                <w:color w:val="000000"/>
                <w:sz w:val="24"/>
              </w:rPr>
              <w:t>水务</w:t>
            </w:r>
            <w:r>
              <w:rPr>
                <w:color w:val="000000"/>
                <w:sz w:val="24"/>
              </w:rPr>
              <w:t>02</w:t>
            </w:r>
          </w:p>
        </w:tc>
        <w:tc>
          <w:tcPr>
            <w:tcW w:w="1394" w:type="dxa"/>
            <w:vAlign w:val="center"/>
          </w:tcPr>
          <w:p w:rsidR="0041690D" w:rsidRDefault="002509D8">
            <w:pPr>
              <w:jc w:val="right"/>
            </w:pPr>
            <w:r>
              <w:rPr>
                <w:color w:val="000000"/>
                <w:sz w:val="24"/>
              </w:rPr>
              <w:t>1,000,000</w:t>
            </w:r>
          </w:p>
        </w:tc>
        <w:tc>
          <w:tcPr>
            <w:tcW w:w="1944" w:type="dxa"/>
            <w:vAlign w:val="center"/>
          </w:tcPr>
          <w:p w:rsidR="0041690D" w:rsidRDefault="002509D8">
            <w:pPr>
              <w:jc w:val="right"/>
            </w:pPr>
            <w:r>
              <w:rPr>
                <w:color w:val="000000"/>
                <w:sz w:val="24"/>
              </w:rPr>
              <w:t>96,110,000.00</w:t>
            </w:r>
          </w:p>
        </w:tc>
        <w:tc>
          <w:tcPr>
            <w:tcW w:w="1389" w:type="dxa"/>
            <w:vAlign w:val="center"/>
          </w:tcPr>
          <w:p w:rsidR="0041690D" w:rsidRDefault="002509D8">
            <w:pPr>
              <w:jc w:val="right"/>
            </w:pPr>
            <w:r>
              <w:rPr>
                <w:color w:val="000000"/>
                <w:sz w:val="24"/>
              </w:rPr>
              <w:t>5.32</w:t>
            </w:r>
          </w:p>
        </w:tc>
      </w:tr>
      <w:tr w:rsidR="0041690D">
        <w:trPr>
          <w:jc w:val="center"/>
        </w:trPr>
        <w:tc>
          <w:tcPr>
            <w:tcW w:w="1075" w:type="dxa"/>
            <w:vAlign w:val="center"/>
          </w:tcPr>
          <w:p w:rsidR="0041690D" w:rsidRDefault="002509D8">
            <w:pPr>
              <w:jc w:val="center"/>
            </w:pPr>
            <w:r>
              <w:rPr>
                <w:color w:val="000000"/>
                <w:sz w:val="24"/>
              </w:rPr>
              <w:t>5</w:t>
            </w:r>
          </w:p>
        </w:tc>
        <w:tc>
          <w:tcPr>
            <w:tcW w:w="1533" w:type="dxa"/>
            <w:vAlign w:val="center"/>
          </w:tcPr>
          <w:p w:rsidR="0041690D" w:rsidRDefault="002509D8">
            <w:pPr>
              <w:jc w:val="center"/>
            </w:pPr>
            <w:r>
              <w:rPr>
                <w:color w:val="000000"/>
                <w:sz w:val="24"/>
              </w:rPr>
              <w:t>1280212</w:t>
            </w:r>
          </w:p>
        </w:tc>
        <w:tc>
          <w:tcPr>
            <w:tcW w:w="1533" w:type="dxa"/>
            <w:vAlign w:val="center"/>
          </w:tcPr>
          <w:p w:rsidR="0041690D" w:rsidRDefault="002509D8">
            <w:pPr>
              <w:jc w:val="center"/>
            </w:pPr>
            <w:r>
              <w:rPr>
                <w:color w:val="000000"/>
                <w:sz w:val="24"/>
              </w:rPr>
              <w:t>12</w:t>
            </w:r>
            <w:r>
              <w:rPr>
                <w:color w:val="000000"/>
                <w:sz w:val="24"/>
              </w:rPr>
              <w:t>北汽债</w:t>
            </w:r>
          </w:p>
        </w:tc>
        <w:tc>
          <w:tcPr>
            <w:tcW w:w="1394" w:type="dxa"/>
            <w:vAlign w:val="center"/>
          </w:tcPr>
          <w:p w:rsidR="0041690D" w:rsidRDefault="002509D8">
            <w:pPr>
              <w:jc w:val="right"/>
            </w:pPr>
            <w:r>
              <w:rPr>
                <w:color w:val="000000"/>
                <w:sz w:val="24"/>
              </w:rPr>
              <w:t>900,000</w:t>
            </w:r>
          </w:p>
        </w:tc>
        <w:tc>
          <w:tcPr>
            <w:tcW w:w="1944" w:type="dxa"/>
            <w:vAlign w:val="center"/>
          </w:tcPr>
          <w:p w:rsidR="0041690D" w:rsidRDefault="002509D8">
            <w:pPr>
              <w:jc w:val="right"/>
            </w:pPr>
            <w:r>
              <w:rPr>
                <w:color w:val="000000"/>
                <w:sz w:val="24"/>
              </w:rPr>
              <w:t>90,711,000.00</w:t>
            </w:r>
          </w:p>
        </w:tc>
        <w:tc>
          <w:tcPr>
            <w:tcW w:w="1389" w:type="dxa"/>
            <w:vAlign w:val="center"/>
          </w:tcPr>
          <w:p w:rsidR="0041690D" w:rsidRDefault="002509D8">
            <w:pPr>
              <w:jc w:val="right"/>
            </w:pPr>
            <w:r>
              <w:rPr>
                <w:color w:val="000000"/>
                <w:sz w:val="24"/>
              </w:rPr>
              <w:t>5.02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461"/>
        <w:gridCol w:w="1481"/>
        <w:gridCol w:w="1462"/>
        <w:gridCol w:w="1481"/>
        <w:gridCol w:w="1502"/>
        <w:gridCol w:w="1481"/>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41690D">
        <w:trPr>
          <w:jc w:val="center"/>
        </w:trPr>
        <w:tc>
          <w:tcPr>
            <w:tcW w:w="0" w:type="auto"/>
            <w:vAlign w:val="center"/>
          </w:tcPr>
          <w:p w:rsidR="0041690D" w:rsidRDefault="002509D8">
            <w:pPr>
              <w:jc w:val="center"/>
            </w:pPr>
            <w:r>
              <w:rPr>
                <w:color w:val="000000"/>
                <w:sz w:val="24"/>
              </w:rPr>
              <w:t>1</w:t>
            </w:r>
          </w:p>
        </w:tc>
        <w:tc>
          <w:tcPr>
            <w:tcW w:w="0" w:type="auto"/>
            <w:vAlign w:val="center"/>
          </w:tcPr>
          <w:p w:rsidR="0041690D" w:rsidRDefault="002509D8">
            <w:pPr>
              <w:jc w:val="center"/>
            </w:pPr>
            <w:r>
              <w:rPr>
                <w:color w:val="000000"/>
                <w:sz w:val="24"/>
              </w:rPr>
              <w:t>123929</w:t>
            </w:r>
          </w:p>
        </w:tc>
        <w:tc>
          <w:tcPr>
            <w:tcW w:w="0" w:type="auto"/>
            <w:vAlign w:val="center"/>
          </w:tcPr>
          <w:p w:rsidR="0041690D" w:rsidRDefault="002509D8">
            <w:pPr>
              <w:jc w:val="center"/>
            </w:pPr>
            <w:r>
              <w:rPr>
                <w:color w:val="000000"/>
                <w:sz w:val="24"/>
              </w:rPr>
              <w:t>高新热</w:t>
            </w:r>
            <w:r>
              <w:rPr>
                <w:color w:val="000000"/>
                <w:sz w:val="24"/>
              </w:rPr>
              <w:t>04</w:t>
            </w:r>
          </w:p>
        </w:tc>
        <w:tc>
          <w:tcPr>
            <w:tcW w:w="0" w:type="auto"/>
            <w:vAlign w:val="center"/>
          </w:tcPr>
          <w:p w:rsidR="0041690D" w:rsidRDefault="002509D8">
            <w:pPr>
              <w:jc w:val="right"/>
            </w:pPr>
            <w:r>
              <w:rPr>
                <w:color w:val="000000"/>
                <w:sz w:val="24"/>
              </w:rPr>
              <w:t>50,000</w:t>
            </w:r>
          </w:p>
        </w:tc>
        <w:tc>
          <w:tcPr>
            <w:tcW w:w="0" w:type="auto"/>
            <w:vAlign w:val="center"/>
          </w:tcPr>
          <w:p w:rsidR="0041690D" w:rsidRDefault="002509D8">
            <w:pPr>
              <w:jc w:val="right"/>
            </w:pPr>
            <w:r>
              <w:rPr>
                <w:color w:val="000000"/>
                <w:sz w:val="24"/>
              </w:rPr>
              <w:t>5,000,000.00</w:t>
            </w:r>
          </w:p>
        </w:tc>
        <w:tc>
          <w:tcPr>
            <w:tcW w:w="0" w:type="auto"/>
            <w:vAlign w:val="center"/>
          </w:tcPr>
          <w:p w:rsidR="0041690D" w:rsidRDefault="002509D8">
            <w:pPr>
              <w:jc w:val="right"/>
            </w:pPr>
            <w:r>
              <w:rPr>
                <w:color w:val="000000"/>
                <w:sz w:val="24"/>
              </w:rPr>
              <w:t>0.28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5"/>
        <w:gridCol w:w="2774"/>
        <w:gridCol w:w="4849"/>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54,662.73</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101,687,999.04</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41,137,222.91</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312,406.23</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143,192,290.91</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C51B4E" w:rsidRDefault="00C51B4E" w:rsidP="0028293E">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C51B4E" w:rsidRPr="00C51B4E" w:rsidRDefault="00C51B4E" w:rsidP="00C51B4E">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C51B4E" w:rsidRPr="00C51B4E" w:rsidRDefault="00C51B4E" w:rsidP="0028293E">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C51B4E" w:rsidRDefault="00C51B4E" w:rsidP="0028293E">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p w:rsidR="00D36545" w:rsidRPr="00C51B4E" w:rsidRDefault="00D36545" w:rsidP="00DD0D6B">
      <w:pPr>
        <w:adjustRightInd w:val="0"/>
        <w:snapToGrid w:val="0"/>
        <w:spacing w:beforeLines="50" w:before="156" w:line="360" w:lineRule="auto"/>
        <w:ind w:firstLineChars="200" w:firstLine="420"/>
        <w:rPr>
          <w:rFonts w:eastAsiaTheme="minorEastAsia"/>
          <w:b/>
          <w:color w:val="000000" w:themeColor="text1"/>
          <w:kern w:val="0"/>
          <w:szCs w:val="21"/>
        </w:rPr>
      </w:pPr>
      <w:r w:rsidRPr="00C51B4E">
        <w:rPr>
          <w:rFonts w:eastAsiaTheme="minorEastAsia" w:hint="eastAsia"/>
          <w:color w:val="000000" w:themeColor="text1"/>
          <w:szCs w:val="21"/>
        </w:rPr>
        <w:t>无。</w:t>
      </w:r>
    </w:p>
    <w:p w:rsidR="009238DB" w:rsidRPr="007F52FA" w:rsidRDefault="00C51B4E" w:rsidP="0028293E">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交银双轮动债券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交银双轮动债券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1,497,557,574.05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5,554,227.27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207,742,917.44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1,329,127.05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2,662,947.38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2,323,729.67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1,702,637,544.11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4,559,624.65</w:t>
            </w:r>
          </w:p>
        </w:tc>
      </w:tr>
    </w:tbl>
    <w:p w:rsidR="0041690D" w:rsidRDefault="002509D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28293E">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28293E">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41690D">
        <w:tc>
          <w:tcPr>
            <w:tcW w:w="992" w:type="dxa"/>
          </w:tcPr>
          <w:p w:rsidR="0041690D" w:rsidRDefault="0041690D"/>
          <w:p w:rsidR="0041690D" w:rsidRDefault="002509D8">
            <w:r>
              <w:rPr>
                <w:rFonts w:ascii="宋体" w:hAnsi="宋体" w:hint="eastAsia"/>
                <w:bCs/>
                <w:color w:val="000000"/>
                <w:kern w:val="0"/>
                <w:szCs w:val="21"/>
              </w:rPr>
              <w:t>机构</w:t>
            </w:r>
          </w:p>
        </w:tc>
        <w:tc>
          <w:tcPr>
            <w:tcW w:w="991" w:type="dxa"/>
            <w:vAlign w:val="center"/>
          </w:tcPr>
          <w:p w:rsidR="0041690D" w:rsidRDefault="002509D8">
            <w:pPr>
              <w:jc w:val="center"/>
            </w:pPr>
            <w:r>
              <w:rPr>
                <w:rFonts w:ascii="宋体" w:hAnsi="宋体" w:hint="eastAsia"/>
                <w:color w:val="000000"/>
                <w:kern w:val="0"/>
                <w:szCs w:val="21"/>
              </w:rPr>
              <w:t>1</w:t>
            </w:r>
          </w:p>
        </w:tc>
        <w:tc>
          <w:tcPr>
            <w:tcW w:w="1843" w:type="dxa"/>
            <w:vAlign w:val="center"/>
          </w:tcPr>
          <w:p w:rsidR="0041690D" w:rsidRDefault="002509D8">
            <w:pPr>
              <w:jc w:val="center"/>
            </w:pPr>
            <w:r>
              <w:rPr>
                <w:rFonts w:ascii="宋体" w:hAnsi="宋体" w:hint="eastAsia"/>
                <w:color w:val="000000"/>
                <w:kern w:val="0"/>
                <w:szCs w:val="21"/>
              </w:rPr>
              <w:t>2018/4/1-2018/6/30</w:t>
            </w:r>
          </w:p>
        </w:tc>
        <w:tc>
          <w:tcPr>
            <w:tcW w:w="851" w:type="dxa"/>
            <w:vAlign w:val="center"/>
          </w:tcPr>
          <w:p w:rsidR="0041690D" w:rsidRDefault="002509D8">
            <w:pPr>
              <w:jc w:val="center"/>
            </w:pPr>
            <w:r>
              <w:rPr>
                <w:rFonts w:ascii="宋体" w:hAnsi="宋体" w:hint="eastAsia"/>
                <w:color w:val="000000"/>
                <w:kern w:val="0"/>
                <w:szCs w:val="21"/>
              </w:rPr>
              <w:t>1,334,761,675.03</w:t>
            </w:r>
          </w:p>
        </w:tc>
        <w:tc>
          <w:tcPr>
            <w:tcW w:w="850" w:type="dxa"/>
            <w:vAlign w:val="center"/>
          </w:tcPr>
          <w:p w:rsidR="0041690D" w:rsidRDefault="002509D8">
            <w:pPr>
              <w:jc w:val="center"/>
            </w:pPr>
            <w:r>
              <w:rPr>
                <w:rFonts w:ascii="宋体" w:hAnsi="宋体" w:hint="eastAsia"/>
                <w:color w:val="000000"/>
                <w:kern w:val="0"/>
                <w:szCs w:val="21"/>
              </w:rPr>
              <w:t>-</w:t>
            </w:r>
          </w:p>
        </w:tc>
        <w:tc>
          <w:tcPr>
            <w:tcW w:w="1134" w:type="dxa"/>
            <w:vAlign w:val="center"/>
          </w:tcPr>
          <w:p w:rsidR="0041690D" w:rsidRDefault="002509D8">
            <w:pPr>
              <w:jc w:val="center"/>
            </w:pPr>
            <w:r>
              <w:rPr>
                <w:rFonts w:ascii="宋体" w:hAnsi="宋体" w:hint="eastAsia"/>
                <w:color w:val="000000"/>
                <w:kern w:val="0"/>
                <w:szCs w:val="21"/>
              </w:rPr>
              <w:t>-</w:t>
            </w:r>
          </w:p>
        </w:tc>
        <w:tc>
          <w:tcPr>
            <w:tcW w:w="1419" w:type="dxa"/>
            <w:vAlign w:val="center"/>
          </w:tcPr>
          <w:p w:rsidR="0041690D" w:rsidRDefault="002509D8">
            <w:pPr>
              <w:jc w:val="center"/>
            </w:pPr>
            <w:r>
              <w:rPr>
                <w:rFonts w:ascii="宋体" w:hAnsi="宋体" w:hint="eastAsia"/>
                <w:color w:val="000000"/>
                <w:kern w:val="0"/>
                <w:szCs w:val="21"/>
              </w:rPr>
              <w:t>1,334,761,675.03</w:t>
            </w:r>
          </w:p>
        </w:tc>
        <w:tc>
          <w:tcPr>
            <w:tcW w:w="1130" w:type="dxa"/>
            <w:vAlign w:val="center"/>
          </w:tcPr>
          <w:p w:rsidR="0041690D" w:rsidRDefault="002509D8">
            <w:pPr>
              <w:jc w:val="center"/>
            </w:pPr>
            <w:r>
              <w:rPr>
                <w:rFonts w:ascii="宋体" w:hAnsi="宋体" w:hint="eastAsia"/>
                <w:color w:val="000000"/>
                <w:kern w:val="0"/>
                <w:szCs w:val="21"/>
              </w:rPr>
              <w:t>78.18%</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41690D" w:rsidRDefault="002509D8">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、中国证监会批准交银施罗德双轮动债券型证券投资基金募集的文件；</w:t>
      </w:r>
      <w:r>
        <w:rPr>
          <w:rFonts w:eastAsiaTheme="minorEastAsia"/>
          <w:color w:val="000000"/>
          <w:sz w:val="24"/>
        </w:rPr>
        <w:t xml:space="preserve"> </w:t>
      </w:r>
    </w:p>
    <w:p w:rsidR="0041690D" w:rsidRDefault="002509D8">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、《交银施罗德双轮动债券型证券投资基金基金合同》；</w:t>
      </w:r>
      <w:r>
        <w:rPr>
          <w:rFonts w:eastAsiaTheme="minorEastAsia"/>
          <w:color w:val="000000"/>
          <w:sz w:val="24"/>
        </w:rPr>
        <w:t xml:space="preserve"> </w:t>
      </w:r>
    </w:p>
    <w:p w:rsidR="0041690D" w:rsidRDefault="002509D8">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、《交银施罗德双轮动债券型证券投资基金招募说明书》；</w:t>
      </w:r>
      <w:r>
        <w:rPr>
          <w:rFonts w:eastAsiaTheme="minorEastAsia"/>
          <w:color w:val="000000"/>
          <w:sz w:val="24"/>
        </w:rPr>
        <w:t xml:space="preserve"> </w:t>
      </w:r>
    </w:p>
    <w:p w:rsidR="0041690D" w:rsidRDefault="002509D8">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、《交银施罗德双轮动债券型证券投资基金托管协议》；</w:t>
      </w:r>
      <w:r>
        <w:rPr>
          <w:rFonts w:eastAsiaTheme="minorEastAsia"/>
          <w:color w:val="000000"/>
          <w:sz w:val="24"/>
        </w:rPr>
        <w:t xml:space="preserve"> </w:t>
      </w:r>
    </w:p>
    <w:p w:rsidR="0041690D" w:rsidRDefault="002509D8">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、关于募集交银施罗德双轮动债券型证券投资基金之法律意见书；</w:t>
      </w:r>
      <w:r>
        <w:rPr>
          <w:rFonts w:eastAsiaTheme="minorEastAsia"/>
          <w:color w:val="000000"/>
          <w:sz w:val="24"/>
        </w:rPr>
        <w:t xml:space="preserve"> </w:t>
      </w:r>
    </w:p>
    <w:p w:rsidR="0041690D" w:rsidRDefault="002509D8">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41690D" w:rsidRDefault="002509D8">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、报告期内交银施罗德双轮动债券型证券投资基金在指定报刊上各项公告的原稿。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41690D" w:rsidRDefault="002509D8">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5D6" w:rsidRDefault="007C15D6">
      <w:r>
        <w:separator/>
      </w:r>
    </w:p>
  </w:endnote>
  <w:endnote w:type="continuationSeparator" w:id="0">
    <w:p w:rsidR="007C15D6" w:rsidRDefault="007C1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3F1674">
      <w:rPr>
        <w:kern w:val="0"/>
        <w:szCs w:val="21"/>
      </w:rPr>
      <w:fldChar w:fldCharType="begin"/>
    </w:r>
    <w:r>
      <w:rPr>
        <w:kern w:val="0"/>
        <w:szCs w:val="21"/>
      </w:rPr>
      <w:instrText xml:space="preserve"> PAGE </w:instrText>
    </w:r>
    <w:r w:rsidR="003F1674">
      <w:rPr>
        <w:kern w:val="0"/>
        <w:szCs w:val="21"/>
      </w:rPr>
      <w:fldChar w:fldCharType="separate"/>
    </w:r>
    <w:r w:rsidR="00446CF5">
      <w:rPr>
        <w:noProof/>
        <w:kern w:val="0"/>
        <w:szCs w:val="21"/>
      </w:rPr>
      <w:t>5</w:t>
    </w:r>
    <w:r w:rsidR="003F1674">
      <w:rPr>
        <w:kern w:val="0"/>
        <w:szCs w:val="21"/>
      </w:rPr>
      <w:fldChar w:fldCharType="end"/>
    </w:r>
    <w:r>
      <w:rPr>
        <w:rFonts w:hint="eastAsia"/>
        <w:kern w:val="0"/>
        <w:szCs w:val="21"/>
      </w:rPr>
      <w:t>页共</w:t>
    </w:r>
    <w:r w:rsidR="003F1674">
      <w:rPr>
        <w:kern w:val="0"/>
        <w:szCs w:val="21"/>
      </w:rPr>
      <w:fldChar w:fldCharType="begin"/>
    </w:r>
    <w:r>
      <w:rPr>
        <w:kern w:val="0"/>
        <w:szCs w:val="21"/>
      </w:rPr>
      <w:instrText xml:space="preserve"> NUMPAGES </w:instrText>
    </w:r>
    <w:r w:rsidR="003F1674">
      <w:rPr>
        <w:kern w:val="0"/>
        <w:szCs w:val="21"/>
      </w:rPr>
      <w:fldChar w:fldCharType="separate"/>
    </w:r>
    <w:r w:rsidR="00446CF5">
      <w:rPr>
        <w:noProof/>
        <w:kern w:val="0"/>
        <w:szCs w:val="21"/>
      </w:rPr>
      <w:t>13</w:t>
    </w:r>
    <w:r w:rsidR="003F16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3F1674">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5D6" w:rsidRDefault="007C15D6">
      <w:r>
        <w:separator/>
      </w:r>
    </w:p>
  </w:footnote>
  <w:footnote w:type="continuationSeparator" w:id="0">
    <w:p w:rsidR="007C15D6" w:rsidRDefault="007C1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交银施罗德双轮动债券型证券投资基金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4A6D"/>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09D8"/>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90D"/>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6CF5"/>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5D6"/>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6545"/>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D6B"/>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6FE6"/>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324CF099-37DF-4127-A533-FF8760EB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 w:type="paragraph" w:styleId="af7">
    <w:name w:val="Revision"/>
    <w:hidden/>
    <w:uiPriority w:val="99"/>
    <w:semiHidden/>
    <w:rsid w:val="00D365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702E2-501F-41FF-8C9F-2D8215105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208</TotalTime>
  <Pages>13</Pages>
  <Words>1113</Words>
  <Characters>6348</Characters>
  <Application>Microsoft Office Word</Application>
  <DocSecurity>0</DocSecurity>
  <Lines>52</Lines>
  <Paragraphs>14</Paragraphs>
  <ScaleCrop>false</ScaleCrop>
  <Company>TRT. Ltd. Co.</Company>
  <LinksUpToDate>false</LinksUpToDate>
  <CharactersWithSpaces>7447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379</cp:revision>
  <cp:lastPrinted>2007-07-19T00:46:00Z</cp:lastPrinted>
  <dcterms:created xsi:type="dcterms:W3CDTF">2014-01-17T06:19:00Z</dcterms:created>
  <dcterms:modified xsi:type="dcterms:W3CDTF">2018-07-16T10:04:00Z</dcterms:modified>
</cp:coreProperties>
</file>