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95BBF" w:rsidRDefault="0017353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842,054,701.56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421C0" w:rsidRPr="00414345" w:rsidTr="000421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421C0" w:rsidRPr="00414345" w:rsidTr="000421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15,970,534.45</w:t>
            </w:r>
          </w:p>
        </w:tc>
      </w:tr>
      <w:tr w:rsidR="000421C0" w:rsidRPr="00414345" w:rsidTr="000421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24,937,302.05</w:t>
            </w:r>
          </w:p>
        </w:tc>
      </w:tr>
      <w:tr w:rsidR="000421C0" w:rsidRPr="00414345" w:rsidTr="000421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0.0466</w:t>
            </w:r>
          </w:p>
        </w:tc>
      </w:tr>
      <w:tr w:rsidR="000421C0" w:rsidRPr="00414345" w:rsidTr="000421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1,732,107,118.98</w:t>
            </w:r>
          </w:p>
        </w:tc>
      </w:tr>
      <w:tr w:rsidR="000421C0" w:rsidRPr="00414345" w:rsidTr="000421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2.057</w:t>
            </w:r>
          </w:p>
        </w:tc>
      </w:tr>
    </w:tbl>
    <w:p w:rsidR="00A95BBF" w:rsidRDefault="001735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95BBF">
        <w:trPr>
          <w:jc w:val="center"/>
        </w:trPr>
        <w:tc>
          <w:tcPr>
            <w:tcW w:w="1701" w:type="dxa"/>
            <w:vAlign w:val="center"/>
          </w:tcPr>
          <w:p w:rsidR="00A95BBF" w:rsidRDefault="00173535">
            <w:pPr>
              <w:jc w:val="left"/>
            </w:pPr>
            <w:r>
              <w:rPr>
                <w:color w:val="000000"/>
                <w:sz w:val="24"/>
                <w:szCs w:val="24"/>
              </w:rPr>
              <w:t>过去三个月</w:t>
            </w:r>
          </w:p>
        </w:tc>
        <w:tc>
          <w:tcPr>
            <w:tcW w:w="1045" w:type="dxa"/>
            <w:vAlign w:val="center"/>
          </w:tcPr>
          <w:p w:rsidR="00A95BBF" w:rsidRDefault="00173535">
            <w:pPr>
              <w:jc w:val="center"/>
            </w:pPr>
            <w:r>
              <w:rPr>
                <w:color w:val="000000"/>
                <w:sz w:val="24"/>
                <w:szCs w:val="24"/>
              </w:rPr>
              <w:t>2.84%</w:t>
            </w:r>
          </w:p>
        </w:tc>
        <w:tc>
          <w:tcPr>
            <w:tcW w:w="1344" w:type="dxa"/>
            <w:vAlign w:val="center"/>
          </w:tcPr>
          <w:p w:rsidR="00A95BBF" w:rsidRDefault="00173535">
            <w:pPr>
              <w:jc w:val="center"/>
            </w:pPr>
            <w:r>
              <w:rPr>
                <w:color w:val="000000"/>
                <w:sz w:val="24"/>
                <w:szCs w:val="24"/>
              </w:rPr>
              <w:t>1.47%</w:t>
            </w:r>
          </w:p>
        </w:tc>
        <w:tc>
          <w:tcPr>
            <w:tcW w:w="1194" w:type="dxa"/>
            <w:vAlign w:val="center"/>
          </w:tcPr>
          <w:p w:rsidR="00A95BBF" w:rsidRDefault="00173535">
            <w:pPr>
              <w:jc w:val="center"/>
            </w:pPr>
            <w:r>
              <w:rPr>
                <w:color w:val="000000"/>
                <w:sz w:val="24"/>
                <w:szCs w:val="24"/>
              </w:rPr>
              <w:t>-7.03%</w:t>
            </w:r>
          </w:p>
        </w:tc>
        <w:tc>
          <w:tcPr>
            <w:tcW w:w="1492" w:type="dxa"/>
            <w:vAlign w:val="center"/>
          </w:tcPr>
          <w:p w:rsidR="00A95BBF" w:rsidRDefault="00173535">
            <w:pPr>
              <w:jc w:val="center"/>
            </w:pPr>
            <w:r>
              <w:rPr>
                <w:color w:val="000000"/>
                <w:sz w:val="24"/>
                <w:szCs w:val="24"/>
              </w:rPr>
              <w:t>0.85%</w:t>
            </w:r>
          </w:p>
        </w:tc>
        <w:tc>
          <w:tcPr>
            <w:tcW w:w="1194" w:type="dxa"/>
            <w:vAlign w:val="center"/>
          </w:tcPr>
          <w:p w:rsidR="00A95BBF" w:rsidRDefault="00173535">
            <w:pPr>
              <w:jc w:val="center"/>
            </w:pPr>
            <w:r>
              <w:rPr>
                <w:color w:val="000000"/>
                <w:sz w:val="24"/>
                <w:szCs w:val="24"/>
              </w:rPr>
              <w:t>9.87%</w:t>
            </w:r>
          </w:p>
        </w:tc>
        <w:tc>
          <w:tcPr>
            <w:tcW w:w="898" w:type="dxa"/>
            <w:vAlign w:val="center"/>
          </w:tcPr>
          <w:p w:rsidR="00A95BBF" w:rsidRDefault="00173535">
            <w:pPr>
              <w:jc w:val="center"/>
            </w:pPr>
            <w:r>
              <w:rPr>
                <w:color w:val="000000"/>
                <w:sz w:val="24"/>
                <w:szCs w:val="24"/>
              </w:rPr>
              <w:t>0.62%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95BBF">
        <w:trPr>
          <w:jc w:val="center"/>
        </w:trPr>
        <w:tc>
          <w:tcPr>
            <w:tcW w:w="846" w:type="dxa"/>
            <w:vAlign w:val="center"/>
          </w:tcPr>
          <w:p w:rsidR="00A95BBF" w:rsidRDefault="00173535">
            <w:pPr>
              <w:jc w:val="center"/>
            </w:pPr>
            <w:r>
              <w:rPr>
                <w:color w:val="000000"/>
                <w:sz w:val="24"/>
                <w:szCs w:val="24"/>
              </w:rPr>
              <w:t>何帅</w:t>
            </w:r>
          </w:p>
        </w:tc>
        <w:tc>
          <w:tcPr>
            <w:tcW w:w="845" w:type="dxa"/>
            <w:vAlign w:val="center"/>
          </w:tcPr>
          <w:p w:rsidR="00A95BBF" w:rsidRDefault="00173535">
            <w:pPr>
              <w:jc w:val="center"/>
            </w:pPr>
            <w:r>
              <w:rPr>
                <w:color w:val="000000"/>
                <w:sz w:val="24"/>
                <w:szCs w:val="24"/>
              </w:rPr>
              <w:t>交银优势行业混合、交银阿尔法核心混合、交银持续成</w:t>
            </w:r>
            <w:r>
              <w:rPr>
                <w:color w:val="000000"/>
                <w:sz w:val="24"/>
                <w:szCs w:val="24"/>
              </w:rPr>
              <w:lastRenderedPageBreak/>
              <w:t>长主题混合的基金经理</w:t>
            </w:r>
          </w:p>
        </w:tc>
        <w:tc>
          <w:tcPr>
            <w:tcW w:w="1549" w:type="dxa"/>
            <w:vAlign w:val="center"/>
          </w:tcPr>
          <w:p w:rsidR="00A95BBF" w:rsidRDefault="00173535">
            <w:pPr>
              <w:jc w:val="center"/>
            </w:pPr>
            <w:r>
              <w:rPr>
                <w:color w:val="000000"/>
                <w:sz w:val="24"/>
                <w:szCs w:val="24"/>
              </w:rPr>
              <w:lastRenderedPageBreak/>
              <w:t>2015-09-16</w:t>
            </w:r>
          </w:p>
        </w:tc>
        <w:tc>
          <w:tcPr>
            <w:tcW w:w="1548" w:type="dxa"/>
            <w:vAlign w:val="center"/>
          </w:tcPr>
          <w:p w:rsidR="00A95BBF" w:rsidRDefault="00173535">
            <w:pPr>
              <w:jc w:val="center"/>
            </w:pPr>
            <w:r>
              <w:rPr>
                <w:color w:val="000000"/>
                <w:sz w:val="24"/>
                <w:szCs w:val="24"/>
              </w:rPr>
              <w:t>-</w:t>
            </w:r>
          </w:p>
        </w:tc>
        <w:tc>
          <w:tcPr>
            <w:tcW w:w="1407" w:type="dxa"/>
            <w:vAlign w:val="center"/>
          </w:tcPr>
          <w:p w:rsidR="00A95BBF" w:rsidRDefault="00173535">
            <w:pPr>
              <w:jc w:val="center"/>
            </w:pPr>
            <w:r>
              <w:rPr>
                <w:color w:val="000000"/>
                <w:sz w:val="24"/>
                <w:szCs w:val="24"/>
              </w:rPr>
              <w:t>8</w:t>
            </w:r>
            <w:r>
              <w:rPr>
                <w:color w:val="000000"/>
                <w:sz w:val="24"/>
                <w:szCs w:val="24"/>
              </w:rPr>
              <w:t>年</w:t>
            </w:r>
          </w:p>
        </w:tc>
        <w:tc>
          <w:tcPr>
            <w:tcW w:w="2673" w:type="dxa"/>
            <w:vAlign w:val="center"/>
          </w:tcPr>
          <w:p w:rsidR="00A95BBF" w:rsidRDefault="00173535">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95BBF" w:rsidRDefault="0017353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95BBF" w:rsidRDefault="0017353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95BBF" w:rsidRDefault="0017353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A95BBF" w:rsidRDefault="00173535">
      <w:pPr>
        <w:spacing w:before="29" w:line="288" w:lineRule="auto"/>
        <w:ind w:firstLineChars="200" w:firstLine="480"/>
        <w:rPr>
          <w:color w:val="000000"/>
          <w:sz w:val="24"/>
          <w:szCs w:val="24"/>
        </w:rPr>
      </w:pPr>
      <w:r>
        <w:rPr>
          <w:color w:val="000000"/>
          <w:sz w:val="24"/>
          <w:szCs w:val="24"/>
        </w:rPr>
        <w:t>2018</w:t>
      </w:r>
      <w:r>
        <w:rPr>
          <w:color w:val="000000"/>
          <w:sz w:val="24"/>
          <w:szCs w:val="24"/>
        </w:rPr>
        <w:t>年二季度</w:t>
      </w:r>
      <w:r>
        <w:rPr>
          <w:color w:val="000000"/>
          <w:sz w:val="24"/>
          <w:szCs w:val="24"/>
        </w:rPr>
        <w:t>A</w:t>
      </w:r>
      <w:r>
        <w:rPr>
          <w:color w:val="000000"/>
          <w:sz w:val="24"/>
          <w:szCs w:val="24"/>
        </w:rPr>
        <w:t>股市场整体呈现下跌趋势，上证指数下跌</w:t>
      </w:r>
      <w:r>
        <w:rPr>
          <w:color w:val="000000"/>
          <w:sz w:val="24"/>
          <w:szCs w:val="24"/>
        </w:rPr>
        <w:t>10.1%</w:t>
      </w:r>
      <w:r>
        <w:rPr>
          <w:color w:val="000000"/>
          <w:sz w:val="24"/>
          <w:szCs w:val="24"/>
        </w:rPr>
        <w:t>，创业板指数下跌</w:t>
      </w:r>
      <w:r>
        <w:rPr>
          <w:color w:val="000000"/>
          <w:sz w:val="24"/>
          <w:szCs w:val="24"/>
        </w:rPr>
        <w:t>15.5%</w:t>
      </w:r>
      <w:r>
        <w:rPr>
          <w:color w:val="000000"/>
          <w:sz w:val="24"/>
          <w:szCs w:val="24"/>
        </w:rPr>
        <w:t>。市场担忧的风险因素较多，比如贸易摩擦、债务违约风险及地产调控升级等，其中医药、消费等偏防御类行业表现较好，其他行业均有明显回落。</w:t>
      </w:r>
    </w:p>
    <w:p w:rsidR="00A95BBF" w:rsidRDefault="00173535">
      <w:pPr>
        <w:spacing w:before="29" w:line="288" w:lineRule="auto"/>
        <w:ind w:firstLineChars="200" w:firstLine="480"/>
        <w:rPr>
          <w:color w:val="000000"/>
          <w:sz w:val="24"/>
          <w:szCs w:val="24"/>
        </w:rPr>
      </w:pPr>
      <w:r>
        <w:rPr>
          <w:color w:val="000000"/>
          <w:sz w:val="24"/>
          <w:szCs w:val="24"/>
        </w:rPr>
        <w:t>本基金在二季度超额收益明显，主要原因是前期布局的优质公司表现较好。</w:t>
      </w:r>
    </w:p>
    <w:p w:rsidR="00A95BBF" w:rsidRDefault="00173535">
      <w:pPr>
        <w:spacing w:before="29" w:line="288" w:lineRule="auto"/>
        <w:ind w:firstLineChars="200" w:firstLine="480"/>
        <w:rPr>
          <w:color w:val="000000"/>
          <w:sz w:val="24"/>
          <w:szCs w:val="24"/>
        </w:rPr>
      </w:pPr>
      <w:r>
        <w:rPr>
          <w:color w:val="000000"/>
          <w:sz w:val="24"/>
          <w:szCs w:val="24"/>
        </w:rPr>
        <w:t>对于经济、利率及股票市场，目前我们均持中性态度，我们预计经济整体较为稳健，而利率的阶段性上升趋势可能减缓。此轮</w:t>
      </w:r>
      <w:r>
        <w:rPr>
          <w:color w:val="000000"/>
          <w:sz w:val="24"/>
          <w:szCs w:val="24"/>
        </w:rPr>
        <w:t>A</w:t>
      </w:r>
      <w:r>
        <w:rPr>
          <w:color w:val="000000"/>
          <w:sz w:val="24"/>
          <w:szCs w:val="24"/>
        </w:rPr>
        <w:t>股市场的回落超过我们的预期，虽然目前经济环境仍较为稳健，但经济的不确定因素在加多，而市场风险偏好持续下降。在这样的市场环境下，我们认为选择优秀的公司、合理的价格买入，依然可以获得较为明显的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我们希望通过深度研究，找到需求可持续增长的行业、竞争力可持续拓宽的公司，从公司价值的可持续成长空间中获利，并希望能够持续以此为持有人获得超额收益。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2.057</w:t>
      </w:r>
      <w:r w:rsidRPr="00414345">
        <w:rPr>
          <w:color w:val="000000"/>
          <w:sz w:val="24"/>
          <w:szCs w:val="24"/>
        </w:rPr>
        <w:t>元，本报告期份额净值增长率为</w:t>
      </w:r>
      <w:r w:rsidRPr="00414345">
        <w:rPr>
          <w:color w:val="000000"/>
          <w:sz w:val="24"/>
          <w:szCs w:val="24"/>
        </w:rPr>
        <w:t>2.84%</w:t>
      </w:r>
      <w:r w:rsidRPr="00414345">
        <w:rPr>
          <w:color w:val="000000"/>
          <w:sz w:val="24"/>
          <w:szCs w:val="24"/>
        </w:rPr>
        <w:t>，同期业绩比较基准增长率为</w:t>
      </w:r>
      <w:r w:rsidRPr="00414345">
        <w:rPr>
          <w:color w:val="000000"/>
          <w:sz w:val="24"/>
          <w:szCs w:val="24"/>
        </w:rPr>
        <w:t>-7.03%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1,453,382,228.90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83.40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1,453,382,228.90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83.40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20,053,784.40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20,053,784.40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245,585,093.48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23,592,918.20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1,742,614,024.98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16,806,452.46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519,795,636.39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1,476,456.00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96,461,239.05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28,313,205.00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461,252,330.78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4,756,160.00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78,892,214.34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79,697.02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67,574,207.40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701,396.86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73,330,672.00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103,585,801.60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57,960.00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1,453,382,228.90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95BBF">
        <w:trPr>
          <w:jc w:val="center"/>
        </w:trPr>
        <w:tc>
          <w:tcPr>
            <w:tcW w:w="855" w:type="dxa"/>
            <w:vAlign w:val="center"/>
          </w:tcPr>
          <w:p w:rsidR="00A95BBF" w:rsidRDefault="00173535">
            <w:pPr>
              <w:jc w:val="center"/>
            </w:pPr>
            <w:r>
              <w:rPr>
                <w:color w:val="000000"/>
                <w:sz w:val="24"/>
                <w:szCs w:val="24"/>
              </w:rPr>
              <w:t>1</w:t>
            </w:r>
          </w:p>
        </w:tc>
        <w:tc>
          <w:tcPr>
            <w:tcW w:w="1334" w:type="dxa"/>
            <w:vAlign w:val="center"/>
          </w:tcPr>
          <w:p w:rsidR="00A95BBF" w:rsidRDefault="00173535">
            <w:pPr>
              <w:jc w:val="center"/>
            </w:pPr>
            <w:r>
              <w:rPr>
                <w:color w:val="000000"/>
                <w:sz w:val="24"/>
                <w:szCs w:val="24"/>
              </w:rPr>
              <w:t>300365</w:t>
            </w:r>
          </w:p>
        </w:tc>
        <w:tc>
          <w:tcPr>
            <w:tcW w:w="1777" w:type="dxa"/>
            <w:vAlign w:val="center"/>
          </w:tcPr>
          <w:p w:rsidR="00A95BBF" w:rsidRDefault="00173535">
            <w:pPr>
              <w:jc w:val="center"/>
            </w:pPr>
            <w:r>
              <w:rPr>
                <w:color w:val="000000"/>
                <w:sz w:val="24"/>
                <w:szCs w:val="24"/>
              </w:rPr>
              <w:t>恒华科技</w:t>
            </w:r>
          </w:p>
        </w:tc>
        <w:tc>
          <w:tcPr>
            <w:tcW w:w="1334" w:type="dxa"/>
            <w:vAlign w:val="center"/>
          </w:tcPr>
          <w:p w:rsidR="00A95BBF" w:rsidRDefault="00173535">
            <w:pPr>
              <w:jc w:val="right"/>
            </w:pPr>
            <w:r>
              <w:rPr>
                <w:color w:val="000000"/>
                <w:sz w:val="24"/>
                <w:szCs w:val="24"/>
              </w:rPr>
              <w:t>6,882,802</w:t>
            </w:r>
          </w:p>
        </w:tc>
        <w:tc>
          <w:tcPr>
            <w:tcW w:w="1924" w:type="dxa"/>
            <w:vAlign w:val="center"/>
          </w:tcPr>
          <w:p w:rsidR="00A95BBF" w:rsidRDefault="00173535">
            <w:pPr>
              <w:jc w:val="right"/>
            </w:pPr>
            <w:r>
              <w:rPr>
                <w:color w:val="000000"/>
                <w:sz w:val="24"/>
                <w:szCs w:val="24"/>
              </w:rPr>
              <w:t>141,992,205.26</w:t>
            </w:r>
          </w:p>
        </w:tc>
        <w:tc>
          <w:tcPr>
            <w:tcW w:w="1644" w:type="dxa"/>
            <w:vAlign w:val="center"/>
          </w:tcPr>
          <w:p w:rsidR="00A95BBF" w:rsidRDefault="00173535">
            <w:pPr>
              <w:jc w:val="right"/>
            </w:pPr>
            <w:r>
              <w:rPr>
                <w:color w:val="000000"/>
                <w:sz w:val="24"/>
                <w:szCs w:val="24"/>
              </w:rPr>
              <w:t>8.20</w:t>
            </w:r>
          </w:p>
        </w:tc>
      </w:tr>
      <w:tr w:rsidR="00A95BBF">
        <w:trPr>
          <w:jc w:val="center"/>
        </w:trPr>
        <w:tc>
          <w:tcPr>
            <w:tcW w:w="855" w:type="dxa"/>
            <w:vAlign w:val="center"/>
          </w:tcPr>
          <w:p w:rsidR="00A95BBF" w:rsidRDefault="00173535">
            <w:pPr>
              <w:jc w:val="center"/>
            </w:pPr>
            <w:r>
              <w:rPr>
                <w:color w:val="000000"/>
                <w:sz w:val="24"/>
                <w:szCs w:val="24"/>
              </w:rPr>
              <w:t>2</w:t>
            </w:r>
          </w:p>
        </w:tc>
        <w:tc>
          <w:tcPr>
            <w:tcW w:w="1334" w:type="dxa"/>
            <w:vAlign w:val="center"/>
          </w:tcPr>
          <w:p w:rsidR="00A95BBF" w:rsidRDefault="00173535">
            <w:pPr>
              <w:jc w:val="center"/>
            </w:pPr>
            <w:r>
              <w:rPr>
                <w:color w:val="000000"/>
                <w:sz w:val="24"/>
                <w:szCs w:val="24"/>
              </w:rPr>
              <w:t>300188</w:t>
            </w:r>
          </w:p>
        </w:tc>
        <w:tc>
          <w:tcPr>
            <w:tcW w:w="1777" w:type="dxa"/>
            <w:vAlign w:val="center"/>
          </w:tcPr>
          <w:p w:rsidR="00A95BBF" w:rsidRDefault="00173535">
            <w:pPr>
              <w:jc w:val="center"/>
            </w:pPr>
            <w:r>
              <w:rPr>
                <w:color w:val="000000"/>
                <w:sz w:val="24"/>
                <w:szCs w:val="24"/>
              </w:rPr>
              <w:t>美亚柏科</w:t>
            </w:r>
          </w:p>
        </w:tc>
        <w:tc>
          <w:tcPr>
            <w:tcW w:w="1334" w:type="dxa"/>
            <w:vAlign w:val="center"/>
          </w:tcPr>
          <w:p w:rsidR="00A95BBF" w:rsidRDefault="00173535">
            <w:pPr>
              <w:jc w:val="right"/>
            </w:pPr>
            <w:r>
              <w:rPr>
                <w:color w:val="000000"/>
                <w:sz w:val="24"/>
                <w:szCs w:val="24"/>
              </w:rPr>
              <w:t>6,890,287</w:t>
            </w:r>
          </w:p>
        </w:tc>
        <w:tc>
          <w:tcPr>
            <w:tcW w:w="1924" w:type="dxa"/>
            <w:vAlign w:val="center"/>
          </w:tcPr>
          <w:p w:rsidR="00A95BBF" w:rsidRDefault="00173535">
            <w:pPr>
              <w:jc w:val="right"/>
            </w:pPr>
            <w:r>
              <w:rPr>
                <w:color w:val="000000"/>
                <w:sz w:val="24"/>
                <w:szCs w:val="24"/>
              </w:rPr>
              <w:t>126,092,252.10</w:t>
            </w:r>
          </w:p>
        </w:tc>
        <w:tc>
          <w:tcPr>
            <w:tcW w:w="1644" w:type="dxa"/>
            <w:vAlign w:val="center"/>
          </w:tcPr>
          <w:p w:rsidR="00A95BBF" w:rsidRDefault="00173535">
            <w:pPr>
              <w:jc w:val="right"/>
            </w:pPr>
            <w:r>
              <w:rPr>
                <w:color w:val="000000"/>
                <w:sz w:val="24"/>
                <w:szCs w:val="24"/>
              </w:rPr>
              <w:t>7.28</w:t>
            </w:r>
          </w:p>
        </w:tc>
      </w:tr>
      <w:tr w:rsidR="00A95BBF">
        <w:trPr>
          <w:jc w:val="center"/>
        </w:trPr>
        <w:tc>
          <w:tcPr>
            <w:tcW w:w="855" w:type="dxa"/>
            <w:vAlign w:val="center"/>
          </w:tcPr>
          <w:p w:rsidR="00A95BBF" w:rsidRDefault="00173535">
            <w:pPr>
              <w:jc w:val="center"/>
            </w:pPr>
            <w:r>
              <w:rPr>
                <w:color w:val="000000"/>
                <w:sz w:val="24"/>
                <w:szCs w:val="24"/>
              </w:rPr>
              <w:t>3</w:t>
            </w:r>
          </w:p>
        </w:tc>
        <w:tc>
          <w:tcPr>
            <w:tcW w:w="1334" w:type="dxa"/>
            <w:vAlign w:val="center"/>
          </w:tcPr>
          <w:p w:rsidR="00A95BBF" w:rsidRDefault="00173535">
            <w:pPr>
              <w:jc w:val="center"/>
            </w:pPr>
            <w:r>
              <w:rPr>
                <w:color w:val="000000"/>
                <w:sz w:val="24"/>
                <w:szCs w:val="24"/>
              </w:rPr>
              <w:t>603096</w:t>
            </w:r>
          </w:p>
        </w:tc>
        <w:tc>
          <w:tcPr>
            <w:tcW w:w="1777" w:type="dxa"/>
            <w:vAlign w:val="center"/>
          </w:tcPr>
          <w:p w:rsidR="00A95BBF" w:rsidRDefault="00173535">
            <w:pPr>
              <w:jc w:val="center"/>
            </w:pPr>
            <w:r>
              <w:rPr>
                <w:color w:val="000000"/>
                <w:sz w:val="24"/>
                <w:szCs w:val="24"/>
              </w:rPr>
              <w:t>新经典</w:t>
            </w:r>
          </w:p>
        </w:tc>
        <w:tc>
          <w:tcPr>
            <w:tcW w:w="1334" w:type="dxa"/>
            <w:vAlign w:val="center"/>
          </w:tcPr>
          <w:p w:rsidR="00A95BBF" w:rsidRDefault="00173535">
            <w:pPr>
              <w:jc w:val="right"/>
            </w:pPr>
            <w:r>
              <w:rPr>
                <w:color w:val="000000"/>
                <w:sz w:val="24"/>
                <w:szCs w:val="24"/>
              </w:rPr>
              <w:t>933,585</w:t>
            </w:r>
          </w:p>
        </w:tc>
        <w:tc>
          <w:tcPr>
            <w:tcW w:w="1924" w:type="dxa"/>
            <w:vAlign w:val="center"/>
          </w:tcPr>
          <w:p w:rsidR="00A95BBF" w:rsidRDefault="00173535">
            <w:pPr>
              <w:jc w:val="right"/>
            </w:pPr>
            <w:r>
              <w:rPr>
                <w:color w:val="000000"/>
                <w:sz w:val="24"/>
                <w:szCs w:val="24"/>
              </w:rPr>
              <w:t>78,215,751.30</w:t>
            </w:r>
          </w:p>
        </w:tc>
        <w:tc>
          <w:tcPr>
            <w:tcW w:w="1644" w:type="dxa"/>
            <w:vAlign w:val="center"/>
          </w:tcPr>
          <w:p w:rsidR="00A95BBF" w:rsidRDefault="00173535">
            <w:pPr>
              <w:jc w:val="right"/>
            </w:pPr>
            <w:r>
              <w:rPr>
                <w:color w:val="000000"/>
                <w:sz w:val="24"/>
                <w:szCs w:val="24"/>
              </w:rPr>
              <w:t>4.52</w:t>
            </w:r>
          </w:p>
        </w:tc>
      </w:tr>
      <w:tr w:rsidR="00A95BBF">
        <w:trPr>
          <w:jc w:val="center"/>
        </w:trPr>
        <w:tc>
          <w:tcPr>
            <w:tcW w:w="855" w:type="dxa"/>
            <w:vAlign w:val="center"/>
          </w:tcPr>
          <w:p w:rsidR="00A95BBF" w:rsidRDefault="00173535">
            <w:pPr>
              <w:jc w:val="center"/>
            </w:pPr>
            <w:r>
              <w:rPr>
                <w:color w:val="000000"/>
                <w:sz w:val="24"/>
                <w:szCs w:val="24"/>
              </w:rPr>
              <w:t>4</w:t>
            </w:r>
          </w:p>
        </w:tc>
        <w:tc>
          <w:tcPr>
            <w:tcW w:w="1334" w:type="dxa"/>
            <w:vAlign w:val="center"/>
          </w:tcPr>
          <w:p w:rsidR="00A95BBF" w:rsidRDefault="00173535">
            <w:pPr>
              <w:jc w:val="center"/>
            </w:pPr>
            <w:r>
              <w:rPr>
                <w:color w:val="000000"/>
                <w:sz w:val="24"/>
                <w:szCs w:val="24"/>
              </w:rPr>
              <w:t>002690</w:t>
            </w:r>
          </w:p>
        </w:tc>
        <w:tc>
          <w:tcPr>
            <w:tcW w:w="1777" w:type="dxa"/>
            <w:vAlign w:val="center"/>
          </w:tcPr>
          <w:p w:rsidR="00A95BBF" w:rsidRDefault="00173535">
            <w:pPr>
              <w:jc w:val="center"/>
            </w:pPr>
            <w:r>
              <w:rPr>
                <w:color w:val="000000"/>
                <w:sz w:val="24"/>
                <w:szCs w:val="24"/>
              </w:rPr>
              <w:t>美亚光电</w:t>
            </w:r>
          </w:p>
        </w:tc>
        <w:tc>
          <w:tcPr>
            <w:tcW w:w="1334" w:type="dxa"/>
            <w:vAlign w:val="center"/>
          </w:tcPr>
          <w:p w:rsidR="00A95BBF" w:rsidRDefault="00173535">
            <w:pPr>
              <w:jc w:val="right"/>
            </w:pPr>
            <w:r>
              <w:rPr>
                <w:color w:val="000000"/>
                <w:sz w:val="24"/>
                <w:szCs w:val="24"/>
              </w:rPr>
              <w:t>3,094,268</w:t>
            </w:r>
          </w:p>
        </w:tc>
        <w:tc>
          <w:tcPr>
            <w:tcW w:w="1924" w:type="dxa"/>
            <w:vAlign w:val="center"/>
          </w:tcPr>
          <w:p w:rsidR="00A95BBF" w:rsidRDefault="00173535">
            <w:pPr>
              <w:jc w:val="right"/>
            </w:pPr>
            <w:r>
              <w:rPr>
                <w:color w:val="000000"/>
                <w:sz w:val="24"/>
                <w:szCs w:val="24"/>
              </w:rPr>
              <w:t>73,767,349.12</w:t>
            </w:r>
          </w:p>
        </w:tc>
        <w:tc>
          <w:tcPr>
            <w:tcW w:w="1644" w:type="dxa"/>
            <w:vAlign w:val="center"/>
          </w:tcPr>
          <w:p w:rsidR="00A95BBF" w:rsidRDefault="00173535">
            <w:pPr>
              <w:jc w:val="right"/>
            </w:pPr>
            <w:r>
              <w:rPr>
                <w:color w:val="000000"/>
                <w:sz w:val="24"/>
                <w:szCs w:val="24"/>
              </w:rPr>
              <w:t>4.26</w:t>
            </w:r>
          </w:p>
        </w:tc>
      </w:tr>
      <w:tr w:rsidR="00A95BBF">
        <w:trPr>
          <w:jc w:val="center"/>
        </w:trPr>
        <w:tc>
          <w:tcPr>
            <w:tcW w:w="855" w:type="dxa"/>
            <w:vAlign w:val="center"/>
          </w:tcPr>
          <w:p w:rsidR="00A95BBF" w:rsidRDefault="00173535">
            <w:pPr>
              <w:jc w:val="center"/>
            </w:pPr>
            <w:r>
              <w:rPr>
                <w:color w:val="000000"/>
                <w:sz w:val="24"/>
                <w:szCs w:val="24"/>
              </w:rPr>
              <w:t>5</w:t>
            </w:r>
          </w:p>
        </w:tc>
        <w:tc>
          <w:tcPr>
            <w:tcW w:w="1334" w:type="dxa"/>
            <w:vAlign w:val="center"/>
          </w:tcPr>
          <w:p w:rsidR="00A95BBF" w:rsidRDefault="00173535">
            <w:pPr>
              <w:jc w:val="center"/>
            </w:pPr>
            <w:r>
              <w:rPr>
                <w:color w:val="000000"/>
                <w:sz w:val="24"/>
                <w:szCs w:val="24"/>
              </w:rPr>
              <w:t>002044</w:t>
            </w:r>
          </w:p>
        </w:tc>
        <w:tc>
          <w:tcPr>
            <w:tcW w:w="1777" w:type="dxa"/>
            <w:vAlign w:val="center"/>
          </w:tcPr>
          <w:p w:rsidR="00A95BBF" w:rsidRDefault="00173535">
            <w:pPr>
              <w:jc w:val="center"/>
            </w:pPr>
            <w:r>
              <w:rPr>
                <w:color w:val="000000"/>
                <w:sz w:val="24"/>
                <w:szCs w:val="24"/>
              </w:rPr>
              <w:t>美年健康</w:t>
            </w:r>
          </w:p>
        </w:tc>
        <w:tc>
          <w:tcPr>
            <w:tcW w:w="1334" w:type="dxa"/>
            <w:vAlign w:val="center"/>
          </w:tcPr>
          <w:p w:rsidR="00A95BBF" w:rsidRDefault="00173535">
            <w:pPr>
              <w:jc w:val="right"/>
            </w:pPr>
            <w:r>
              <w:rPr>
                <w:color w:val="000000"/>
                <w:sz w:val="24"/>
                <w:szCs w:val="24"/>
              </w:rPr>
              <w:t>3,244,720</w:t>
            </w:r>
          </w:p>
        </w:tc>
        <w:tc>
          <w:tcPr>
            <w:tcW w:w="1924" w:type="dxa"/>
            <w:vAlign w:val="center"/>
          </w:tcPr>
          <w:p w:rsidR="00A95BBF" w:rsidRDefault="00173535">
            <w:pPr>
              <w:jc w:val="right"/>
            </w:pPr>
            <w:r>
              <w:rPr>
                <w:color w:val="000000"/>
                <w:sz w:val="24"/>
                <w:szCs w:val="24"/>
              </w:rPr>
              <w:t>73,330,672.00</w:t>
            </w:r>
          </w:p>
        </w:tc>
        <w:tc>
          <w:tcPr>
            <w:tcW w:w="1644" w:type="dxa"/>
            <w:vAlign w:val="center"/>
          </w:tcPr>
          <w:p w:rsidR="00A95BBF" w:rsidRDefault="00173535">
            <w:pPr>
              <w:jc w:val="right"/>
            </w:pPr>
            <w:r>
              <w:rPr>
                <w:color w:val="000000"/>
                <w:sz w:val="24"/>
                <w:szCs w:val="24"/>
              </w:rPr>
              <w:t>4.23</w:t>
            </w:r>
          </w:p>
        </w:tc>
      </w:tr>
      <w:tr w:rsidR="00A95BBF">
        <w:trPr>
          <w:jc w:val="center"/>
        </w:trPr>
        <w:tc>
          <w:tcPr>
            <w:tcW w:w="855" w:type="dxa"/>
            <w:vAlign w:val="center"/>
          </w:tcPr>
          <w:p w:rsidR="00A95BBF" w:rsidRDefault="00173535">
            <w:pPr>
              <w:jc w:val="center"/>
            </w:pPr>
            <w:r>
              <w:rPr>
                <w:color w:val="000000"/>
                <w:sz w:val="24"/>
                <w:szCs w:val="24"/>
              </w:rPr>
              <w:t>6</w:t>
            </w:r>
          </w:p>
        </w:tc>
        <w:tc>
          <w:tcPr>
            <w:tcW w:w="1334" w:type="dxa"/>
            <w:vAlign w:val="center"/>
          </w:tcPr>
          <w:p w:rsidR="00A95BBF" w:rsidRDefault="00173535">
            <w:pPr>
              <w:jc w:val="center"/>
            </w:pPr>
            <w:r>
              <w:rPr>
                <w:color w:val="000000"/>
                <w:sz w:val="24"/>
                <w:szCs w:val="24"/>
              </w:rPr>
              <w:t>300012</w:t>
            </w:r>
          </w:p>
        </w:tc>
        <w:tc>
          <w:tcPr>
            <w:tcW w:w="1777" w:type="dxa"/>
            <w:vAlign w:val="center"/>
          </w:tcPr>
          <w:p w:rsidR="00A95BBF" w:rsidRDefault="00173535">
            <w:pPr>
              <w:jc w:val="center"/>
            </w:pPr>
            <w:r>
              <w:rPr>
                <w:color w:val="000000"/>
                <w:sz w:val="24"/>
                <w:szCs w:val="24"/>
              </w:rPr>
              <w:t>华测检测</w:t>
            </w:r>
          </w:p>
        </w:tc>
        <w:tc>
          <w:tcPr>
            <w:tcW w:w="1334" w:type="dxa"/>
            <w:vAlign w:val="center"/>
          </w:tcPr>
          <w:p w:rsidR="00A95BBF" w:rsidRDefault="00173535">
            <w:pPr>
              <w:jc w:val="right"/>
            </w:pPr>
            <w:r>
              <w:rPr>
                <w:color w:val="000000"/>
                <w:sz w:val="24"/>
                <w:szCs w:val="24"/>
              </w:rPr>
              <w:t>11,772,510</w:t>
            </w:r>
          </w:p>
        </w:tc>
        <w:tc>
          <w:tcPr>
            <w:tcW w:w="1924" w:type="dxa"/>
            <w:vAlign w:val="center"/>
          </w:tcPr>
          <w:p w:rsidR="00A95BBF" w:rsidRDefault="00173535">
            <w:pPr>
              <w:jc w:val="right"/>
            </w:pPr>
            <w:r>
              <w:rPr>
                <w:color w:val="000000"/>
                <w:sz w:val="24"/>
                <w:szCs w:val="24"/>
              </w:rPr>
              <w:t>67,574,207.40</w:t>
            </w:r>
          </w:p>
        </w:tc>
        <w:tc>
          <w:tcPr>
            <w:tcW w:w="1644" w:type="dxa"/>
            <w:vAlign w:val="center"/>
          </w:tcPr>
          <w:p w:rsidR="00A95BBF" w:rsidRDefault="00173535">
            <w:pPr>
              <w:jc w:val="right"/>
            </w:pPr>
            <w:r>
              <w:rPr>
                <w:color w:val="000000"/>
                <w:sz w:val="24"/>
                <w:szCs w:val="24"/>
              </w:rPr>
              <w:t>3.90</w:t>
            </w:r>
          </w:p>
        </w:tc>
      </w:tr>
      <w:tr w:rsidR="00A95BBF">
        <w:trPr>
          <w:jc w:val="center"/>
        </w:trPr>
        <w:tc>
          <w:tcPr>
            <w:tcW w:w="855" w:type="dxa"/>
            <w:vAlign w:val="center"/>
          </w:tcPr>
          <w:p w:rsidR="00A95BBF" w:rsidRDefault="00173535">
            <w:pPr>
              <w:jc w:val="center"/>
            </w:pPr>
            <w:r>
              <w:rPr>
                <w:color w:val="000000"/>
                <w:sz w:val="24"/>
                <w:szCs w:val="24"/>
              </w:rPr>
              <w:t>7</w:t>
            </w:r>
          </w:p>
        </w:tc>
        <w:tc>
          <w:tcPr>
            <w:tcW w:w="1334" w:type="dxa"/>
            <w:vAlign w:val="center"/>
          </w:tcPr>
          <w:p w:rsidR="00A95BBF" w:rsidRDefault="00173535">
            <w:pPr>
              <w:jc w:val="center"/>
            </w:pPr>
            <w:r>
              <w:rPr>
                <w:color w:val="000000"/>
                <w:sz w:val="24"/>
                <w:szCs w:val="24"/>
              </w:rPr>
              <w:t>300529</w:t>
            </w:r>
          </w:p>
        </w:tc>
        <w:tc>
          <w:tcPr>
            <w:tcW w:w="1777" w:type="dxa"/>
            <w:vAlign w:val="center"/>
          </w:tcPr>
          <w:p w:rsidR="00A95BBF" w:rsidRDefault="00173535">
            <w:pPr>
              <w:jc w:val="center"/>
            </w:pPr>
            <w:r>
              <w:rPr>
                <w:color w:val="000000"/>
                <w:sz w:val="24"/>
                <w:szCs w:val="24"/>
              </w:rPr>
              <w:t>健帆生物</w:t>
            </w:r>
          </w:p>
        </w:tc>
        <w:tc>
          <w:tcPr>
            <w:tcW w:w="1334" w:type="dxa"/>
            <w:vAlign w:val="center"/>
          </w:tcPr>
          <w:p w:rsidR="00A95BBF" w:rsidRDefault="00173535">
            <w:pPr>
              <w:jc w:val="right"/>
            </w:pPr>
            <w:r>
              <w:rPr>
                <w:color w:val="000000"/>
                <w:sz w:val="24"/>
                <w:szCs w:val="24"/>
              </w:rPr>
              <w:t>1,547,928</w:t>
            </w:r>
          </w:p>
        </w:tc>
        <w:tc>
          <w:tcPr>
            <w:tcW w:w="1924" w:type="dxa"/>
            <w:vAlign w:val="center"/>
          </w:tcPr>
          <w:p w:rsidR="00A95BBF" w:rsidRDefault="00173535">
            <w:pPr>
              <w:jc w:val="right"/>
            </w:pPr>
            <w:r>
              <w:rPr>
                <w:color w:val="000000"/>
                <w:sz w:val="24"/>
                <w:szCs w:val="24"/>
              </w:rPr>
              <w:t>66,390,631.92</w:t>
            </w:r>
          </w:p>
        </w:tc>
        <w:tc>
          <w:tcPr>
            <w:tcW w:w="1644" w:type="dxa"/>
            <w:vAlign w:val="center"/>
          </w:tcPr>
          <w:p w:rsidR="00A95BBF" w:rsidRDefault="00173535">
            <w:pPr>
              <w:jc w:val="right"/>
            </w:pPr>
            <w:r>
              <w:rPr>
                <w:color w:val="000000"/>
                <w:sz w:val="24"/>
                <w:szCs w:val="24"/>
              </w:rPr>
              <w:t>3.83</w:t>
            </w:r>
          </w:p>
        </w:tc>
      </w:tr>
      <w:tr w:rsidR="00A95BBF">
        <w:trPr>
          <w:jc w:val="center"/>
        </w:trPr>
        <w:tc>
          <w:tcPr>
            <w:tcW w:w="855" w:type="dxa"/>
            <w:vAlign w:val="center"/>
          </w:tcPr>
          <w:p w:rsidR="00A95BBF" w:rsidRDefault="00173535">
            <w:pPr>
              <w:jc w:val="center"/>
            </w:pPr>
            <w:r>
              <w:rPr>
                <w:color w:val="000000"/>
                <w:sz w:val="24"/>
                <w:szCs w:val="24"/>
              </w:rPr>
              <w:t>8</w:t>
            </w:r>
          </w:p>
        </w:tc>
        <w:tc>
          <w:tcPr>
            <w:tcW w:w="1334" w:type="dxa"/>
            <w:vAlign w:val="center"/>
          </w:tcPr>
          <w:p w:rsidR="00A95BBF" w:rsidRDefault="00173535">
            <w:pPr>
              <w:jc w:val="center"/>
            </w:pPr>
            <w:r>
              <w:rPr>
                <w:color w:val="000000"/>
                <w:sz w:val="24"/>
                <w:szCs w:val="24"/>
              </w:rPr>
              <w:t>300170</w:t>
            </w:r>
          </w:p>
        </w:tc>
        <w:tc>
          <w:tcPr>
            <w:tcW w:w="1777" w:type="dxa"/>
            <w:vAlign w:val="center"/>
          </w:tcPr>
          <w:p w:rsidR="00A95BBF" w:rsidRDefault="00173535">
            <w:pPr>
              <w:jc w:val="center"/>
            </w:pPr>
            <w:r>
              <w:rPr>
                <w:color w:val="000000"/>
                <w:sz w:val="24"/>
                <w:szCs w:val="24"/>
              </w:rPr>
              <w:t>汉得信息</w:t>
            </w:r>
          </w:p>
        </w:tc>
        <w:tc>
          <w:tcPr>
            <w:tcW w:w="1334" w:type="dxa"/>
            <w:vAlign w:val="center"/>
          </w:tcPr>
          <w:p w:rsidR="00A95BBF" w:rsidRDefault="00173535">
            <w:pPr>
              <w:jc w:val="right"/>
            </w:pPr>
            <w:r>
              <w:rPr>
                <w:color w:val="000000"/>
                <w:sz w:val="24"/>
                <w:szCs w:val="24"/>
              </w:rPr>
              <w:t>4,009,829</w:t>
            </w:r>
          </w:p>
        </w:tc>
        <w:tc>
          <w:tcPr>
            <w:tcW w:w="1924" w:type="dxa"/>
            <w:vAlign w:val="center"/>
          </w:tcPr>
          <w:p w:rsidR="00A95BBF" w:rsidRDefault="00173535">
            <w:pPr>
              <w:jc w:val="right"/>
            </w:pPr>
            <w:r>
              <w:rPr>
                <w:color w:val="000000"/>
                <w:sz w:val="24"/>
                <w:szCs w:val="24"/>
              </w:rPr>
              <w:t>65,119,622.96</w:t>
            </w:r>
          </w:p>
        </w:tc>
        <w:tc>
          <w:tcPr>
            <w:tcW w:w="1644" w:type="dxa"/>
            <w:vAlign w:val="center"/>
          </w:tcPr>
          <w:p w:rsidR="00A95BBF" w:rsidRDefault="00173535">
            <w:pPr>
              <w:jc w:val="right"/>
            </w:pPr>
            <w:r>
              <w:rPr>
                <w:color w:val="000000"/>
                <w:sz w:val="24"/>
                <w:szCs w:val="24"/>
              </w:rPr>
              <w:t>3.76</w:t>
            </w:r>
          </w:p>
        </w:tc>
      </w:tr>
      <w:tr w:rsidR="00A95BBF">
        <w:trPr>
          <w:jc w:val="center"/>
        </w:trPr>
        <w:tc>
          <w:tcPr>
            <w:tcW w:w="855" w:type="dxa"/>
            <w:vAlign w:val="center"/>
          </w:tcPr>
          <w:p w:rsidR="00A95BBF" w:rsidRDefault="00173535">
            <w:pPr>
              <w:jc w:val="center"/>
            </w:pPr>
            <w:r>
              <w:rPr>
                <w:color w:val="000000"/>
                <w:sz w:val="24"/>
                <w:szCs w:val="24"/>
              </w:rPr>
              <w:t>9</w:t>
            </w:r>
          </w:p>
        </w:tc>
        <w:tc>
          <w:tcPr>
            <w:tcW w:w="1334" w:type="dxa"/>
            <w:vAlign w:val="center"/>
          </w:tcPr>
          <w:p w:rsidR="00A95BBF" w:rsidRDefault="00173535">
            <w:pPr>
              <w:jc w:val="center"/>
            </w:pPr>
            <w:r>
              <w:rPr>
                <w:color w:val="000000"/>
                <w:sz w:val="24"/>
                <w:szCs w:val="24"/>
              </w:rPr>
              <w:t>000661</w:t>
            </w:r>
          </w:p>
        </w:tc>
        <w:tc>
          <w:tcPr>
            <w:tcW w:w="1777" w:type="dxa"/>
            <w:vAlign w:val="center"/>
          </w:tcPr>
          <w:p w:rsidR="00A95BBF" w:rsidRDefault="00173535">
            <w:pPr>
              <w:jc w:val="center"/>
            </w:pPr>
            <w:r>
              <w:rPr>
                <w:color w:val="000000"/>
                <w:sz w:val="24"/>
                <w:szCs w:val="24"/>
              </w:rPr>
              <w:t>长春高新</w:t>
            </w:r>
          </w:p>
        </w:tc>
        <w:tc>
          <w:tcPr>
            <w:tcW w:w="1334" w:type="dxa"/>
            <w:vAlign w:val="center"/>
          </w:tcPr>
          <w:p w:rsidR="00A95BBF" w:rsidRDefault="00173535">
            <w:pPr>
              <w:jc w:val="right"/>
            </w:pPr>
            <w:r>
              <w:rPr>
                <w:color w:val="000000"/>
                <w:sz w:val="24"/>
                <w:szCs w:val="24"/>
              </w:rPr>
              <w:t>283,432</w:t>
            </w:r>
          </w:p>
        </w:tc>
        <w:tc>
          <w:tcPr>
            <w:tcW w:w="1924" w:type="dxa"/>
            <w:vAlign w:val="center"/>
          </w:tcPr>
          <w:p w:rsidR="00A95BBF" w:rsidRDefault="00173535">
            <w:pPr>
              <w:jc w:val="right"/>
            </w:pPr>
            <w:r>
              <w:rPr>
                <w:color w:val="000000"/>
                <w:sz w:val="24"/>
                <w:szCs w:val="24"/>
              </w:rPr>
              <w:t>64,537,466.40</w:t>
            </w:r>
          </w:p>
        </w:tc>
        <w:tc>
          <w:tcPr>
            <w:tcW w:w="1644" w:type="dxa"/>
            <w:vAlign w:val="center"/>
          </w:tcPr>
          <w:p w:rsidR="00A95BBF" w:rsidRDefault="00173535">
            <w:pPr>
              <w:jc w:val="right"/>
            </w:pPr>
            <w:r>
              <w:rPr>
                <w:color w:val="000000"/>
                <w:sz w:val="24"/>
                <w:szCs w:val="24"/>
              </w:rPr>
              <w:t>3.73</w:t>
            </w:r>
          </w:p>
        </w:tc>
      </w:tr>
      <w:tr w:rsidR="00A95BBF">
        <w:trPr>
          <w:jc w:val="center"/>
        </w:trPr>
        <w:tc>
          <w:tcPr>
            <w:tcW w:w="855" w:type="dxa"/>
            <w:vAlign w:val="center"/>
          </w:tcPr>
          <w:p w:rsidR="00A95BBF" w:rsidRDefault="00173535">
            <w:pPr>
              <w:jc w:val="center"/>
            </w:pPr>
            <w:r>
              <w:rPr>
                <w:color w:val="000000"/>
                <w:sz w:val="24"/>
                <w:szCs w:val="24"/>
              </w:rPr>
              <w:t>10</w:t>
            </w:r>
          </w:p>
        </w:tc>
        <w:tc>
          <w:tcPr>
            <w:tcW w:w="1334" w:type="dxa"/>
            <w:vAlign w:val="center"/>
          </w:tcPr>
          <w:p w:rsidR="00A95BBF" w:rsidRDefault="00173535">
            <w:pPr>
              <w:jc w:val="center"/>
            </w:pPr>
            <w:r>
              <w:rPr>
                <w:color w:val="000000"/>
                <w:sz w:val="24"/>
                <w:szCs w:val="24"/>
              </w:rPr>
              <w:t>603039</w:t>
            </w:r>
          </w:p>
        </w:tc>
        <w:tc>
          <w:tcPr>
            <w:tcW w:w="1777" w:type="dxa"/>
            <w:vAlign w:val="center"/>
          </w:tcPr>
          <w:p w:rsidR="00A95BBF" w:rsidRDefault="00173535">
            <w:pPr>
              <w:jc w:val="center"/>
            </w:pPr>
            <w:r>
              <w:rPr>
                <w:color w:val="000000"/>
                <w:sz w:val="24"/>
                <w:szCs w:val="24"/>
              </w:rPr>
              <w:t>泛微网络</w:t>
            </w:r>
          </w:p>
        </w:tc>
        <w:tc>
          <w:tcPr>
            <w:tcW w:w="1334" w:type="dxa"/>
            <w:vAlign w:val="center"/>
          </w:tcPr>
          <w:p w:rsidR="00A95BBF" w:rsidRDefault="00173535">
            <w:pPr>
              <w:jc w:val="right"/>
            </w:pPr>
            <w:r>
              <w:rPr>
                <w:color w:val="000000"/>
                <w:sz w:val="24"/>
                <w:szCs w:val="24"/>
              </w:rPr>
              <w:t>598,072</w:t>
            </w:r>
          </w:p>
        </w:tc>
        <w:tc>
          <w:tcPr>
            <w:tcW w:w="1924" w:type="dxa"/>
            <w:vAlign w:val="center"/>
          </w:tcPr>
          <w:p w:rsidR="00A95BBF" w:rsidRDefault="00173535">
            <w:pPr>
              <w:jc w:val="right"/>
            </w:pPr>
            <w:r>
              <w:rPr>
                <w:color w:val="000000"/>
                <w:sz w:val="24"/>
                <w:szCs w:val="24"/>
              </w:rPr>
              <w:t>52,558,567.36</w:t>
            </w:r>
          </w:p>
        </w:tc>
        <w:tc>
          <w:tcPr>
            <w:tcW w:w="1644" w:type="dxa"/>
            <w:vAlign w:val="center"/>
          </w:tcPr>
          <w:p w:rsidR="00A95BBF" w:rsidRDefault="00173535">
            <w:pPr>
              <w:jc w:val="right"/>
            </w:pPr>
            <w:r>
              <w:rPr>
                <w:color w:val="000000"/>
                <w:sz w:val="24"/>
                <w:szCs w:val="24"/>
              </w:rPr>
              <w:t>3.03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53,784.40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20,053,784.40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95BBF">
        <w:trPr>
          <w:jc w:val="center"/>
        </w:trPr>
        <w:tc>
          <w:tcPr>
            <w:tcW w:w="850" w:type="dxa"/>
            <w:vAlign w:val="center"/>
          </w:tcPr>
          <w:p w:rsidR="00A95BBF" w:rsidRDefault="00173535">
            <w:pPr>
              <w:jc w:val="center"/>
            </w:pPr>
            <w:r>
              <w:rPr>
                <w:color w:val="000000"/>
                <w:sz w:val="24"/>
                <w:szCs w:val="24"/>
              </w:rPr>
              <w:t>1</w:t>
            </w:r>
          </w:p>
        </w:tc>
        <w:tc>
          <w:tcPr>
            <w:tcW w:w="1475" w:type="dxa"/>
            <w:vAlign w:val="center"/>
          </w:tcPr>
          <w:p w:rsidR="00A95BBF" w:rsidRDefault="00173535">
            <w:pPr>
              <w:jc w:val="center"/>
            </w:pPr>
            <w:r>
              <w:rPr>
                <w:color w:val="000000"/>
                <w:sz w:val="24"/>
                <w:szCs w:val="24"/>
              </w:rPr>
              <w:t>170207</w:t>
            </w:r>
          </w:p>
        </w:tc>
        <w:tc>
          <w:tcPr>
            <w:tcW w:w="1769" w:type="dxa"/>
            <w:vAlign w:val="center"/>
          </w:tcPr>
          <w:p w:rsidR="00A95BBF" w:rsidRDefault="00173535">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A95BBF" w:rsidRDefault="00173535">
            <w:pPr>
              <w:jc w:val="right"/>
            </w:pPr>
            <w:r>
              <w:rPr>
                <w:color w:val="000000"/>
                <w:sz w:val="24"/>
                <w:szCs w:val="24"/>
              </w:rPr>
              <w:t>200,000</w:t>
            </w:r>
          </w:p>
        </w:tc>
        <w:tc>
          <w:tcPr>
            <w:tcW w:w="2150" w:type="dxa"/>
            <w:vAlign w:val="center"/>
          </w:tcPr>
          <w:p w:rsidR="00A95BBF" w:rsidRDefault="00173535">
            <w:pPr>
              <w:jc w:val="right"/>
            </w:pPr>
            <w:r>
              <w:rPr>
                <w:color w:val="000000"/>
                <w:sz w:val="24"/>
                <w:szCs w:val="24"/>
              </w:rPr>
              <w:t>20,000,000.00</w:t>
            </w:r>
          </w:p>
        </w:tc>
        <w:tc>
          <w:tcPr>
            <w:tcW w:w="1237" w:type="dxa"/>
            <w:vAlign w:val="center"/>
          </w:tcPr>
          <w:p w:rsidR="00A95BBF" w:rsidRDefault="00173535">
            <w:pPr>
              <w:jc w:val="right"/>
            </w:pPr>
            <w:r>
              <w:rPr>
                <w:color w:val="000000"/>
                <w:sz w:val="24"/>
                <w:szCs w:val="24"/>
              </w:rPr>
              <w:t>1.15</w:t>
            </w:r>
          </w:p>
        </w:tc>
      </w:tr>
      <w:tr w:rsidR="00A95BBF">
        <w:trPr>
          <w:jc w:val="center"/>
        </w:trPr>
        <w:tc>
          <w:tcPr>
            <w:tcW w:w="850" w:type="dxa"/>
            <w:vAlign w:val="center"/>
          </w:tcPr>
          <w:p w:rsidR="00A95BBF" w:rsidRDefault="00173535">
            <w:pPr>
              <w:jc w:val="center"/>
            </w:pPr>
            <w:r>
              <w:rPr>
                <w:color w:val="000000"/>
                <w:sz w:val="24"/>
                <w:szCs w:val="24"/>
              </w:rPr>
              <w:t>2</w:t>
            </w:r>
          </w:p>
        </w:tc>
        <w:tc>
          <w:tcPr>
            <w:tcW w:w="1475" w:type="dxa"/>
            <w:vAlign w:val="center"/>
          </w:tcPr>
          <w:p w:rsidR="00A95BBF" w:rsidRDefault="00173535">
            <w:pPr>
              <w:jc w:val="center"/>
            </w:pPr>
            <w:r>
              <w:rPr>
                <w:color w:val="000000"/>
                <w:sz w:val="24"/>
                <w:szCs w:val="24"/>
              </w:rPr>
              <w:t>113011</w:t>
            </w:r>
          </w:p>
        </w:tc>
        <w:tc>
          <w:tcPr>
            <w:tcW w:w="1769" w:type="dxa"/>
            <w:vAlign w:val="center"/>
          </w:tcPr>
          <w:p w:rsidR="00A95BBF" w:rsidRDefault="00173535">
            <w:pPr>
              <w:jc w:val="center"/>
            </w:pPr>
            <w:r>
              <w:rPr>
                <w:color w:val="000000"/>
                <w:sz w:val="24"/>
                <w:szCs w:val="24"/>
              </w:rPr>
              <w:t>光大转债</w:t>
            </w:r>
          </w:p>
        </w:tc>
        <w:tc>
          <w:tcPr>
            <w:tcW w:w="1387" w:type="dxa"/>
            <w:vAlign w:val="center"/>
          </w:tcPr>
          <w:p w:rsidR="00A95BBF" w:rsidRDefault="00173535">
            <w:pPr>
              <w:jc w:val="right"/>
            </w:pPr>
            <w:r>
              <w:rPr>
                <w:color w:val="000000"/>
                <w:sz w:val="24"/>
                <w:szCs w:val="24"/>
              </w:rPr>
              <w:t>530</w:t>
            </w:r>
          </w:p>
        </w:tc>
        <w:tc>
          <w:tcPr>
            <w:tcW w:w="2150" w:type="dxa"/>
            <w:vAlign w:val="center"/>
          </w:tcPr>
          <w:p w:rsidR="00A95BBF" w:rsidRDefault="00173535">
            <w:pPr>
              <w:jc w:val="right"/>
            </w:pPr>
            <w:r>
              <w:rPr>
                <w:color w:val="000000"/>
                <w:sz w:val="24"/>
                <w:szCs w:val="24"/>
              </w:rPr>
              <w:t>53,784.40</w:t>
            </w:r>
          </w:p>
        </w:tc>
        <w:tc>
          <w:tcPr>
            <w:tcW w:w="1237" w:type="dxa"/>
            <w:vAlign w:val="center"/>
          </w:tcPr>
          <w:p w:rsidR="00A95BBF" w:rsidRDefault="00173535">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565,914.35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745,983.27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22,281,020.58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23,592,918.20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95BBF">
        <w:trPr>
          <w:jc w:val="center"/>
        </w:trPr>
        <w:tc>
          <w:tcPr>
            <w:tcW w:w="1883" w:type="dxa"/>
            <w:vAlign w:val="center"/>
          </w:tcPr>
          <w:p w:rsidR="00A95BBF" w:rsidRDefault="00173535">
            <w:pPr>
              <w:jc w:val="center"/>
            </w:pPr>
            <w:r>
              <w:rPr>
                <w:color w:val="000000"/>
                <w:sz w:val="24"/>
                <w:szCs w:val="24"/>
              </w:rPr>
              <w:t>1</w:t>
            </w:r>
          </w:p>
        </w:tc>
        <w:tc>
          <w:tcPr>
            <w:tcW w:w="1801" w:type="dxa"/>
            <w:vAlign w:val="center"/>
          </w:tcPr>
          <w:p w:rsidR="00A95BBF" w:rsidRDefault="00173535">
            <w:pPr>
              <w:jc w:val="center"/>
            </w:pPr>
            <w:r>
              <w:rPr>
                <w:color w:val="000000"/>
                <w:sz w:val="24"/>
                <w:szCs w:val="24"/>
              </w:rPr>
              <w:t>113011</w:t>
            </w:r>
          </w:p>
        </w:tc>
        <w:tc>
          <w:tcPr>
            <w:tcW w:w="1727" w:type="dxa"/>
            <w:vAlign w:val="center"/>
          </w:tcPr>
          <w:p w:rsidR="00A95BBF" w:rsidRDefault="00173535">
            <w:pPr>
              <w:jc w:val="center"/>
            </w:pPr>
            <w:r>
              <w:rPr>
                <w:color w:val="000000"/>
                <w:sz w:val="24"/>
                <w:szCs w:val="24"/>
              </w:rPr>
              <w:t>光大转债</w:t>
            </w:r>
          </w:p>
        </w:tc>
        <w:tc>
          <w:tcPr>
            <w:tcW w:w="1768" w:type="dxa"/>
            <w:vAlign w:val="center"/>
          </w:tcPr>
          <w:p w:rsidR="00A95BBF" w:rsidRDefault="00173535">
            <w:pPr>
              <w:jc w:val="right"/>
            </w:pPr>
            <w:r>
              <w:rPr>
                <w:color w:val="000000"/>
                <w:sz w:val="24"/>
                <w:szCs w:val="24"/>
              </w:rPr>
              <w:t>53,784.40</w:t>
            </w:r>
          </w:p>
        </w:tc>
        <w:tc>
          <w:tcPr>
            <w:tcW w:w="1689" w:type="dxa"/>
            <w:vAlign w:val="center"/>
          </w:tcPr>
          <w:p w:rsidR="00A95BBF" w:rsidRDefault="00173535">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0421C0" w:rsidP="00C15CAC">
      <w:pPr>
        <w:spacing w:before="29" w:line="288" w:lineRule="auto"/>
        <w:ind w:firstLineChars="200" w:firstLine="480"/>
        <w:rPr>
          <w:color w:val="000000"/>
          <w:sz w:val="24"/>
          <w:szCs w:val="24"/>
        </w:rPr>
      </w:pPr>
      <w:r>
        <w:rPr>
          <w:rFonts w:hint="eastAsia"/>
          <w:color w:val="000000"/>
          <w:sz w:val="24"/>
          <w:szCs w:val="24"/>
        </w:rPr>
        <w:t>无</w:t>
      </w:r>
      <w:r>
        <w:rPr>
          <w:color w:val="000000"/>
          <w:sz w:val="24"/>
          <w:szCs w:val="24"/>
        </w:rPr>
        <w:t>。</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286,588,365.38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589,284,342.24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33,818,006.06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842,054,701.56</w:t>
            </w:r>
          </w:p>
        </w:tc>
      </w:tr>
    </w:tbl>
    <w:p w:rsidR="00A95BBF" w:rsidRDefault="001735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A95BBF">
        <w:tc>
          <w:tcPr>
            <w:tcW w:w="993" w:type="dxa"/>
          </w:tcPr>
          <w:p w:rsidR="00A95BBF" w:rsidRDefault="00A95BBF"/>
          <w:p w:rsidR="00A95BBF" w:rsidRDefault="00173535">
            <w:r>
              <w:rPr>
                <w:rFonts w:ascii="宋体" w:hAnsi="宋体" w:hint="eastAsia"/>
                <w:bCs/>
                <w:color w:val="000000"/>
                <w:kern w:val="0"/>
              </w:rPr>
              <w:t>机构</w:t>
            </w:r>
          </w:p>
        </w:tc>
        <w:tc>
          <w:tcPr>
            <w:tcW w:w="992" w:type="dxa"/>
            <w:vAlign w:val="center"/>
          </w:tcPr>
          <w:p w:rsidR="00A95BBF" w:rsidRDefault="00173535">
            <w:pPr>
              <w:jc w:val="center"/>
            </w:pPr>
            <w:r>
              <w:rPr>
                <w:rFonts w:ascii="宋体" w:hAnsi="宋体"/>
                <w:color w:val="000000"/>
                <w:kern w:val="0"/>
              </w:rPr>
              <w:t>1</w:t>
            </w:r>
          </w:p>
        </w:tc>
        <w:tc>
          <w:tcPr>
            <w:tcW w:w="1843" w:type="dxa"/>
            <w:vAlign w:val="center"/>
          </w:tcPr>
          <w:p w:rsidR="00A95BBF" w:rsidRDefault="00173535">
            <w:pPr>
              <w:jc w:val="center"/>
            </w:pPr>
            <w:r>
              <w:rPr>
                <w:rFonts w:ascii="宋体" w:hAnsi="宋体"/>
                <w:color w:val="000000"/>
                <w:kern w:val="0"/>
              </w:rPr>
              <w:t>2018/4/1-2018/6/30</w:t>
            </w:r>
          </w:p>
        </w:tc>
        <w:tc>
          <w:tcPr>
            <w:tcW w:w="851" w:type="dxa"/>
            <w:vAlign w:val="center"/>
          </w:tcPr>
          <w:p w:rsidR="00A95BBF" w:rsidRDefault="00173535">
            <w:pPr>
              <w:jc w:val="center"/>
            </w:pPr>
            <w:r>
              <w:rPr>
                <w:rFonts w:ascii="宋体" w:hAnsi="宋体"/>
                <w:color w:val="000000"/>
                <w:kern w:val="0"/>
              </w:rPr>
              <w:t>99,849,725.41</w:t>
            </w:r>
          </w:p>
        </w:tc>
        <w:tc>
          <w:tcPr>
            <w:tcW w:w="850" w:type="dxa"/>
            <w:vAlign w:val="center"/>
          </w:tcPr>
          <w:p w:rsidR="00A95BBF" w:rsidRDefault="00173535">
            <w:pPr>
              <w:jc w:val="center"/>
            </w:pPr>
            <w:r>
              <w:rPr>
                <w:rFonts w:ascii="宋体" w:hAnsi="宋体"/>
                <w:color w:val="000000"/>
                <w:kern w:val="0"/>
              </w:rPr>
              <w:t>28,211,017.72</w:t>
            </w:r>
          </w:p>
        </w:tc>
        <w:tc>
          <w:tcPr>
            <w:tcW w:w="1134" w:type="dxa"/>
            <w:vAlign w:val="center"/>
          </w:tcPr>
          <w:p w:rsidR="00A95BBF" w:rsidRDefault="00173535">
            <w:pPr>
              <w:jc w:val="center"/>
            </w:pPr>
            <w:r>
              <w:rPr>
                <w:rFonts w:ascii="宋体" w:hAnsi="宋体"/>
                <w:color w:val="000000"/>
                <w:kern w:val="0"/>
              </w:rPr>
              <w:t>-</w:t>
            </w:r>
          </w:p>
        </w:tc>
        <w:tc>
          <w:tcPr>
            <w:tcW w:w="1419" w:type="dxa"/>
            <w:vAlign w:val="center"/>
          </w:tcPr>
          <w:p w:rsidR="00A95BBF" w:rsidRDefault="00173535">
            <w:pPr>
              <w:jc w:val="center"/>
            </w:pPr>
            <w:r>
              <w:rPr>
                <w:rFonts w:ascii="宋体" w:hAnsi="宋体"/>
                <w:color w:val="000000"/>
                <w:kern w:val="0"/>
              </w:rPr>
              <w:t>128,060,743.13</w:t>
            </w:r>
          </w:p>
        </w:tc>
        <w:tc>
          <w:tcPr>
            <w:tcW w:w="1130" w:type="dxa"/>
            <w:vAlign w:val="center"/>
          </w:tcPr>
          <w:p w:rsidR="00A95BBF" w:rsidRDefault="00173535">
            <w:pPr>
              <w:jc w:val="center"/>
            </w:pPr>
            <w:r>
              <w:rPr>
                <w:rFonts w:ascii="宋体" w:hAnsi="宋体"/>
                <w:color w:val="000000"/>
                <w:kern w:val="0"/>
              </w:rPr>
              <w:t>15.21%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95BBF" w:rsidRDefault="0017353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、《交银施罗德阿尔法核心混合型证券投资基金基金合同》；</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A95BBF" w:rsidRDefault="0017353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A95BBF" w:rsidRDefault="0017353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A95BBF" w:rsidRDefault="0017353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95BBF" w:rsidRDefault="0017353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95BBF" w:rsidRDefault="0017353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000421C0">
        <w:rPr>
          <w:rFonts w:hint="eastAsia"/>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77" w:rsidRDefault="00503C77" w:rsidP="00876D65">
      <w:r>
        <w:separator/>
      </w:r>
    </w:p>
  </w:endnote>
  <w:endnote w:type="continuationSeparator" w:id="0">
    <w:p w:rsidR="00503C77" w:rsidRDefault="00503C7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F732F8">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F732F8">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77" w:rsidRDefault="00503C77" w:rsidP="00876D65">
      <w:r>
        <w:separator/>
      </w:r>
    </w:p>
  </w:footnote>
  <w:footnote w:type="continuationSeparator" w:id="0">
    <w:p w:rsidR="00503C77" w:rsidRDefault="00503C7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交银施罗德阿尔法核心混合型证券投资基金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21C0"/>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3535"/>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3C77"/>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5B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32F8"/>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4F8DC-E4AC-4E41-A2CD-19467FDC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579</cp:revision>
  <dcterms:created xsi:type="dcterms:W3CDTF">2012-10-16T06:07:00Z</dcterms:created>
  <dcterms:modified xsi:type="dcterms:W3CDTF">2018-07-16T08:26:00Z</dcterms:modified>
</cp:coreProperties>
</file>