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06098" w:rsidRDefault="00ED2E1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06098" w:rsidRDefault="00ED2E1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06098" w:rsidRDefault="00ED2E1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06098" w:rsidRDefault="00ED2E1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06098" w:rsidRDefault="00ED2E1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134,397,717.83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w:t>
            </w:r>
            <w:r w:rsidRPr="00414345">
              <w:rPr>
                <w:color w:val="000000"/>
                <w:kern w:val="0"/>
                <w:sz w:val="24"/>
                <w:szCs w:val="24"/>
              </w:rPr>
              <w:lastRenderedPageBreak/>
              <w:t>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中债企业债总全价指数收益率</w:t>
            </w:r>
            <w:r w:rsidRPr="00414345">
              <w:rPr>
                <w:color w:val="000000"/>
                <w:kern w:val="0"/>
                <w:sz w:val="24"/>
                <w:szCs w:val="24"/>
              </w:rPr>
              <w:t>+20%×</w:t>
            </w:r>
            <w:r w:rsidRPr="00414345">
              <w:rPr>
                <w:color w:val="000000"/>
                <w:kern w:val="0"/>
                <w:sz w:val="24"/>
                <w:szCs w:val="24"/>
              </w:rPr>
              <w:t>中债国债总全价指数收益率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4584B" w:rsidRPr="00414345" w:rsidTr="00D4584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4584B" w:rsidRPr="00414345" w:rsidTr="00D4584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653,012.67</w:t>
            </w:r>
          </w:p>
        </w:tc>
      </w:tr>
      <w:tr w:rsidR="00D4584B" w:rsidRPr="00414345" w:rsidTr="00D4584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1,354,749.03</w:t>
            </w:r>
          </w:p>
        </w:tc>
      </w:tr>
      <w:tr w:rsidR="00D4584B" w:rsidRPr="00414345" w:rsidTr="00D4584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0.0094</w:t>
            </w:r>
          </w:p>
        </w:tc>
      </w:tr>
      <w:tr w:rsidR="00D4584B" w:rsidRPr="00414345" w:rsidTr="00D4584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190,779,070.19</w:t>
            </w:r>
          </w:p>
        </w:tc>
      </w:tr>
      <w:tr w:rsidR="00D4584B" w:rsidRPr="00414345" w:rsidTr="00D4584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1.420</w:t>
            </w:r>
          </w:p>
        </w:tc>
      </w:tr>
    </w:tbl>
    <w:p w:rsidR="00206098" w:rsidRDefault="00ED2E1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06098">
        <w:trPr>
          <w:jc w:val="center"/>
        </w:trPr>
        <w:tc>
          <w:tcPr>
            <w:tcW w:w="1701" w:type="dxa"/>
            <w:vAlign w:val="center"/>
          </w:tcPr>
          <w:p w:rsidR="00206098" w:rsidRDefault="00ED2E13">
            <w:pPr>
              <w:jc w:val="left"/>
            </w:pPr>
            <w:r>
              <w:rPr>
                <w:color w:val="000000"/>
                <w:sz w:val="24"/>
                <w:szCs w:val="24"/>
              </w:rPr>
              <w:t>过去三个月</w:t>
            </w:r>
          </w:p>
        </w:tc>
        <w:tc>
          <w:tcPr>
            <w:tcW w:w="1045" w:type="dxa"/>
            <w:vAlign w:val="center"/>
          </w:tcPr>
          <w:p w:rsidR="00206098" w:rsidRDefault="00ED2E13">
            <w:pPr>
              <w:jc w:val="center"/>
            </w:pPr>
            <w:r>
              <w:rPr>
                <w:color w:val="000000"/>
                <w:sz w:val="24"/>
                <w:szCs w:val="24"/>
              </w:rPr>
              <w:t>0.64%</w:t>
            </w:r>
          </w:p>
        </w:tc>
        <w:tc>
          <w:tcPr>
            <w:tcW w:w="1344" w:type="dxa"/>
            <w:vAlign w:val="center"/>
          </w:tcPr>
          <w:p w:rsidR="00206098" w:rsidRDefault="00ED2E13">
            <w:pPr>
              <w:jc w:val="center"/>
            </w:pPr>
            <w:r>
              <w:rPr>
                <w:color w:val="000000"/>
                <w:sz w:val="24"/>
                <w:szCs w:val="24"/>
              </w:rPr>
              <w:t>0.10%</w:t>
            </w:r>
          </w:p>
        </w:tc>
        <w:tc>
          <w:tcPr>
            <w:tcW w:w="1194" w:type="dxa"/>
            <w:vAlign w:val="center"/>
          </w:tcPr>
          <w:p w:rsidR="00206098" w:rsidRDefault="00ED2E13">
            <w:pPr>
              <w:jc w:val="center"/>
            </w:pPr>
            <w:r>
              <w:rPr>
                <w:color w:val="000000"/>
                <w:sz w:val="24"/>
                <w:szCs w:val="24"/>
              </w:rPr>
              <w:t>-0.06%</w:t>
            </w:r>
          </w:p>
        </w:tc>
        <w:tc>
          <w:tcPr>
            <w:tcW w:w="1492" w:type="dxa"/>
            <w:vAlign w:val="center"/>
          </w:tcPr>
          <w:p w:rsidR="00206098" w:rsidRDefault="00ED2E13">
            <w:pPr>
              <w:jc w:val="center"/>
            </w:pPr>
            <w:r>
              <w:rPr>
                <w:color w:val="000000"/>
                <w:sz w:val="24"/>
                <w:szCs w:val="24"/>
              </w:rPr>
              <w:t>0.08%</w:t>
            </w:r>
          </w:p>
        </w:tc>
        <w:tc>
          <w:tcPr>
            <w:tcW w:w="1194" w:type="dxa"/>
            <w:vAlign w:val="center"/>
          </w:tcPr>
          <w:p w:rsidR="00206098" w:rsidRDefault="00ED2E13">
            <w:pPr>
              <w:jc w:val="center"/>
            </w:pPr>
            <w:r>
              <w:rPr>
                <w:color w:val="000000"/>
                <w:sz w:val="24"/>
                <w:szCs w:val="24"/>
              </w:rPr>
              <w:t>0.70%</w:t>
            </w:r>
          </w:p>
        </w:tc>
        <w:tc>
          <w:tcPr>
            <w:tcW w:w="898" w:type="dxa"/>
            <w:vAlign w:val="center"/>
          </w:tcPr>
          <w:p w:rsidR="00206098" w:rsidRDefault="00ED2E13">
            <w:pPr>
              <w:jc w:val="center"/>
            </w:pPr>
            <w:r>
              <w:rPr>
                <w:color w:val="000000"/>
                <w:sz w:val="24"/>
                <w:szCs w:val="24"/>
              </w:rPr>
              <w:t>0.02%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06098">
        <w:trPr>
          <w:jc w:val="center"/>
        </w:trPr>
        <w:tc>
          <w:tcPr>
            <w:tcW w:w="846" w:type="dxa"/>
            <w:vAlign w:val="center"/>
          </w:tcPr>
          <w:p w:rsidR="00206098" w:rsidRDefault="00ED2E13">
            <w:pPr>
              <w:jc w:val="center"/>
            </w:pPr>
            <w:r>
              <w:rPr>
                <w:color w:val="000000"/>
                <w:sz w:val="24"/>
                <w:szCs w:val="24"/>
              </w:rPr>
              <w:t>唐赟</w:t>
            </w:r>
          </w:p>
        </w:tc>
        <w:tc>
          <w:tcPr>
            <w:tcW w:w="845" w:type="dxa"/>
            <w:vAlign w:val="center"/>
          </w:tcPr>
          <w:p w:rsidR="00206098" w:rsidRDefault="00ED2E13">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、交银双利债券、交银双轮动债券、交银裕通纯债债券、交银安心收益债券的基金经理</w:t>
            </w:r>
          </w:p>
        </w:tc>
        <w:tc>
          <w:tcPr>
            <w:tcW w:w="1549" w:type="dxa"/>
            <w:vAlign w:val="center"/>
          </w:tcPr>
          <w:p w:rsidR="00206098" w:rsidRDefault="00ED2E13">
            <w:pPr>
              <w:jc w:val="center"/>
            </w:pPr>
            <w:r>
              <w:rPr>
                <w:color w:val="000000"/>
                <w:sz w:val="24"/>
                <w:szCs w:val="24"/>
              </w:rPr>
              <w:t>2015-08-04</w:t>
            </w:r>
          </w:p>
        </w:tc>
        <w:tc>
          <w:tcPr>
            <w:tcW w:w="1548" w:type="dxa"/>
            <w:vAlign w:val="center"/>
          </w:tcPr>
          <w:p w:rsidR="00206098" w:rsidRDefault="00ED2E13">
            <w:pPr>
              <w:jc w:val="center"/>
            </w:pPr>
            <w:r>
              <w:rPr>
                <w:color w:val="000000"/>
                <w:sz w:val="24"/>
                <w:szCs w:val="24"/>
              </w:rPr>
              <w:t>-</w:t>
            </w:r>
          </w:p>
        </w:tc>
        <w:tc>
          <w:tcPr>
            <w:tcW w:w="1407" w:type="dxa"/>
            <w:vAlign w:val="center"/>
          </w:tcPr>
          <w:p w:rsidR="00206098" w:rsidRDefault="00ED2E13">
            <w:pPr>
              <w:jc w:val="center"/>
            </w:pPr>
            <w:r>
              <w:rPr>
                <w:color w:val="000000"/>
                <w:sz w:val="24"/>
                <w:szCs w:val="24"/>
              </w:rPr>
              <w:t>6</w:t>
            </w:r>
            <w:r>
              <w:rPr>
                <w:color w:val="000000"/>
                <w:sz w:val="24"/>
                <w:szCs w:val="24"/>
              </w:rPr>
              <w:t>年</w:t>
            </w:r>
          </w:p>
        </w:tc>
        <w:tc>
          <w:tcPr>
            <w:tcW w:w="2673" w:type="dxa"/>
            <w:vAlign w:val="center"/>
          </w:tcPr>
          <w:p w:rsidR="00206098" w:rsidRDefault="00ED2E13" w:rsidP="00D4584B">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r w:rsidR="0093082D" w:rsidRPr="0093082D">
              <w:rPr>
                <w:rFonts w:hint="eastAsia"/>
                <w:color w:val="000000"/>
                <w:sz w:val="24"/>
                <w:szCs w:val="24"/>
              </w:rPr>
              <w:t>2015</w:t>
            </w:r>
            <w:r w:rsidR="0093082D" w:rsidRPr="0093082D">
              <w:rPr>
                <w:rFonts w:hint="eastAsia"/>
                <w:color w:val="000000"/>
                <w:sz w:val="24"/>
                <w:szCs w:val="24"/>
              </w:rPr>
              <w:t>年</w:t>
            </w:r>
            <w:r w:rsidR="0093082D" w:rsidRPr="0093082D">
              <w:rPr>
                <w:rFonts w:hint="eastAsia"/>
                <w:color w:val="000000"/>
                <w:sz w:val="24"/>
                <w:szCs w:val="24"/>
              </w:rPr>
              <w:t>11</w:t>
            </w:r>
            <w:r w:rsidR="0093082D" w:rsidRPr="0093082D">
              <w:rPr>
                <w:rFonts w:hint="eastAsia"/>
                <w:color w:val="000000"/>
                <w:sz w:val="24"/>
                <w:szCs w:val="24"/>
              </w:rPr>
              <w:t>月</w:t>
            </w:r>
            <w:r w:rsidR="0093082D" w:rsidRPr="0093082D">
              <w:rPr>
                <w:rFonts w:hint="eastAsia"/>
                <w:color w:val="000000"/>
                <w:sz w:val="24"/>
                <w:szCs w:val="24"/>
              </w:rPr>
              <w:t>7</w:t>
            </w:r>
            <w:r w:rsidR="0093082D" w:rsidRPr="0093082D">
              <w:rPr>
                <w:rFonts w:hint="eastAsia"/>
                <w:color w:val="000000"/>
                <w:sz w:val="24"/>
                <w:szCs w:val="24"/>
              </w:rPr>
              <w:t>日至</w:t>
            </w:r>
            <w:r w:rsidR="0093082D" w:rsidRPr="0093082D">
              <w:rPr>
                <w:rFonts w:hint="eastAsia"/>
                <w:color w:val="000000"/>
                <w:sz w:val="24"/>
                <w:szCs w:val="24"/>
              </w:rPr>
              <w:t>2018</w:t>
            </w:r>
            <w:r w:rsidR="0093082D" w:rsidRPr="0093082D">
              <w:rPr>
                <w:rFonts w:hint="eastAsia"/>
                <w:color w:val="000000"/>
                <w:sz w:val="24"/>
                <w:szCs w:val="24"/>
              </w:rPr>
              <w:t>年</w:t>
            </w:r>
            <w:r w:rsidR="0093082D" w:rsidRPr="0093082D">
              <w:rPr>
                <w:rFonts w:hint="eastAsia"/>
                <w:color w:val="000000"/>
                <w:sz w:val="24"/>
                <w:szCs w:val="24"/>
              </w:rPr>
              <w:t>6</w:t>
            </w:r>
            <w:r w:rsidR="0093082D" w:rsidRPr="0093082D">
              <w:rPr>
                <w:rFonts w:hint="eastAsia"/>
                <w:color w:val="000000"/>
                <w:sz w:val="24"/>
                <w:szCs w:val="24"/>
              </w:rPr>
              <w:t>月</w:t>
            </w:r>
            <w:r w:rsidR="0093082D" w:rsidRPr="0093082D">
              <w:rPr>
                <w:rFonts w:hint="eastAsia"/>
                <w:color w:val="000000"/>
                <w:sz w:val="24"/>
                <w:szCs w:val="24"/>
              </w:rPr>
              <w:t>1</w:t>
            </w:r>
            <w:r w:rsidR="0093082D" w:rsidRPr="0093082D">
              <w:rPr>
                <w:rFonts w:hint="eastAsia"/>
                <w:color w:val="000000"/>
                <w:sz w:val="24"/>
                <w:szCs w:val="24"/>
              </w:rPr>
              <w:t>日担任转型前的交银施罗德荣和保本混合型证券投资基金的基金经理。</w:t>
            </w:r>
            <w:bookmarkStart w:id="0" w:name="_GoBack"/>
            <w:bookmarkEnd w:id="0"/>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06098" w:rsidRDefault="00ED2E1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06098" w:rsidRDefault="00ED2E1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06098" w:rsidRDefault="00ED2E1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06098" w:rsidRDefault="00ED2E13">
      <w:pPr>
        <w:spacing w:before="29" w:line="288" w:lineRule="auto"/>
        <w:ind w:firstLineChars="200" w:firstLine="480"/>
        <w:rPr>
          <w:color w:val="000000"/>
          <w:sz w:val="24"/>
          <w:szCs w:val="24"/>
        </w:rPr>
      </w:pPr>
      <w:r>
        <w:rPr>
          <w:color w:val="000000"/>
          <w:sz w:val="24"/>
          <w:szCs w:val="24"/>
        </w:rPr>
        <w:t>二季度以来在意外降准、表外融资持续收缩、经济通胀趋弱、贸易战局势反复发酵等多方面因素交织的背景下，债券收益率呈现出先下后上继而再次大幅下行的宽幅波动中。四月上旬债券收益率延续了一季度以来的下行趋势，稳步下行。央行在四月宣布降准</w:t>
      </w:r>
      <w:r>
        <w:rPr>
          <w:color w:val="000000"/>
          <w:sz w:val="24"/>
          <w:szCs w:val="24"/>
        </w:rPr>
        <w:t>1</w:t>
      </w:r>
      <w:r>
        <w:rPr>
          <w:color w:val="000000"/>
          <w:sz w:val="24"/>
          <w:szCs w:val="24"/>
        </w:rPr>
        <w:t>个百分点置换</w:t>
      </w:r>
      <w:r>
        <w:rPr>
          <w:color w:val="000000"/>
          <w:sz w:val="24"/>
          <w:szCs w:val="24"/>
        </w:rPr>
        <w:t>MLF</w:t>
      </w:r>
      <w:r>
        <w:rPr>
          <w:color w:val="000000"/>
          <w:sz w:val="24"/>
          <w:szCs w:val="24"/>
        </w:rPr>
        <w:t>操作，债券市场在反复预期中终于确认货币政策已经实质性转松，债市强势上涨，收益率大幅下行。四月下旬开始由于降准释放资金和缴税缴准错位，季末流动性紧张，叠加资管新规的出台，收益率震荡上行。进入六月后随着最新社会融资规模数据公布，信用收紧格局下收益率重回下行通道。六月底央行再一次降准</w:t>
      </w:r>
      <w:r>
        <w:rPr>
          <w:color w:val="000000"/>
          <w:sz w:val="24"/>
          <w:szCs w:val="24"/>
        </w:rPr>
        <w:t>0.5</w:t>
      </w:r>
      <w:r>
        <w:rPr>
          <w:color w:val="000000"/>
          <w:sz w:val="24"/>
          <w:szCs w:val="24"/>
        </w:rPr>
        <w:t>个百分点，收益率再次开启大幅下行空间。</w:t>
      </w:r>
    </w:p>
    <w:p w:rsidR="00206098" w:rsidRDefault="00ED2E13">
      <w:pPr>
        <w:spacing w:before="29" w:line="288" w:lineRule="auto"/>
        <w:ind w:firstLineChars="200" w:firstLine="480"/>
        <w:rPr>
          <w:color w:val="000000"/>
          <w:sz w:val="24"/>
          <w:szCs w:val="24"/>
        </w:rPr>
      </w:pPr>
      <w:r>
        <w:rPr>
          <w:color w:val="000000"/>
          <w:sz w:val="24"/>
          <w:szCs w:val="24"/>
        </w:rPr>
        <w:t>报告期内，基于对收益率下行大趋势的判断，本基金维持较高的久期配置在债券底仓，同时选择部分仓位进行长久期利率债波段交易，增厚组合收益。同时，基于对权益市场较为谨慎的看法，组合控制整体转债仓位配置，选择少量优质券种进行波段操作为组合增强收益。</w:t>
      </w:r>
    </w:p>
    <w:p w:rsidR="00206098" w:rsidRDefault="00ED2E13">
      <w:pPr>
        <w:spacing w:before="29" w:line="288" w:lineRule="auto"/>
        <w:ind w:firstLineChars="200" w:firstLine="480"/>
        <w:rPr>
          <w:color w:val="000000"/>
          <w:sz w:val="24"/>
          <w:szCs w:val="24"/>
        </w:rPr>
      </w:pPr>
      <w:r>
        <w:rPr>
          <w:color w:val="000000"/>
          <w:sz w:val="24"/>
          <w:szCs w:val="24"/>
        </w:rPr>
        <w:t>展望三季度，我们判断债市收益率下行的趋势不改。经济基本面仍面临一定的下行压力，一方面体现在融资环境收缩对地产和基建投资的挤压上，另一方面表现为中美贸易摩擦升级对出口的负面影响上。随着去杠杆政策的持续推进，为了避免信用风险发酵带来流动性危机和经济失速下滑，我们预计货币政策将保持较为宽松态势，宽货币紧信用大逻辑继续支持债券市场收益率下行。风险方面，我们关注监管政策落地带来的短期调整风险和不断压缩的中美利差可能阶段性地成为制约债市收益率下行的因素。整体而言，我们认为债券市场上涨的机会大于下跌的风险。随着去杠杆进程的推进，信用风险逐渐暴露，我们认为低等级信用债利差未能充分反应未来的信用风险，我们将继续规避中低评级信用债，以中高等级的信用债为底仓，保持中性偏高久期，择机进行利率债的波段操作，以期增强组合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可转债方面，权益市场表现低迷，三季度我们认为转债缺乏系统性的机会，我们将在控制转债仓位的前提下，关注新兴行业转债个券，灵活操作尽力为组合增强收益。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1.420</w:t>
      </w:r>
      <w:r w:rsidRPr="00414345">
        <w:rPr>
          <w:color w:val="000000"/>
          <w:sz w:val="24"/>
          <w:szCs w:val="24"/>
        </w:rPr>
        <w:t>元，本报告期份额净值增长率为</w:t>
      </w:r>
      <w:r w:rsidRPr="00414345">
        <w:rPr>
          <w:color w:val="000000"/>
          <w:sz w:val="24"/>
          <w:szCs w:val="24"/>
        </w:rPr>
        <w:t>0.64%</w:t>
      </w:r>
      <w:r w:rsidRPr="00414345">
        <w:rPr>
          <w:color w:val="000000"/>
          <w:sz w:val="24"/>
          <w:szCs w:val="24"/>
        </w:rPr>
        <w:t>，同期业绩比较基准增长率为</w:t>
      </w:r>
      <w:r w:rsidRPr="00414345">
        <w:rPr>
          <w:color w:val="000000"/>
          <w:sz w:val="24"/>
          <w:szCs w:val="24"/>
        </w:rPr>
        <w:t>-0.06%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1,158,873.00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0.43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1,158,873.00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0.43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228,328,220.00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84.31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228,328,220.00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84.31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4,811,724.23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36,508,076.16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13.48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270,806,893.39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1,158,873.00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1,158,873.00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0.61</w:t>
            </w:r>
          </w:p>
        </w:tc>
      </w:tr>
    </w:tbl>
    <w:p w:rsidR="007F28F7" w:rsidRDefault="007F28F7"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06098">
        <w:trPr>
          <w:jc w:val="center"/>
        </w:trPr>
        <w:tc>
          <w:tcPr>
            <w:tcW w:w="855" w:type="dxa"/>
            <w:vAlign w:val="center"/>
          </w:tcPr>
          <w:p w:rsidR="00206098" w:rsidRDefault="00ED2E13">
            <w:pPr>
              <w:jc w:val="center"/>
            </w:pPr>
            <w:r>
              <w:rPr>
                <w:color w:val="000000"/>
                <w:sz w:val="24"/>
                <w:szCs w:val="24"/>
              </w:rPr>
              <w:t>1</w:t>
            </w:r>
          </w:p>
        </w:tc>
        <w:tc>
          <w:tcPr>
            <w:tcW w:w="1334" w:type="dxa"/>
            <w:vAlign w:val="center"/>
          </w:tcPr>
          <w:p w:rsidR="00206098" w:rsidRDefault="00ED2E13">
            <w:pPr>
              <w:jc w:val="center"/>
            </w:pPr>
            <w:r>
              <w:rPr>
                <w:color w:val="000000"/>
                <w:sz w:val="24"/>
                <w:szCs w:val="24"/>
              </w:rPr>
              <w:t>600845</w:t>
            </w:r>
          </w:p>
        </w:tc>
        <w:tc>
          <w:tcPr>
            <w:tcW w:w="1777" w:type="dxa"/>
            <w:vAlign w:val="center"/>
          </w:tcPr>
          <w:p w:rsidR="00206098" w:rsidRDefault="00ED2E13">
            <w:pPr>
              <w:jc w:val="center"/>
            </w:pPr>
            <w:r>
              <w:rPr>
                <w:color w:val="000000"/>
                <w:sz w:val="24"/>
                <w:szCs w:val="24"/>
              </w:rPr>
              <w:t>宝信软件</w:t>
            </w:r>
          </w:p>
        </w:tc>
        <w:tc>
          <w:tcPr>
            <w:tcW w:w="1334" w:type="dxa"/>
            <w:vAlign w:val="center"/>
          </w:tcPr>
          <w:p w:rsidR="00206098" w:rsidRDefault="00ED2E13">
            <w:pPr>
              <w:jc w:val="right"/>
            </w:pPr>
            <w:r>
              <w:rPr>
                <w:color w:val="000000"/>
                <w:sz w:val="24"/>
                <w:szCs w:val="24"/>
              </w:rPr>
              <w:t>43,980</w:t>
            </w:r>
          </w:p>
        </w:tc>
        <w:tc>
          <w:tcPr>
            <w:tcW w:w="1924" w:type="dxa"/>
            <w:vAlign w:val="center"/>
          </w:tcPr>
          <w:p w:rsidR="00206098" w:rsidRDefault="00ED2E13">
            <w:pPr>
              <w:jc w:val="right"/>
            </w:pPr>
            <w:r>
              <w:rPr>
                <w:color w:val="000000"/>
                <w:sz w:val="24"/>
                <w:szCs w:val="24"/>
              </w:rPr>
              <w:t>1,158,873.00</w:t>
            </w:r>
          </w:p>
        </w:tc>
        <w:tc>
          <w:tcPr>
            <w:tcW w:w="1644" w:type="dxa"/>
            <w:vAlign w:val="center"/>
          </w:tcPr>
          <w:p w:rsidR="00206098" w:rsidRDefault="00ED2E13">
            <w:pPr>
              <w:jc w:val="right"/>
            </w:pPr>
            <w:r>
              <w:rPr>
                <w:color w:val="000000"/>
                <w:sz w:val="24"/>
                <w:szCs w:val="24"/>
              </w:rPr>
              <w:t>0.61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41,499,000.00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21.75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41,499,000.00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21.75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93,783,000.00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49.16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88,750,000.00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46.52</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4,296,220.00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2.25</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228,328,220.00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119.68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06098">
        <w:trPr>
          <w:jc w:val="center"/>
        </w:trPr>
        <w:tc>
          <w:tcPr>
            <w:tcW w:w="850" w:type="dxa"/>
            <w:vAlign w:val="center"/>
          </w:tcPr>
          <w:p w:rsidR="00206098" w:rsidRDefault="00ED2E13">
            <w:pPr>
              <w:jc w:val="center"/>
            </w:pPr>
            <w:r>
              <w:rPr>
                <w:color w:val="000000"/>
                <w:sz w:val="24"/>
                <w:szCs w:val="24"/>
              </w:rPr>
              <w:t>1</w:t>
            </w:r>
          </w:p>
        </w:tc>
        <w:tc>
          <w:tcPr>
            <w:tcW w:w="1475" w:type="dxa"/>
            <w:vAlign w:val="center"/>
          </w:tcPr>
          <w:p w:rsidR="00206098" w:rsidRDefault="00ED2E13">
            <w:pPr>
              <w:jc w:val="center"/>
            </w:pPr>
            <w:r>
              <w:rPr>
                <w:color w:val="000000"/>
                <w:sz w:val="24"/>
                <w:szCs w:val="24"/>
              </w:rPr>
              <w:t>180205</w:t>
            </w:r>
          </w:p>
        </w:tc>
        <w:tc>
          <w:tcPr>
            <w:tcW w:w="1769" w:type="dxa"/>
            <w:vAlign w:val="center"/>
          </w:tcPr>
          <w:p w:rsidR="00206098" w:rsidRDefault="00ED2E13">
            <w:pPr>
              <w:jc w:val="center"/>
            </w:pPr>
            <w:r>
              <w:rPr>
                <w:color w:val="000000"/>
                <w:sz w:val="24"/>
                <w:szCs w:val="24"/>
              </w:rPr>
              <w:t>18</w:t>
            </w:r>
            <w:r>
              <w:rPr>
                <w:color w:val="000000"/>
                <w:sz w:val="24"/>
                <w:szCs w:val="24"/>
              </w:rPr>
              <w:t>国开</w:t>
            </w:r>
            <w:r>
              <w:rPr>
                <w:color w:val="000000"/>
                <w:sz w:val="24"/>
                <w:szCs w:val="24"/>
              </w:rPr>
              <w:t>05</w:t>
            </w:r>
          </w:p>
        </w:tc>
        <w:tc>
          <w:tcPr>
            <w:tcW w:w="1387" w:type="dxa"/>
            <w:vAlign w:val="center"/>
          </w:tcPr>
          <w:p w:rsidR="00206098" w:rsidRDefault="00ED2E13">
            <w:pPr>
              <w:jc w:val="right"/>
            </w:pPr>
            <w:r>
              <w:rPr>
                <w:color w:val="000000"/>
                <w:sz w:val="24"/>
                <w:szCs w:val="24"/>
              </w:rPr>
              <w:t>300,000</w:t>
            </w:r>
          </w:p>
        </w:tc>
        <w:tc>
          <w:tcPr>
            <w:tcW w:w="2150" w:type="dxa"/>
            <w:vAlign w:val="center"/>
          </w:tcPr>
          <w:p w:rsidR="00206098" w:rsidRDefault="00ED2E13">
            <w:pPr>
              <w:jc w:val="right"/>
            </w:pPr>
            <w:r>
              <w:rPr>
                <w:color w:val="000000"/>
                <w:sz w:val="24"/>
                <w:szCs w:val="24"/>
              </w:rPr>
              <w:t>31,461,000.00</w:t>
            </w:r>
          </w:p>
        </w:tc>
        <w:tc>
          <w:tcPr>
            <w:tcW w:w="1237" w:type="dxa"/>
            <w:vAlign w:val="center"/>
          </w:tcPr>
          <w:p w:rsidR="00206098" w:rsidRDefault="00ED2E13">
            <w:pPr>
              <w:jc w:val="right"/>
            </w:pPr>
            <w:r>
              <w:rPr>
                <w:color w:val="000000"/>
                <w:sz w:val="24"/>
                <w:szCs w:val="24"/>
              </w:rPr>
              <w:t>16.49</w:t>
            </w:r>
          </w:p>
        </w:tc>
      </w:tr>
      <w:tr w:rsidR="00206098">
        <w:trPr>
          <w:jc w:val="center"/>
        </w:trPr>
        <w:tc>
          <w:tcPr>
            <w:tcW w:w="850" w:type="dxa"/>
            <w:vAlign w:val="center"/>
          </w:tcPr>
          <w:p w:rsidR="00206098" w:rsidRDefault="00ED2E13">
            <w:pPr>
              <w:jc w:val="center"/>
            </w:pPr>
            <w:r>
              <w:rPr>
                <w:color w:val="000000"/>
                <w:sz w:val="24"/>
                <w:szCs w:val="24"/>
              </w:rPr>
              <w:t>2</w:t>
            </w:r>
          </w:p>
        </w:tc>
        <w:tc>
          <w:tcPr>
            <w:tcW w:w="1475" w:type="dxa"/>
            <w:vAlign w:val="center"/>
          </w:tcPr>
          <w:p w:rsidR="00206098" w:rsidRDefault="00ED2E13">
            <w:pPr>
              <w:jc w:val="center"/>
            </w:pPr>
            <w:r>
              <w:rPr>
                <w:color w:val="000000"/>
                <w:sz w:val="24"/>
                <w:szCs w:val="24"/>
              </w:rPr>
              <w:t>101354013</w:t>
            </w:r>
          </w:p>
        </w:tc>
        <w:tc>
          <w:tcPr>
            <w:tcW w:w="1769" w:type="dxa"/>
            <w:vAlign w:val="center"/>
          </w:tcPr>
          <w:p w:rsidR="00206098" w:rsidRDefault="00ED2E13">
            <w:pPr>
              <w:jc w:val="center"/>
            </w:pPr>
            <w:r>
              <w:rPr>
                <w:color w:val="000000"/>
                <w:sz w:val="24"/>
                <w:szCs w:val="24"/>
              </w:rPr>
              <w:t>13</w:t>
            </w:r>
            <w:r>
              <w:rPr>
                <w:color w:val="000000"/>
                <w:sz w:val="24"/>
                <w:szCs w:val="24"/>
              </w:rPr>
              <w:t>浙能源</w:t>
            </w:r>
            <w:r>
              <w:rPr>
                <w:color w:val="000000"/>
                <w:sz w:val="24"/>
                <w:szCs w:val="24"/>
              </w:rPr>
              <w:t>MTN002</w:t>
            </w:r>
          </w:p>
        </w:tc>
        <w:tc>
          <w:tcPr>
            <w:tcW w:w="1387" w:type="dxa"/>
            <w:vAlign w:val="center"/>
          </w:tcPr>
          <w:p w:rsidR="00206098" w:rsidRDefault="00ED2E13">
            <w:pPr>
              <w:jc w:val="right"/>
            </w:pPr>
            <w:r>
              <w:rPr>
                <w:color w:val="000000"/>
                <w:sz w:val="24"/>
                <w:szCs w:val="24"/>
              </w:rPr>
              <w:t>100,000</w:t>
            </w:r>
          </w:p>
        </w:tc>
        <w:tc>
          <w:tcPr>
            <w:tcW w:w="2150" w:type="dxa"/>
            <w:vAlign w:val="center"/>
          </w:tcPr>
          <w:p w:rsidR="00206098" w:rsidRDefault="00ED2E13">
            <w:pPr>
              <w:jc w:val="right"/>
            </w:pPr>
            <w:r>
              <w:rPr>
                <w:color w:val="000000"/>
                <w:sz w:val="24"/>
                <w:szCs w:val="24"/>
              </w:rPr>
              <w:t>10,310,000.00</w:t>
            </w:r>
          </w:p>
        </w:tc>
        <w:tc>
          <w:tcPr>
            <w:tcW w:w="1237" w:type="dxa"/>
            <w:vAlign w:val="center"/>
          </w:tcPr>
          <w:p w:rsidR="00206098" w:rsidRDefault="00ED2E13">
            <w:pPr>
              <w:jc w:val="right"/>
            </w:pPr>
            <w:r>
              <w:rPr>
                <w:color w:val="000000"/>
                <w:sz w:val="24"/>
                <w:szCs w:val="24"/>
              </w:rPr>
              <w:t>5.40</w:t>
            </w:r>
          </w:p>
        </w:tc>
      </w:tr>
      <w:tr w:rsidR="00206098">
        <w:trPr>
          <w:jc w:val="center"/>
        </w:trPr>
        <w:tc>
          <w:tcPr>
            <w:tcW w:w="850" w:type="dxa"/>
            <w:vAlign w:val="center"/>
          </w:tcPr>
          <w:p w:rsidR="00206098" w:rsidRDefault="00ED2E13">
            <w:pPr>
              <w:jc w:val="center"/>
            </w:pPr>
            <w:r>
              <w:rPr>
                <w:color w:val="000000"/>
                <w:sz w:val="24"/>
                <w:szCs w:val="24"/>
              </w:rPr>
              <w:t>3</w:t>
            </w:r>
          </w:p>
        </w:tc>
        <w:tc>
          <w:tcPr>
            <w:tcW w:w="1475" w:type="dxa"/>
            <w:vAlign w:val="center"/>
          </w:tcPr>
          <w:p w:rsidR="00206098" w:rsidRDefault="00ED2E13">
            <w:pPr>
              <w:jc w:val="center"/>
            </w:pPr>
            <w:r>
              <w:rPr>
                <w:color w:val="000000"/>
                <w:sz w:val="24"/>
                <w:szCs w:val="24"/>
              </w:rPr>
              <w:t>018005</w:t>
            </w:r>
          </w:p>
        </w:tc>
        <w:tc>
          <w:tcPr>
            <w:tcW w:w="1769" w:type="dxa"/>
            <w:vAlign w:val="center"/>
          </w:tcPr>
          <w:p w:rsidR="00206098" w:rsidRDefault="00ED2E13">
            <w:pPr>
              <w:jc w:val="center"/>
            </w:pPr>
            <w:r>
              <w:rPr>
                <w:color w:val="000000"/>
                <w:sz w:val="24"/>
                <w:szCs w:val="24"/>
              </w:rPr>
              <w:t>国开</w:t>
            </w:r>
            <w:r>
              <w:rPr>
                <w:color w:val="000000"/>
                <w:sz w:val="24"/>
                <w:szCs w:val="24"/>
              </w:rPr>
              <w:t>1701</w:t>
            </w:r>
          </w:p>
        </w:tc>
        <w:tc>
          <w:tcPr>
            <w:tcW w:w="1387" w:type="dxa"/>
            <w:vAlign w:val="center"/>
          </w:tcPr>
          <w:p w:rsidR="00206098" w:rsidRDefault="00ED2E13">
            <w:pPr>
              <w:jc w:val="right"/>
            </w:pPr>
            <w:r>
              <w:rPr>
                <w:color w:val="000000"/>
                <w:sz w:val="24"/>
                <w:szCs w:val="24"/>
              </w:rPr>
              <w:t>100,000</w:t>
            </w:r>
          </w:p>
        </w:tc>
        <w:tc>
          <w:tcPr>
            <w:tcW w:w="2150" w:type="dxa"/>
            <w:vAlign w:val="center"/>
          </w:tcPr>
          <w:p w:rsidR="00206098" w:rsidRDefault="00ED2E13">
            <w:pPr>
              <w:jc w:val="right"/>
            </w:pPr>
            <w:r>
              <w:rPr>
                <w:color w:val="000000"/>
                <w:sz w:val="24"/>
                <w:szCs w:val="24"/>
              </w:rPr>
              <w:t>10,038,000.00</w:t>
            </w:r>
          </w:p>
        </w:tc>
        <w:tc>
          <w:tcPr>
            <w:tcW w:w="1237" w:type="dxa"/>
            <w:vAlign w:val="center"/>
          </w:tcPr>
          <w:p w:rsidR="00206098" w:rsidRDefault="00ED2E13">
            <w:pPr>
              <w:jc w:val="right"/>
            </w:pPr>
            <w:r>
              <w:rPr>
                <w:color w:val="000000"/>
                <w:sz w:val="24"/>
                <w:szCs w:val="24"/>
              </w:rPr>
              <w:t>5.26</w:t>
            </w:r>
          </w:p>
        </w:tc>
      </w:tr>
      <w:tr w:rsidR="00206098">
        <w:trPr>
          <w:jc w:val="center"/>
        </w:trPr>
        <w:tc>
          <w:tcPr>
            <w:tcW w:w="850" w:type="dxa"/>
            <w:vAlign w:val="center"/>
          </w:tcPr>
          <w:p w:rsidR="00206098" w:rsidRDefault="00ED2E13">
            <w:pPr>
              <w:jc w:val="center"/>
            </w:pPr>
            <w:r>
              <w:rPr>
                <w:color w:val="000000"/>
                <w:sz w:val="24"/>
                <w:szCs w:val="24"/>
              </w:rPr>
              <w:t>4</w:t>
            </w:r>
          </w:p>
        </w:tc>
        <w:tc>
          <w:tcPr>
            <w:tcW w:w="1475" w:type="dxa"/>
            <w:vAlign w:val="center"/>
          </w:tcPr>
          <w:p w:rsidR="00206098" w:rsidRDefault="00ED2E13">
            <w:pPr>
              <w:jc w:val="center"/>
            </w:pPr>
            <w:r>
              <w:rPr>
                <w:color w:val="000000"/>
                <w:sz w:val="24"/>
                <w:szCs w:val="24"/>
              </w:rPr>
              <w:t>101752020</w:t>
            </w:r>
          </w:p>
        </w:tc>
        <w:tc>
          <w:tcPr>
            <w:tcW w:w="1769" w:type="dxa"/>
            <w:vAlign w:val="center"/>
          </w:tcPr>
          <w:p w:rsidR="00206098" w:rsidRDefault="00ED2E13">
            <w:pPr>
              <w:jc w:val="center"/>
            </w:pPr>
            <w:r>
              <w:rPr>
                <w:color w:val="000000"/>
                <w:sz w:val="24"/>
                <w:szCs w:val="24"/>
              </w:rPr>
              <w:t>17</w:t>
            </w:r>
            <w:r>
              <w:rPr>
                <w:color w:val="000000"/>
                <w:sz w:val="24"/>
                <w:szCs w:val="24"/>
              </w:rPr>
              <w:t>华发实业</w:t>
            </w:r>
            <w:r>
              <w:rPr>
                <w:color w:val="000000"/>
                <w:sz w:val="24"/>
                <w:szCs w:val="24"/>
              </w:rPr>
              <w:t>MTN001</w:t>
            </w:r>
          </w:p>
        </w:tc>
        <w:tc>
          <w:tcPr>
            <w:tcW w:w="1387" w:type="dxa"/>
            <w:vAlign w:val="center"/>
          </w:tcPr>
          <w:p w:rsidR="00206098" w:rsidRDefault="00ED2E13">
            <w:pPr>
              <w:jc w:val="right"/>
            </w:pPr>
            <w:r>
              <w:rPr>
                <w:color w:val="000000"/>
                <w:sz w:val="24"/>
                <w:szCs w:val="24"/>
              </w:rPr>
              <w:t>100,000</w:t>
            </w:r>
          </w:p>
        </w:tc>
        <w:tc>
          <w:tcPr>
            <w:tcW w:w="2150" w:type="dxa"/>
            <w:vAlign w:val="center"/>
          </w:tcPr>
          <w:p w:rsidR="00206098" w:rsidRDefault="00ED2E13">
            <w:pPr>
              <w:jc w:val="right"/>
            </w:pPr>
            <w:r>
              <w:rPr>
                <w:color w:val="000000"/>
                <w:sz w:val="24"/>
                <w:szCs w:val="24"/>
              </w:rPr>
              <w:t>10,019,000.00</w:t>
            </w:r>
          </w:p>
        </w:tc>
        <w:tc>
          <w:tcPr>
            <w:tcW w:w="1237" w:type="dxa"/>
            <w:vAlign w:val="center"/>
          </w:tcPr>
          <w:p w:rsidR="00206098" w:rsidRDefault="00ED2E13">
            <w:pPr>
              <w:jc w:val="right"/>
            </w:pPr>
            <w:r>
              <w:rPr>
                <w:color w:val="000000"/>
                <w:sz w:val="24"/>
                <w:szCs w:val="24"/>
              </w:rPr>
              <w:t>5.25</w:t>
            </w:r>
          </w:p>
        </w:tc>
      </w:tr>
      <w:tr w:rsidR="00206098">
        <w:trPr>
          <w:jc w:val="center"/>
        </w:trPr>
        <w:tc>
          <w:tcPr>
            <w:tcW w:w="850" w:type="dxa"/>
            <w:vAlign w:val="center"/>
          </w:tcPr>
          <w:p w:rsidR="00206098" w:rsidRDefault="00ED2E13">
            <w:pPr>
              <w:jc w:val="center"/>
            </w:pPr>
            <w:r>
              <w:rPr>
                <w:color w:val="000000"/>
                <w:sz w:val="24"/>
                <w:szCs w:val="24"/>
              </w:rPr>
              <w:t>5</w:t>
            </w:r>
          </w:p>
        </w:tc>
        <w:tc>
          <w:tcPr>
            <w:tcW w:w="1475" w:type="dxa"/>
            <w:vAlign w:val="center"/>
          </w:tcPr>
          <w:p w:rsidR="00206098" w:rsidRDefault="00ED2E13">
            <w:pPr>
              <w:jc w:val="center"/>
            </w:pPr>
            <w:r>
              <w:rPr>
                <w:color w:val="000000"/>
                <w:sz w:val="24"/>
                <w:szCs w:val="24"/>
              </w:rPr>
              <w:t>101800603</w:t>
            </w:r>
          </w:p>
        </w:tc>
        <w:tc>
          <w:tcPr>
            <w:tcW w:w="1769" w:type="dxa"/>
            <w:vAlign w:val="center"/>
          </w:tcPr>
          <w:p w:rsidR="00206098" w:rsidRDefault="00ED2E13">
            <w:pPr>
              <w:jc w:val="center"/>
            </w:pPr>
            <w:r>
              <w:rPr>
                <w:color w:val="000000"/>
                <w:sz w:val="24"/>
                <w:szCs w:val="24"/>
              </w:rPr>
              <w:t>18</w:t>
            </w:r>
            <w:r>
              <w:rPr>
                <w:color w:val="000000"/>
                <w:sz w:val="24"/>
                <w:szCs w:val="24"/>
              </w:rPr>
              <w:t>首开集团</w:t>
            </w:r>
            <w:r>
              <w:rPr>
                <w:color w:val="000000"/>
                <w:sz w:val="24"/>
                <w:szCs w:val="24"/>
              </w:rPr>
              <w:t>MTN001</w:t>
            </w:r>
          </w:p>
        </w:tc>
        <w:tc>
          <w:tcPr>
            <w:tcW w:w="1387" w:type="dxa"/>
            <w:vAlign w:val="center"/>
          </w:tcPr>
          <w:p w:rsidR="00206098" w:rsidRDefault="00ED2E13">
            <w:pPr>
              <w:jc w:val="right"/>
            </w:pPr>
            <w:r>
              <w:rPr>
                <w:color w:val="000000"/>
                <w:sz w:val="24"/>
                <w:szCs w:val="24"/>
              </w:rPr>
              <w:t>100,000</w:t>
            </w:r>
          </w:p>
        </w:tc>
        <w:tc>
          <w:tcPr>
            <w:tcW w:w="2150" w:type="dxa"/>
            <w:vAlign w:val="center"/>
          </w:tcPr>
          <w:p w:rsidR="00206098" w:rsidRDefault="00ED2E13">
            <w:pPr>
              <w:jc w:val="right"/>
            </w:pPr>
            <w:r>
              <w:rPr>
                <w:color w:val="000000"/>
                <w:sz w:val="24"/>
                <w:szCs w:val="24"/>
              </w:rPr>
              <w:t>9,990,000.00</w:t>
            </w:r>
          </w:p>
        </w:tc>
        <w:tc>
          <w:tcPr>
            <w:tcW w:w="1237" w:type="dxa"/>
            <w:vAlign w:val="center"/>
          </w:tcPr>
          <w:p w:rsidR="00206098" w:rsidRDefault="00ED2E13">
            <w:pPr>
              <w:jc w:val="right"/>
            </w:pPr>
            <w:r>
              <w:rPr>
                <w:color w:val="000000"/>
                <w:sz w:val="24"/>
                <w:szCs w:val="24"/>
              </w:rPr>
              <w:t>5.24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39,464.77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33,269,609.63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3,171,534.93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27,466.83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36,508,076.16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206098">
        <w:trPr>
          <w:jc w:val="center"/>
        </w:trPr>
        <w:tc>
          <w:tcPr>
            <w:tcW w:w="1883" w:type="dxa"/>
            <w:vAlign w:val="center"/>
          </w:tcPr>
          <w:p w:rsidR="00206098" w:rsidRDefault="00ED2E13">
            <w:pPr>
              <w:jc w:val="center"/>
            </w:pPr>
            <w:r>
              <w:rPr>
                <w:color w:val="000000"/>
                <w:sz w:val="24"/>
                <w:szCs w:val="24"/>
              </w:rPr>
              <w:t>1</w:t>
            </w:r>
          </w:p>
        </w:tc>
        <w:tc>
          <w:tcPr>
            <w:tcW w:w="1801" w:type="dxa"/>
            <w:vAlign w:val="center"/>
          </w:tcPr>
          <w:p w:rsidR="00206098" w:rsidRDefault="00ED2E13">
            <w:pPr>
              <w:jc w:val="center"/>
            </w:pPr>
            <w:r>
              <w:rPr>
                <w:color w:val="000000"/>
                <w:sz w:val="24"/>
                <w:szCs w:val="24"/>
              </w:rPr>
              <w:t>110039</w:t>
            </w:r>
          </w:p>
        </w:tc>
        <w:tc>
          <w:tcPr>
            <w:tcW w:w="1727" w:type="dxa"/>
            <w:vAlign w:val="center"/>
          </w:tcPr>
          <w:p w:rsidR="00206098" w:rsidRDefault="00ED2E13">
            <w:pPr>
              <w:jc w:val="center"/>
            </w:pPr>
            <w:r>
              <w:rPr>
                <w:color w:val="000000"/>
                <w:sz w:val="24"/>
                <w:szCs w:val="24"/>
              </w:rPr>
              <w:t>宝信转债</w:t>
            </w:r>
          </w:p>
        </w:tc>
        <w:tc>
          <w:tcPr>
            <w:tcW w:w="1768" w:type="dxa"/>
            <w:vAlign w:val="center"/>
          </w:tcPr>
          <w:p w:rsidR="00206098" w:rsidRDefault="00ED2E13">
            <w:pPr>
              <w:jc w:val="right"/>
            </w:pPr>
            <w:r>
              <w:rPr>
                <w:color w:val="000000"/>
                <w:sz w:val="24"/>
                <w:szCs w:val="24"/>
              </w:rPr>
              <w:t>1,152,240.00</w:t>
            </w:r>
          </w:p>
        </w:tc>
        <w:tc>
          <w:tcPr>
            <w:tcW w:w="1689" w:type="dxa"/>
            <w:vAlign w:val="center"/>
          </w:tcPr>
          <w:p w:rsidR="00206098" w:rsidRDefault="00ED2E13">
            <w:pPr>
              <w:jc w:val="right"/>
            </w:pPr>
            <w:r>
              <w:rPr>
                <w:color w:val="000000"/>
                <w:sz w:val="24"/>
                <w:szCs w:val="24"/>
              </w:rPr>
              <w:t>0.60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注：宝信转债在</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6</w:t>
      </w:r>
      <w:r w:rsidRPr="00414345">
        <w:rPr>
          <w:color w:val="000000"/>
          <w:sz w:val="24"/>
          <w:szCs w:val="24"/>
        </w:rPr>
        <w:t>日之前都处于转股期。</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Default="001F3E2A" w:rsidP="007F28F7">
      <w:pPr>
        <w:spacing w:before="29" w:line="288" w:lineRule="auto"/>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BC429A" w:rsidRDefault="00BC429A" w:rsidP="00C15CAC">
      <w:pPr>
        <w:spacing w:before="29" w:line="288" w:lineRule="auto"/>
        <w:ind w:firstLineChars="200" w:firstLine="480"/>
        <w:rPr>
          <w:rFonts w:eastAsiaTheme="minorEastAsia"/>
          <w:color w:val="000000" w:themeColor="text1"/>
          <w:sz w:val="24"/>
          <w:szCs w:val="24"/>
        </w:rPr>
      </w:pPr>
      <w:r w:rsidRPr="00BC429A">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156,155,259.45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10,126,030.13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31,883,571.75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134,397,717.83</w:t>
            </w:r>
          </w:p>
        </w:tc>
      </w:tr>
    </w:tbl>
    <w:p w:rsidR="00206098" w:rsidRDefault="00ED2E1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73,528,676.47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73,528,676.47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54.71</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206098">
        <w:tc>
          <w:tcPr>
            <w:tcW w:w="993" w:type="dxa"/>
          </w:tcPr>
          <w:p w:rsidR="00206098" w:rsidRDefault="00206098"/>
          <w:p w:rsidR="00206098" w:rsidRDefault="00ED2E13">
            <w:r>
              <w:rPr>
                <w:rFonts w:ascii="宋体" w:hAnsi="宋体" w:hint="eastAsia"/>
                <w:bCs/>
                <w:color w:val="000000"/>
                <w:kern w:val="0"/>
              </w:rPr>
              <w:t>机构</w:t>
            </w:r>
          </w:p>
        </w:tc>
        <w:tc>
          <w:tcPr>
            <w:tcW w:w="992" w:type="dxa"/>
            <w:vAlign w:val="center"/>
          </w:tcPr>
          <w:p w:rsidR="00206098" w:rsidRDefault="00ED2E13">
            <w:pPr>
              <w:jc w:val="center"/>
            </w:pPr>
            <w:r>
              <w:rPr>
                <w:rFonts w:ascii="宋体" w:hAnsi="宋体"/>
                <w:color w:val="000000"/>
                <w:kern w:val="0"/>
              </w:rPr>
              <w:t>1</w:t>
            </w:r>
          </w:p>
        </w:tc>
        <w:tc>
          <w:tcPr>
            <w:tcW w:w="1843" w:type="dxa"/>
            <w:vAlign w:val="center"/>
          </w:tcPr>
          <w:p w:rsidR="00206098" w:rsidRDefault="00ED2E13">
            <w:pPr>
              <w:jc w:val="center"/>
            </w:pPr>
            <w:r>
              <w:rPr>
                <w:rFonts w:ascii="宋体" w:hAnsi="宋体"/>
                <w:color w:val="000000"/>
                <w:kern w:val="0"/>
              </w:rPr>
              <w:t>2018/4/1-2018/6/30</w:t>
            </w:r>
          </w:p>
        </w:tc>
        <w:tc>
          <w:tcPr>
            <w:tcW w:w="851" w:type="dxa"/>
            <w:vAlign w:val="center"/>
          </w:tcPr>
          <w:p w:rsidR="00206098" w:rsidRDefault="00ED2E13">
            <w:pPr>
              <w:jc w:val="center"/>
            </w:pPr>
            <w:r>
              <w:rPr>
                <w:rFonts w:ascii="宋体" w:hAnsi="宋体"/>
                <w:color w:val="000000"/>
                <w:kern w:val="0"/>
              </w:rPr>
              <w:t>73,528,676.47</w:t>
            </w:r>
          </w:p>
        </w:tc>
        <w:tc>
          <w:tcPr>
            <w:tcW w:w="850" w:type="dxa"/>
            <w:vAlign w:val="center"/>
          </w:tcPr>
          <w:p w:rsidR="00206098" w:rsidRDefault="00ED2E13">
            <w:pPr>
              <w:jc w:val="center"/>
            </w:pPr>
            <w:r>
              <w:rPr>
                <w:rFonts w:ascii="宋体" w:hAnsi="宋体"/>
                <w:color w:val="000000"/>
                <w:kern w:val="0"/>
              </w:rPr>
              <w:t>-</w:t>
            </w:r>
          </w:p>
        </w:tc>
        <w:tc>
          <w:tcPr>
            <w:tcW w:w="1134" w:type="dxa"/>
            <w:vAlign w:val="center"/>
          </w:tcPr>
          <w:p w:rsidR="00206098" w:rsidRDefault="00ED2E13">
            <w:pPr>
              <w:jc w:val="center"/>
            </w:pPr>
            <w:r>
              <w:rPr>
                <w:rFonts w:ascii="宋体" w:hAnsi="宋体"/>
                <w:color w:val="000000"/>
                <w:kern w:val="0"/>
              </w:rPr>
              <w:t>-</w:t>
            </w:r>
          </w:p>
        </w:tc>
        <w:tc>
          <w:tcPr>
            <w:tcW w:w="1419" w:type="dxa"/>
            <w:vAlign w:val="center"/>
          </w:tcPr>
          <w:p w:rsidR="00206098" w:rsidRDefault="00ED2E13">
            <w:pPr>
              <w:jc w:val="center"/>
            </w:pPr>
            <w:r>
              <w:rPr>
                <w:rFonts w:ascii="宋体" w:hAnsi="宋体"/>
                <w:color w:val="000000"/>
                <w:kern w:val="0"/>
              </w:rPr>
              <w:t>73,528,676.47</w:t>
            </w:r>
          </w:p>
        </w:tc>
        <w:tc>
          <w:tcPr>
            <w:tcW w:w="1130" w:type="dxa"/>
            <w:vAlign w:val="center"/>
          </w:tcPr>
          <w:p w:rsidR="00206098" w:rsidRDefault="00ED2E13">
            <w:pPr>
              <w:jc w:val="center"/>
            </w:pPr>
            <w:r>
              <w:rPr>
                <w:rFonts w:ascii="宋体" w:hAnsi="宋体"/>
                <w:color w:val="000000"/>
                <w:kern w:val="0"/>
              </w:rPr>
              <w:t>54.71%</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06098" w:rsidRDefault="00ED2E1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206098" w:rsidRDefault="00ED2E1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206098" w:rsidRDefault="00ED2E1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206098" w:rsidRDefault="00ED2E1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206098" w:rsidRDefault="00ED2E13">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206098" w:rsidRDefault="00ED2E13">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206098" w:rsidRDefault="00ED2E13">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06098" w:rsidRDefault="00ED2E1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F0C" w:rsidRDefault="00804F0C" w:rsidP="00876D65">
      <w:r>
        <w:separator/>
      </w:r>
    </w:p>
  </w:endnote>
  <w:endnote w:type="continuationSeparator" w:id="0">
    <w:p w:rsidR="00804F0C" w:rsidRDefault="00804F0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方正舒体"/>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93082D">
      <w:rPr>
        <w:noProof/>
        <w:kern w:val="0"/>
        <w:szCs w:val="21"/>
      </w:rPr>
      <w:t>4</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93082D">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F0C" w:rsidRDefault="00804F0C" w:rsidP="00876D65">
      <w:r>
        <w:separator/>
      </w:r>
    </w:p>
  </w:footnote>
  <w:footnote w:type="continuationSeparator" w:id="0">
    <w:p w:rsidR="00804F0C" w:rsidRDefault="00804F0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交银施罗德信用添利债券证券投资基金（</w:t>
    </w:r>
    <w:r w:rsidRPr="003E676C">
      <w:rPr>
        <w:sz w:val="24"/>
        <w:szCs w:val="24"/>
      </w:rPr>
      <w:t>LOF</w:t>
    </w:r>
    <w:r w:rsidRPr="003E676C">
      <w:rPr>
        <w:sz w:val="24"/>
        <w:szCs w:val="24"/>
      </w:rPr>
      <w:t>）</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06098"/>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26AC"/>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8F7"/>
    <w:rsid w:val="007F29B1"/>
    <w:rsid w:val="007F7F0B"/>
    <w:rsid w:val="008014F9"/>
    <w:rsid w:val="0080358B"/>
    <w:rsid w:val="00804F0C"/>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082D"/>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29A"/>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4584B"/>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2E13"/>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BC429A"/>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D6B0-9FA3-4669-B55C-C7915D1D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13</Pages>
  <Words>1169</Words>
  <Characters>6665</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580</cp:revision>
  <dcterms:created xsi:type="dcterms:W3CDTF">2012-10-16T06:07:00Z</dcterms:created>
  <dcterms:modified xsi:type="dcterms:W3CDTF">2018-07-16T10:04:00Z</dcterms:modified>
</cp:coreProperties>
</file>