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二〇一八年七月十八日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4603A0" w:rsidRDefault="00701F44">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603A0" w:rsidRDefault="00701F44">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603A0" w:rsidRDefault="00701F44">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603A0" w:rsidRDefault="00701F44">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603A0" w:rsidRDefault="00701F44">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3,315,769,404.79</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486,388,513.58</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2,829,380,891.21</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4,568,889.02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52,612,046.77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4,568,889.02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52,612,046.77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486,388,513.58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2,829,380,891.21</w:t>
            </w:r>
          </w:p>
        </w:tc>
      </w:tr>
    </w:tbl>
    <w:p w:rsidR="004603A0" w:rsidRDefault="00701F4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4603A0">
        <w:trPr>
          <w:jc w:val="center"/>
        </w:trPr>
        <w:tc>
          <w:tcPr>
            <w:tcW w:w="1266" w:type="dxa"/>
            <w:vAlign w:val="center"/>
          </w:tcPr>
          <w:p w:rsidR="004603A0" w:rsidRDefault="00701F44">
            <w:pPr>
              <w:jc w:val="left"/>
            </w:pPr>
            <w:r>
              <w:rPr>
                <w:color w:val="000000"/>
              </w:rPr>
              <w:t>过去三个月</w:t>
            </w:r>
          </w:p>
        </w:tc>
        <w:tc>
          <w:tcPr>
            <w:tcW w:w="1267" w:type="dxa"/>
            <w:vAlign w:val="center"/>
          </w:tcPr>
          <w:p w:rsidR="004603A0" w:rsidRDefault="00701F44">
            <w:pPr>
              <w:jc w:val="center"/>
            </w:pPr>
            <w:r>
              <w:rPr>
                <w:color w:val="000000"/>
              </w:rPr>
              <w:t>0.8443%</w:t>
            </w:r>
          </w:p>
        </w:tc>
        <w:tc>
          <w:tcPr>
            <w:tcW w:w="1267" w:type="dxa"/>
            <w:vAlign w:val="center"/>
          </w:tcPr>
          <w:p w:rsidR="004603A0" w:rsidRDefault="00701F44">
            <w:pPr>
              <w:jc w:val="center"/>
            </w:pPr>
            <w:r>
              <w:rPr>
                <w:color w:val="000000"/>
              </w:rPr>
              <w:t>0.0038%</w:t>
            </w:r>
          </w:p>
        </w:tc>
        <w:tc>
          <w:tcPr>
            <w:tcW w:w="1267" w:type="dxa"/>
            <w:vAlign w:val="center"/>
          </w:tcPr>
          <w:p w:rsidR="004603A0" w:rsidRDefault="00701F44">
            <w:pPr>
              <w:jc w:val="center"/>
            </w:pPr>
            <w:r>
              <w:rPr>
                <w:color w:val="000000"/>
              </w:rPr>
              <w:t>0.3241%</w:t>
            </w:r>
          </w:p>
        </w:tc>
        <w:tc>
          <w:tcPr>
            <w:tcW w:w="1267" w:type="dxa"/>
            <w:vAlign w:val="center"/>
          </w:tcPr>
          <w:p w:rsidR="004603A0" w:rsidRDefault="00701F44">
            <w:pPr>
              <w:jc w:val="center"/>
            </w:pPr>
            <w:r>
              <w:rPr>
                <w:color w:val="000000"/>
              </w:rPr>
              <w:t>0.0000%</w:t>
            </w:r>
          </w:p>
        </w:tc>
        <w:tc>
          <w:tcPr>
            <w:tcW w:w="1267" w:type="dxa"/>
            <w:vAlign w:val="center"/>
          </w:tcPr>
          <w:p w:rsidR="004603A0" w:rsidRDefault="00701F44">
            <w:pPr>
              <w:jc w:val="center"/>
            </w:pPr>
            <w:r>
              <w:rPr>
                <w:color w:val="000000"/>
              </w:rPr>
              <w:t>0.5202%</w:t>
            </w:r>
          </w:p>
        </w:tc>
        <w:tc>
          <w:tcPr>
            <w:tcW w:w="1267" w:type="dxa"/>
            <w:vAlign w:val="center"/>
          </w:tcPr>
          <w:p w:rsidR="004603A0" w:rsidRDefault="00701F44">
            <w:pPr>
              <w:jc w:val="center"/>
            </w:pPr>
            <w:r>
              <w:rPr>
                <w:color w:val="000000"/>
              </w:rPr>
              <w:t>0.0038%</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4603A0">
        <w:trPr>
          <w:jc w:val="center"/>
        </w:trPr>
        <w:tc>
          <w:tcPr>
            <w:tcW w:w="1266" w:type="dxa"/>
            <w:vAlign w:val="center"/>
          </w:tcPr>
          <w:p w:rsidR="004603A0" w:rsidRDefault="00701F44">
            <w:pPr>
              <w:jc w:val="left"/>
            </w:pPr>
            <w:r>
              <w:rPr>
                <w:color w:val="000000"/>
              </w:rPr>
              <w:t>过去三个月</w:t>
            </w:r>
          </w:p>
        </w:tc>
        <w:tc>
          <w:tcPr>
            <w:tcW w:w="1267" w:type="dxa"/>
            <w:vAlign w:val="center"/>
          </w:tcPr>
          <w:p w:rsidR="004603A0" w:rsidRDefault="00701F44">
            <w:pPr>
              <w:jc w:val="center"/>
            </w:pPr>
            <w:r>
              <w:rPr>
                <w:color w:val="000000"/>
              </w:rPr>
              <w:t>0.9044%</w:t>
            </w:r>
          </w:p>
        </w:tc>
        <w:tc>
          <w:tcPr>
            <w:tcW w:w="1267" w:type="dxa"/>
            <w:vAlign w:val="center"/>
          </w:tcPr>
          <w:p w:rsidR="004603A0" w:rsidRDefault="00701F44">
            <w:pPr>
              <w:jc w:val="center"/>
            </w:pPr>
            <w:r>
              <w:rPr>
                <w:color w:val="000000"/>
              </w:rPr>
              <w:t>0.0038%</w:t>
            </w:r>
          </w:p>
        </w:tc>
        <w:tc>
          <w:tcPr>
            <w:tcW w:w="1267" w:type="dxa"/>
            <w:vAlign w:val="center"/>
          </w:tcPr>
          <w:p w:rsidR="004603A0" w:rsidRDefault="00701F44">
            <w:pPr>
              <w:jc w:val="center"/>
            </w:pPr>
            <w:r>
              <w:rPr>
                <w:color w:val="000000"/>
              </w:rPr>
              <w:t>0.3241%</w:t>
            </w:r>
          </w:p>
        </w:tc>
        <w:tc>
          <w:tcPr>
            <w:tcW w:w="1267" w:type="dxa"/>
            <w:vAlign w:val="center"/>
          </w:tcPr>
          <w:p w:rsidR="004603A0" w:rsidRDefault="00701F44">
            <w:pPr>
              <w:jc w:val="center"/>
            </w:pPr>
            <w:r>
              <w:rPr>
                <w:color w:val="000000"/>
              </w:rPr>
              <w:t>0.0000%</w:t>
            </w:r>
          </w:p>
        </w:tc>
        <w:tc>
          <w:tcPr>
            <w:tcW w:w="1267" w:type="dxa"/>
            <w:vAlign w:val="center"/>
          </w:tcPr>
          <w:p w:rsidR="004603A0" w:rsidRDefault="00701F44">
            <w:pPr>
              <w:jc w:val="center"/>
            </w:pPr>
            <w:r>
              <w:rPr>
                <w:color w:val="000000"/>
              </w:rPr>
              <w:t>0.5803%</w:t>
            </w:r>
          </w:p>
        </w:tc>
        <w:tc>
          <w:tcPr>
            <w:tcW w:w="1267" w:type="dxa"/>
            <w:vAlign w:val="center"/>
          </w:tcPr>
          <w:p w:rsidR="004603A0" w:rsidRDefault="00701F44">
            <w:pPr>
              <w:jc w:val="center"/>
            </w:pPr>
            <w:r>
              <w:rPr>
                <w:color w:val="000000"/>
              </w:rPr>
              <w:t>0.0038%</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4603A0">
        <w:trPr>
          <w:jc w:val="center"/>
        </w:trPr>
        <w:tc>
          <w:tcPr>
            <w:tcW w:w="945" w:type="dxa"/>
            <w:vAlign w:val="center"/>
          </w:tcPr>
          <w:p w:rsidR="004603A0" w:rsidRDefault="00701F44">
            <w:pPr>
              <w:jc w:val="center"/>
            </w:pPr>
            <w:r>
              <w:rPr>
                <w:color w:val="000000"/>
                <w:sz w:val="24"/>
              </w:rPr>
              <w:t>黄莹洁</w:t>
            </w:r>
          </w:p>
        </w:tc>
        <w:tc>
          <w:tcPr>
            <w:tcW w:w="1589" w:type="dxa"/>
            <w:vAlign w:val="center"/>
          </w:tcPr>
          <w:p w:rsidR="004603A0" w:rsidRDefault="00701F44">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478" w:type="dxa"/>
            <w:vAlign w:val="center"/>
          </w:tcPr>
          <w:p w:rsidR="004603A0" w:rsidRDefault="00701F44">
            <w:pPr>
              <w:jc w:val="center"/>
            </w:pPr>
            <w:r>
              <w:rPr>
                <w:color w:val="000000"/>
                <w:sz w:val="24"/>
              </w:rPr>
              <w:t>2015-05-27</w:t>
            </w:r>
          </w:p>
        </w:tc>
        <w:tc>
          <w:tcPr>
            <w:tcW w:w="1478" w:type="dxa"/>
            <w:vAlign w:val="center"/>
          </w:tcPr>
          <w:p w:rsidR="004603A0" w:rsidRDefault="00701F44">
            <w:pPr>
              <w:jc w:val="center"/>
            </w:pPr>
            <w:r>
              <w:rPr>
                <w:color w:val="000000"/>
                <w:sz w:val="24"/>
              </w:rPr>
              <w:t>-</w:t>
            </w:r>
          </w:p>
        </w:tc>
        <w:tc>
          <w:tcPr>
            <w:tcW w:w="986" w:type="dxa"/>
            <w:vAlign w:val="center"/>
          </w:tcPr>
          <w:p w:rsidR="004603A0" w:rsidRDefault="00701F44">
            <w:pPr>
              <w:jc w:val="center"/>
            </w:pPr>
            <w:r>
              <w:rPr>
                <w:color w:val="000000"/>
                <w:sz w:val="24"/>
              </w:rPr>
              <w:t>10</w:t>
            </w:r>
            <w:r>
              <w:rPr>
                <w:color w:val="000000"/>
                <w:sz w:val="24"/>
              </w:rPr>
              <w:t>年</w:t>
            </w:r>
          </w:p>
        </w:tc>
        <w:tc>
          <w:tcPr>
            <w:tcW w:w="2392" w:type="dxa"/>
            <w:vAlign w:val="center"/>
          </w:tcPr>
          <w:p w:rsidR="004603A0" w:rsidRDefault="00701F44">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w:t>
            </w:r>
            <w:r w:rsidR="00BC66E6">
              <w:rPr>
                <w:color w:val="000000"/>
                <w:sz w:val="24"/>
              </w:rPr>
              <w:t>8</w:t>
            </w:r>
            <w:r>
              <w:rPr>
                <w:color w:val="000000"/>
                <w:sz w:val="24"/>
              </w:rPr>
              <w:t>日担任交银施罗德丰泽收益债券型证券投资基金的基金经理。</w:t>
            </w:r>
          </w:p>
        </w:tc>
      </w:tr>
      <w:tr w:rsidR="004603A0">
        <w:trPr>
          <w:jc w:val="center"/>
        </w:trPr>
        <w:tc>
          <w:tcPr>
            <w:tcW w:w="945" w:type="dxa"/>
            <w:vAlign w:val="center"/>
          </w:tcPr>
          <w:p w:rsidR="004603A0" w:rsidRDefault="00701F44">
            <w:pPr>
              <w:jc w:val="center"/>
            </w:pPr>
            <w:r>
              <w:rPr>
                <w:color w:val="000000"/>
                <w:sz w:val="24"/>
              </w:rPr>
              <w:t>连端清</w:t>
            </w:r>
          </w:p>
        </w:tc>
        <w:tc>
          <w:tcPr>
            <w:tcW w:w="1589" w:type="dxa"/>
            <w:vAlign w:val="center"/>
          </w:tcPr>
          <w:p w:rsidR="004603A0" w:rsidRDefault="00701F44">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4603A0" w:rsidRDefault="00701F44">
            <w:pPr>
              <w:jc w:val="center"/>
            </w:pPr>
            <w:r>
              <w:rPr>
                <w:color w:val="000000"/>
                <w:sz w:val="24"/>
              </w:rPr>
              <w:t>2015-10-16</w:t>
            </w:r>
          </w:p>
        </w:tc>
        <w:tc>
          <w:tcPr>
            <w:tcW w:w="1478" w:type="dxa"/>
            <w:vAlign w:val="center"/>
          </w:tcPr>
          <w:p w:rsidR="004603A0" w:rsidRDefault="00701F44">
            <w:pPr>
              <w:jc w:val="center"/>
            </w:pPr>
            <w:r>
              <w:rPr>
                <w:color w:val="000000"/>
                <w:sz w:val="24"/>
              </w:rPr>
              <w:t>-</w:t>
            </w:r>
          </w:p>
        </w:tc>
        <w:tc>
          <w:tcPr>
            <w:tcW w:w="986" w:type="dxa"/>
            <w:vAlign w:val="center"/>
          </w:tcPr>
          <w:p w:rsidR="004603A0" w:rsidRDefault="00701F44">
            <w:pPr>
              <w:jc w:val="center"/>
            </w:pPr>
            <w:r>
              <w:rPr>
                <w:color w:val="000000"/>
                <w:sz w:val="24"/>
              </w:rPr>
              <w:t>5</w:t>
            </w:r>
            <w:r>
              <w:rPr>
                <w:color w:val="000000"/>
                <w:sz w:val="24"/>
              </w:rPr>
              <w:t>年</w:t>
            </w:r>
          </w:p>
        </w:tc>
        <w:tc>
          <w:tcPr>
            <w:tcW w:w="2392" w:type="dxa"/>
            <w:vAlign w:val="center"/>
          </w:tcPr>
          <w:p w:rsidR="004603A0" w:rsidRDefault="00701F4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4603A0" w:rsidRDefault="004603A0"/>
        </w:tc>
      </w:tr>
    </w:tbl>
    <w:p w:rsidR="004603A0" w:rsidRDefault="00701F4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4603A0" w:rsidRDefault="00701F44">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4603A0" w:rsidRDefault="00701F4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603A0" w:rsidRDefault="00701F4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603A0" w:rsidRDefault="00701F4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4603A0" w:rsidRDefault="00701F44">
      <w:pPr>
        <w:spacing w:before="29" w:line="288" w:lineRule="auto"/>
        <w:ind w:firstLineChars="200" w:firstLine="480"/>
        <w:rPr>
          <w:color w:val="000000"/>
          <w:sz w:val="24"/>
        </w:rPr>
      </w:pPr>
      <w:r>
        <w:rPr>
          <w:color w:val="000000"/>
          <w:sz w:val="24"/>
        </w:rPr>
        <w:t>本报告期内，经济增长及预期在内部监管政策从严执行和外部中美贸易战深化的双重影响下显著趋缓。</w:t>
      </w:r>
      <w:r>
        <w:rPr>
          <w:color w:val="000000"/>
          <w:sz w:val="24"/>
        </w:rPr>
        <w:t>PPP</w:t>
      </w:r>
      <w:r>
        <w:rPr>
          <w:color w:val="000000"/>
          <w:sz w:val="24"/>
        </w:rPr>
        <w:t>模式和房地产为主导的固定资产投资走低，增速从二月份的</w:t>
      </w:r>
      <w:r>
        <w:rPr>
          <w:color w:val="000000"/>
          <w:sz w:val="24"/>
        </w:rPr>
        <w:t>7.9%</w:t>
      </w:r>
      <w:r>
        <w:rPr>
          <w:color w:val="000000"/>
          <w:sz w:val="24"/>
        </w:rPr>
        <w:t>回落至五月的</w:t>
      </w:r>
      <w:r>
        <w:rPr>
          <w:color w:val="000000"/>
          <w:sz w:val="24"/>
        </w:rPr>
        <w:t>6.1%</w:t>
      </w:r>
      <w:r>
        <w:rPr>
          <w:color w:val="000000"/>
          <w:sz w:val="24"/>
        </w:rPr>
        <w:t>。社会融资总量更是在五月份创出新低，表外融资在资管新规出台后基本停滞，金融信贷数据的走弱暗示了未来基本面的乏力。然而中国经济的韧性仍有些许表征，一方面是工业品价格企稳回升带动</w:t>
      </w:r>
      <w:r>
        <w:rPr>
          <w:color w:val="000000"/>
          <w:sz w:val="24"/>
        </w:rPr>
        <w:t>PPI</w:t>
      </w:r>
      <w:r>
        <w:rPr>
          <w:color w:val="000000"/>
          <w:sz w:val="24"/>
        </w:rPr>
        <w:t>增速上行至</w:t>
      </w:r>
      <w:r>
        <w:rPr>
          <w:color w:val="000000"/>
          <w:sz w:val="24"/>
        </w:rPr>
        <w:t>4.1%</w:t>
      </w:r>
      <w:r>
        <w:rPr>
          <w:color w:val="00000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资金价格持续走低。同期债券和货币市场收益率再次下行，其中经济增速放缓、央行超预期降准、狭义流动性边际宽松等因素成为收益率变动的主要原因。报告期内，三个月上海银行间拆借利率下行</w:t>
      </w:r>
      <w:r>
        <w:rPr>
          <w:color w:val="000000"/>
          <w:sz w:val="24"/>
        </w:rPr>
        <w:t>31BP</w:t>
      </w:r>
      <w:r>
        <w:rPr>
          <w:color w:val="000000"/>
          <w:sz w:val="24"/>
        </w:rPr>
        <w:t>到</w:t>
      </w:r>
      <w:r>
        <w:rPr>
          <w:color w:val="000000"/>
          <w:sz w:val="24"/>
        </w:rPr>
        <w:t>4.16%</w:t>
      </w:r>
      <w:r>
        <w:rPr>
          <w:color w:val="000000"/>
          <w:sz w:val="24"/>
        </w:rPr>
        <w:t>。</w:t>
      </w:r>
    </w:p>
    <w:p w:rsidR="004603A0" w:rsidRDefault="00701F44">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与回购等，组合整体流动性良好。六月末我们视组合流动性情况适当拉长久期，增配了部分高评级的同业存单等资产，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三季度，我们将继续关注收益率显著下行的银行同业存单发行情况，持续观察监管政策的落地实施以及实际影响，我们预计去杠杆政策仍将延续，货币政策可能会延续结构性宽松的状态，流动性宽松态势有待观察。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本报告期内，交银货币</w:t>
      </w:r>
      <w:r w:rsidRPr="000E4C40">
        <w:rPr>
          <w:color w:val="000000"/>
          <w:sz w:val="24"/>
        </w:rPr>
        <w:t>A</w:t>
      </w:r>
      <w:r w:rsidRPr="000E4C40">
        <w:rPr>
          <w:color w:val="000000"/>
          <w:sz w:val="24"/>
        </w:rPr>
        <w:t>净值收益率为</w:t>
      </w:r>
      <w:r w:rsidRPr="000E4C40">
        <w:rPr>
          <w:color w:val="000000"/>
          <w:sz w:val="24"/>
        </w:rPr>
        <w:t>0.8443%</w:t>
      </w:r>
      <w:r w:rsidRPr="000E4C40">
        <w:rPr>
          <w:color w:val="000000"/>
          <w:sz w:val="24"/>
        </w:rPr>
        <w:t>，同期业绩比较基准收益率为</w:t>
      </w:r>
      <w:r w:rsidRPr="000E4C40">
        <w:rPr>
          <w:color w:val="000000"/>
          <w:sz w:val="24"/>
        </w:rPr>
        <w:t>0.3241%</w:t>
      </w:r>
      <w:r w:rsidRPr="000E4C40">
        <w:rPr>
          <w:color w:val="000000"/>
          <w:sz w:val="24"/>
        </w:rPr>
        <w:t>；交银货币</w:t>
      </w:r>
      <w:r w:rsidRPr="000E4C40">
        <w:rPr>
          <w:color w:val="000000"/>
          <w:sz w:val="24"/>
        </w:rPr>
        <w:t>B</w:t>
      </w:r>
      <w:r w:rsidRPr="000E4C40">
        <w:rPr>
          <w:color w:val="000000"/>
          <w:sz w:val="24"/>
        </w:rPr>
        <w:t>净值收益率为</w:t>
      </w:r>
      <w:r w:rsidRPr="000E4C40">
        <w:rPr>
          <w:color w:val="000000"/>
          <w:sz w:val="24"/>
        </w:rPr>
        <w:t>0.9044%</w:t>
      </w:r>
      <w:r w:rsidRPr="000E4C40">
        <w:rPr>
          <w:color w:val="000000"/>
          <w:sz w:val="24"/>
        </w:rPr>
        <w:t>，同期业绩比较基准收益率为</w:t>
      </w:r>
      <w:r w:rsidRPr="000E4C40">
        <w:rPr>
          <w:color w:val="000000"/>
          <w:sz w:val="24"/>
        </w:rPr>
        <w:t>0.3241%</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2,005,418,666.38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60.21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1,955,418,666.38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58.70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1.50</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761,631,740.75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22.87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554,432,088.23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16.64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9,476,876.93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0.28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3,330,959,372.29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1.45</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0.03</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F93C3D" w:rsidP="00281564">
            <w:pPr>
              <w:autoSpaceDE w:val="0"/>
              <w:autoSpaceDN w:val="0"/>
              <w:adjustRightInd w:val="0"/>
              <w:spacing w:before="29" w:line="288" w:lineRule="auto"/>
              <w:ind w:left="15"/>
              <w:jc w:val="right"/>
              <w:rPr>
                <w:color w:val="000000"/>
                <w:kern w:val="0"/>
                <w:sz w:val="24"/>
              </w:rPr>
            </w:pPr>
            <w:r>
              <w:rPr>
                <w:color w:val="000000"/>
                <w:sz w:val="24"/>
              </w:rPr>
              <w:t>32.69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57.59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F93C3D" w:rsidP="00C90A94">
            <w:pPr>
              <w:autoSpaceDE w:val="0"/>
              <w:autoSpaceDN w:val="0"/>
              <w:adjustRightInd w:val="0"/>
              <w:spacing w:before="29" w:line="288" w:lineRule="auto"/>
              <w:ind w:left="15"/>
              <w:jc w:val="right"/>
              <w:rPr>
                <w:color w:val="000000"/>
                <w:kern w:val="0"/>
                <w:sz w:val="24"/>
              </w:rPr>
            </w:pPr>
            <w:r>
              <w:rPr>
                <w:color w:val="000000"/>
                <w:sz w:val="24"/>
              </w:rPr>
              <w:t>100.</w:t>
            </w:r>
            <w:r w:rsidR="00C90A94">
              <w:rPr>
                <w:color w:val="000000"/>
                <w:sz w:val="24"/>
              </w:rPr>
              <w:t>1</w:t>
            </w:r>
            <w:r>
              <w:rPr>
                <w:color w:val="000000"/>
                <w:sz w:val="24"/>
              </w:rPr>
              <w:t>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bookmarkStart w:id="2" w:name="_GoBack"/>
      <w:bookmarkEnd w:id="2"/>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239,765,136.63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7.23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50,026,334.20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50,026,334.20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1,665,627,195.55</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50.23</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1,955,418,666.38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58.97</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02"/>
        <w:gridCol w:w="1279"/>
        <w:gridCol w:w="1990"/>
        <w:gridCol w:w="1211"/>
        <w:gridCol w:w="2102"/>
        <w:gridCol w:w="138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4603A0">
        <w:trPr>
          <w:jc w:val="center"/>
        </w:trPr>
        <w:tc>
          <w:tcPr>
            <w:tcW w:w="0" w:type="auto"/>
            <w:vAlign w:val="center"/>
          </w:tcPr>
          <w:p w:rsidR="004603A0" w:rsidRDefault="00701F44">
            <w:pPr>
              <w:jc w:val="center"/>
            </w:pPr>
            <w:r>
              <w:rPr>
                <w:color w:val="000000"/>
                <w:sz w:val="24"/>
              </w:rPr>
              <w:t>1</w:t>
            </w:r>
          </w:p>
        </w:tc>
        <w:tc>
          <w:tcPr>
            <w:tcW w:w="0" w:type="auto"/>
            <w:vAlign w:val="center"/>
          </w:tcPr>
          <w:p w:rsidR="004603A0" w:rsidRDefault="00701F44">
            <w:pPr>
              <w:jc w:val="center"/>
            </w:pPr>
            <w:r>
              <w:rPr>
                <w:color w:val="000000"/>
                <w:sz w:val="24"/>
              </w:rPr>
              <w:t>111815275</w:t>
            </w:r>
          </w:p>
        </w:tc>
        <w:tc>
          <w:tcPr>
            <w:tcW w:w="0" w:type="auto"/>
            <w:vAlign w:val="center"/>
          </w:tcPr>
          <w:p w:rsidR="004603A0" w:rsidRDefault="00701F44">
            <w:pPr>
              <w:jc w:val="center"/>
            </w:pPr>
            <w:r>
              <w:rPr>
                <w:color w:val="000000"/>
                <w:sz w:val="24"/>
              </w:rPr>
              <w:t>18</w:t>
            </w:r>
            <w:r>
              <w:rPr>
                <w:color w:val="000000"/>
                <w:sz w:val="24"/>
              </w:rPr>
              <w:t>民生银行</w:t>
            </w:r>
            <w:r>
              <w:rPr>
                <w:color w:val="000000"/>
                <w:sz w:val="24"/>
              </w:rPr>
              <w:t>CD275</w:t>
            </w:r>
          </w:p>
        </w:tc>
        <w:tc>
          <w:tcPr>
            <w:tcW w:w="0" w:type="auto"/>
            <w:vAlign w:val="center"/>
          </w:tcPr>
          <w:p w:rsidR="004603A0" w:rsidRDefault="00701F44">
            <w:pPr>
              <w:jc w:val="right"/>
            </w:pPr>
            <w:r>
              <w:rPr>
                <w:color w:val="000000"/>
                <w:sz w:val="24"/>
              </w:rPr>
              <w:t>3,000,000</w:t>
            </w:r>
          </w:p>
        </w:tc>
        <w:tc>
          <w:tcPr>
            <w:tcW w:w="0" w:type="auto"/>
            <w:vAlign w:val="center"/>
          </w:tcPr>
          <w:p w:rsidR="004603A0" w:rsidRDefault="00701F44">
            <w:pPr>
              <w:jc w:val="right"/>
            </w:pPr>
            <w:r>
              <w:rPr>
                <w:color w:val="000000"/>
                <w:sz w:val="24"/>
              </w:rPr>
              <w:t>297,350,279.87</w:t>
            </w:r>
          </w:p>
        </w:tc>
        <w:tc>
          <w:tcPr>
            <w:tcW w:w="0" w:type="auto"/>
            <w:vAlign w:val="center"/>
          </w:tcPr>
          <w:p w:rsidR="004603A0" w:rsidRDefault="00701F44">
            <w:pPr>
              <w:jc w:val="right"/>
            </w:pPr>
            <w:r>
              <w:rPr>
                <w:color w:val="000000"/>
                <w:sz w:val="24"/>
              </w:rPr>
              <w:t>8.97</w:t>
            </w:r>
          </w:p>
        </w:tc>
      </w:tr>
      <w:tr w:rsidR="004603A0">
        <w:trPr>
          <w:jc w:val="center"/>
        </w:trPr>
        <w:tc>
          <w:tcPr>
            <w:tcW w:w="0" w:type="auto"/>
            <w:vAlign w:val="center"/>
          </w:tcPr>
          <w:p w:rsidR="004603A0" w:rsidRDefault="00701F44">
            <w:pPr>
              <w:jc w:val="center"/>
            </w:pPr>
            <w:r>
              <w:rPr>
                <w:color w:val="000000"/>
                <w:sz w:val="24"/>
              </w:rPr>
              <w:t>2</w:t>
            </w:r>
          </w:p>
        </w:tc>
        <w:tc>
          <w:tcPr>
            <w:tcW w:w="0" w:type="auto"/>
            <w:vAlign w:val="center"/>
          </w:tcPr>
          <w:p w:rsidR="004603A0" w:rsidRDefault="00701F44">
            <w:pPr>
              <w:jc w:val="center"/>
            </w:pPr>
            <w:r>
              <w:rPr>
                <w:color w:val="000000"/>
                <w:sz w:val="24"/>
              </w:rPr>
              <w:t>111811173</w:t>
            </w:r>
          </w:p>
        </w:tc>
        <w:tc>
          <w:tcPr>
            <w:tcW w:w="0" w:type="auto"/>
            <w:vAlign w:val="center"/>
          </w:tcPr>
          <w:p w:rsidR="004603A0" w:rsidRDefault="00701F44">
            <w:pPr>
              <w:jc w:val="center"/>
            </w:pPr>
            <w:r>
              <w:rPr>
                <w:color w:val="000000"/>
                <w:sz w:val="24"/>
              </w:rPr>
              <w:t>18</w:t>
            </w:r>
            <w:r>
              <w:rPr>
                <w:color w:val="000000"/>
                <w:sz w:val="24"/>
              </w:rPr>
              <w:t>平安银行</w:t>
            </w:r>
            <w:r>
              <w:rPr>
                <w:color w:val="000000"/>
                <w:sz w:val="24"/>
              </w:rPr>
              <w:t>CD173</w:t>
            </w:r>
          </w:p>
        </w:tc>
        <w:tc>
          <w:tcPr>
            <w:tcW w:w="0" w:type="auto"/>
            <w:vAlign w:val="center"/>
          </w:tcPr>
          <w:p w:rsidR="004603A0" w:rsidRDefault="00701F44">
            <w:pPr>
              <w:jc w:val="right"/>
            </w:pPr>
            <w:r>
              <w:rPr>
                <w:color w:val="000000"/>
                <w:sz w:val="24"/>
              </w:rPr>
              <w:t>2,500,000</w:t>
            </w:r>
          </w:p>
        </w:tc>
        <w:tc>
          <w:tcPr>
            <w:tcW w:w="0" w:type="auto"/>
            <w:vAlign w:val="center"/>
          </w:tcPr>
          <w:p w:rsidR="004603A0" w:rsidRDefault="00701F44">
            <w:pPr>
              <w:jc w:val="right"/>
            </w:pPr>
            <w:r>
              <w:rPr>
                <w:color w:val="000000"/>
                <w:sz w:val="24"/>
              </w:rPr>
              <w:t>247,609,460.95</w:t>
            </w:r>
          </w:p>
        </w:tc>
        <w:tc>
          <w:tcPr>
            <w:tcW w:w="0" w:type="auto"/>
            <w:vAlign w:val="center"/>
          </w:tcPr>
          <w:p w:rsidR="004603A0" w:rsidRDefault="00701F44">
            <w:pPr>
              <w:jc w:val="right"/>
            </w:pPr>
            <w:r>
              <w:rPr>
                <w:color w:val="000000"/>
                <w:sz w:val="24"/>
              </w:rPr>
              <w:t>7.47</w:t>
            </w:r>
          </w:p>
        </w:tc>
      </w:tr>
      <w:tr w:rsidR="004603A0">
        <w:trPr>
          <w:jc w:val="center"/>
        </w:trPr>
        <w:tc>
          <w:tcPr>
            <w:tcW w:w="0" w:type="auto"/>
            <w:vAlign w:val="center"/>
          </w:tcPr>
          <w:p w:rsidR="004603A0" w:rsidRDefault="00701F44">
            <w:pPr>
              <w:jc w:val="center"/>
            </w:pPr>
            <w:r>
              <w:rPr>
                <w:color w:val="000000"/>
                <w:sz w:val="24"/>
              </w:rPr>
              <w:t>3</w:t>
            </w:r>
          </w:p>
        </w:tc>
        <w:tc>
          <w:tcPr>
            <w:tcW w:w="0" w:type="auto"/>
            <w:vAlign w:val="center"/>
          </w:tcPr>
          <w:p w:rsidR="004603A0" w:rsidRDefault="00701F44">
            <w:pPr>
              <w:jc w:val="center"/>
            </w:pPr>
            <w:r>
              <w:rPr>
                <w:color w:val="000000"/>
                <w:sz w:val="24"/>
              </w:rPr>
              <w:t>111820128</w:t>
            </w:r>
          </w:p>
        </w:tc>
        <w:tc>
          <w:tcPr>
            <w:tcW w:w="0" w:type="auto"/>
            <w:vAlign w:val="center"/>
          </w:tcPr>
          <w:p w:rsidR="004603A0" w:rsidRDefault="00701F44">
            <w:pPr>
              <w:jc w:val="center"/>
            </w:pPr>
            <w:r>
              <w:rPr>
                <w:color w:val="000000"/>
                <w:sz w:val="24"/>
              </w:rPr>
              <w:t>18</w:t>
            </w:r>
            <w:r>
              <w:rPr>
                <w:color w:val="000000"/>
                <w:sz w:val="24"/>
              </w:rPr>
              <w:t>广发银行</w:t>
            </w:r>
            <w:r>
              <w:rPr>
                <w:color w:val="000000"/>
                <w:sz w:val="24"/>
              </w:rPr>
              <w:t>CD128</w:t>
            </w:r>
          </w:p>
        </w:tc>
        <w:tc>
          <w:tcPr>
            <w:tcW w:w="0" w:type="auto"/>
            <w:vAlign w:val="center"/>
          </w:tcPr>
          <w:p w:rsidR="004603A0" w:rsidRDefault="00701F44">
            <w:pPr>
              <w:jc w:val="right"/>
            </w:pPr>
            <w:r>
              <w:rPr>
                <w:color w:val="000000"/>
                <w:sz w:val="24"/>
              </w:rPr>
              <w:t>2,500,000</w:t>
            </w:r>
          </w:p>
        </w:tc>
        <w:tc>
          <w:tcPr>
            <w:tcW w:w="0" w:type="auto"/>
            <w:vAlign w:val="center"/>
          </w:tcPr>
          <w:p w:rsidR="004603A0" w:rsidRDefault="00701F44">
            <w:pPr>
              <w:jc w:val="right"/>
            </w:pPr>
            <w:r>
              <w:rPr>
                <w:color w:val="000000"/>
                <w:sz w:val="24"/>
              </w:rPr>
              <w:t>247,609,460.95</w:t>
            </w:r>
          </w:p>
        </w:tc>
        <w:tc>
          <w:tcPr>
            <w:tcW w:w="0" w:type="auto"/>
            <w:vAlign w:val="center"/>
          </w:tcPr>
          <w:p w:rsidR="004603A0" w:rsidRDefault="00701F44">
            <w:pPr>
              <w:jc w:val="right"/>
            </w:pPr>
            <w:r>
              <w:rPr>
                <w:color w:val="000000"/>
                <w:sz w:val="24"/>
              </w:rPr>
              <w:t>7.47</w:t>
            </w:r>
          </w:p>
        </w:tc>
      </w:tr>
      <w:tr w:rsidR="004603A0">
        <w:trPr>
          <w:jc w:val="center"/>
        </w:trPr>
        <w:tc>
          <w:tcPr>
            <w:tcW w:w="0" w:type="auto"/>
            <w:vAlign w:val="center"/>
          </w:tcPr>
          <w:p w:rsidR="004603A0" w:rsidRDefault="00701F44">
            <w:pPr>
              <w:jc w:val="center"/>
            </w:pPr>
            <w:r>
              <w:rPr>
                <w:color w:val="000000"/>
                <w:sz w:val="24"/>
              </w:rPr>
              <w:t>4</w:t>
            </w:r>
          </w:p>
        </w:tc>
        <w:tc>
          <w:tcPr>
            <w:tcW w:w="0" w:type="auto"/>
            <w:vAlign w:val="center"/>
          </w:tcPr>
          <w:p w:rsidR="004603A0" w:rsidRDefault="00701F44">
            <w:pPr>
              <w:jc w:val="center"/>
            </w:pPr>
            <w:r>
              <w:rPr>
                <w:color w:val="000000"/>
                <w:sz w:val="24"/>
              </w:rPr>
              <w:t>111815262</w:t>
            </w:r>
          </w:p>
        </w:tc>
        <w:tc>
          <w:tcPr>
            <w:tcW w:w="0" w:type="auto"/>
            <w:vAlign w:val="center"/>
          </w:tcPr>
          <w:p w:rsidR="004603A0" w:rsidRDefault="00701F44">
            <w:pPr>
              <w:jc w:val="center"/>
            </w:pPr>
            <w:r>
              <w:rPr>
                <w:color w:val="000000"/>
                <w:sz w:val="24"/>
              </w:rPr>
              <w:t>18</w:t>
            </w:r>
            <w:r>
              <w:rPr>
                <w:color w:val="000000"/>
                <w:sz w:val="24"/>
              </w:rPr>
              <w:t>民生银行</w:t>
            </w:r>
            <w:r>
              <w:rPr>
                <w:color w:val="000000"/>
                <w:sz w:val="24"/>
              </w:rPr>
              <w:t>CD262</w:t>
            </w:r>
          </w:p>
        </w:tc>
        <w:tc>
          <w:tcPr>
            <w:tcW w:w="0" w:type="auto"/>
            <w:vAlign w:val="center"/>
          </w:tcPr>
          <w:p w:rsidR="004603A0" w:rsidRDefault="00701F44">
            <w:pPr>
              <w:jc w:val="right"/>
            </w:pPr>
            <w:r>
              <w:rPr>
                <w:color w:val="000000"/>
                <w:sz w:val="24"/>
              </w:rPr>
              <w:t>2,000,000</w:t>
            </w:r>
          </w:p>
        </w:tc>
        <w:tc>
          <w:tcPr>
            <w:tcW w:w="0" w:type="auto"/>
            <w:vAlign w:val="center"/>
          </w:tcPr>
          <w:p w:rsidR="004603A0" w:rsidRDefault="00701F44">
            <w:pPr>
              <w:jc w:val="right"/>
            </w:pPr>
            <w:r>
              <w:rPr>
                <w:color w:val="000000"/>
                <w:sz w:val="24"/>
              </w:rPr>
              <w:t>198,339,693.76</w:t>
            </w:r>
          </w:p>
        </w:tc>
        <w:tc>
          <w:tcPr>
            <w:tcW w:w="0" w:type="auto"/>
            <w:vAlign w:val="center"/>
          </w:tcPr>
          <w:p w:rsidR="004603A0" w:rsidRDefault="00701F44">
            <w:pPr>
              <w:jc w:val="right"/>
            </w:pPr>
            <w:r>
              <w:rPr>
                <w:color w:val="000000"/>
                <w:sz w:val="24"/>
              </w:rPr>
              <w:t>5.98</w:t>
            </w:r>
          </w:p>
        </w:tc>
      </w:tr>
      <w:tr w:rsidR="004603A0">
        <w:trPr>
          <w:jc w:val="center"/>
        </w:trPr>
        <w:tc>
          <w:tcPr>
            <w:tcW w:w="0" w:type="auto"/>
            <w:vAlign w:val="center"/>
          </w:tcPr>
          <w:p w:rsidR="004603A0" w:rsidRDefault="00701F44">
            <w:pPr>
              <w:jc w:val="center"/>
            </w:pPr>
            <w:r>
              <w:rPr>
                <w:color w:val="000000"/>
                <w:sz w:val="24"/>
              </w:rPr>
              <w:t>5</w:t>
            </w:r>
          </w:p>
        </w:tc>
        <w:tc>
          <w:tcPr>
            <w:tcW w:w="0" w:type="auto"/>
            <w:vAlign w:val="center"/>
          </w:tcPr>
          <w:p w:rsidR="004603A0" w:rsidRDefault="00701F44">
            <w:pPr>
              <w:jc w:val="center"/>
            </w:pPr>
            <w:r>
              <w:rPr>
                <w:color w:val="000000"/>
                <w:sz w:val="24"/>
              </w:rPr>
              <w:t>189916</w:t>
            </w:r>
          </w:p>
        </w:tc>
        <w:tc>
          <w:tcPr>
            <w:tcW w:w="0" w:type="auto"/>
            <w:vAlign w:val="center"/>
          </w:tcPr>
          <w:p w:rsidR="004603A0" w:rsidRDefault="00701F44">
            <w:pPr>
              <w:jc w:val="center"/>
            </w:pPr>
            <w:r>
              <w:rPr>
                <w:color w:val="000000"/>
                <w:sz w:val="24"/>
              </w:rPr>
              <w:t>18</w:t>
            </w:r>
            <w:r>
              <w:rPr>
                <w:color w:val="000000"/>
                <w:sz w:val="24"/>
              </w:rPr>
              <w:t>贴现国债</w:t>
            </w:r>
            <w:r>
              <w:rPr>
                <w:color w:val="000000"/>
                <w:sz w:val="24"/>
              </w:rPr>
              <w:t>16</w:t>
            </w:r>
          </w:p>
        </w:tc>
        <w:tc>
          <w:tcPr>
            <w:tcW w:w="0" w:type="auto"/>
            <w:vAlign w:val="center"/>
          </w:tcPr>
          <w:p w:rsidR="004603A0" w:rsidRDefault="00701F44">
            <w:pPr>
              <w:jc w:val="right"/>
            </w:pPr>
            <w:r>
              <w:rPr>
                <w:color w:val="000000"/>
                <w:sz w:val="24"/>
              </w:rPr>
              <w:t>1,500,000</w:t>
            </w:r>
          </w:p>
        </w:tc>
        <w:tc>
          <w:tcPr>
            <w:tcW w:w="0" w:type="auto"/>
            <w:vAlign w:val="center"/>
          </w:tcPr>
          <w:p w:rsidR="004603A0" w:rsidRDefault="00701F44">
            <w:pPr>
              <w:jc w:val="right"/>
            </w:pPr>
            <w:r>
              <w:rPr>
                <w:color w:val="000000"/>
                <w:sz w:val="24"/>
              </w:rPr>
              <w:t>149,839,722.82</w:t>
            </w:r>
          </w:p>
        </w:tc>
        <w:tc>
          <w:tcPr>
            <w:tcW w:w="0" w:type="auto"/>
            <w:vAlign w:val="center"/>
          </w:tcPr>
          <w:p w:rsidR="004603A0" w:rsidRDefault="00701F44">
            <w:pPr>
              <w:jc w:val="right"/>
            </w:pPr>
            <w:r>
              <w:rPr>
                <w:color w:val="000000"/>
                <w:sz w:val="24"/>
              </w:rPr>
              <w:t>4.52</w:t>
            </w:r>
          </w:p>
        </w:tc>
      </w:tr>
      <w:tr w:rsidR="004603A0">
        <w:trPr>
          <w:jc w:val="center"/>
        </w:trPr>
        <w:tc>
          <w:tcPr>
            <w:tcW w:w="0" w:type="auto"/>
            <w:vAlign w:val="center"/>
          </w:tcPr>
          <w:p w:rsidR="004603A0" w:rsidRDefault="00701F44">
            <w:pPr>
              <w:jc w:val="center"/>
            </w:pPr>
            <w:r>
              <w:rPr>
                <w:color w:val="000000"/>
                <w:sz w:val="24"/>
              </w:rPr>
              <w:t>6</w:t>
            </w:r>
          </w:p>
        </w:tc>
        <w:tc>
          <w:tcPr>
            <w:tcW w:w="0" w:type="auto"/>
            <w:vAlign w:val="center"/>
          </w:tcPr>
          <w:p w:rsidR="004603A0" w:rsidRDefault="00701F44">
            <w:pPr>
              <w:jc w:val="center"/>
            </w:pPr>
            <w:r>
              <w:rPr>
                <w:color w:val="000000"/>
                <w:sz w:val="24"/>
              </w:rPr>
              <w:t>111808166</w:t>
            </w:r>
          </w:p>
        </w:tc>
        <w:tc>
          <w:tcPr>
            <w:tcW w:w="0" w:type="auto"/>
            <w:vAlign w:val="center"/>
          </w:tcPr>
          <w:p w:rsidR="004603A0" w:rsidRDefault="00701F44">
            <w:pPr>
              <w:jc w:val="center"/>
            </w:pPr>
            <w:r>
              <w:rPr>
                <w:color w:val="000000"/>
                <w:sz w:val="24"/>
              </w:rPr>
              <w:t>18</w:t>
            </w:r>
            <w:r>
              <w:rPr>
                <w:color w:val="000000"/>
                <w:sz w:val="24"/>
              </w:rPr>
              <w:t>中信银行</w:t>
            </w:r>
            <w:r>
              <w:rPr>
                <w:color w:val="000000"/>
                <w:sz w:val="24"/>
              </w:rPr>
              <w:t>CD166</w:t>
            </w:r>
          </w:p>
        </w:tc>
        <w:tc>
          <w:tcPr>
            <w:tcW w:w="0" w:type="auto"/>
            <w:vAlign w:val="center"/>
          </w:tcPr>
          <w:p w:rsidR="004603A0" w:rsidRDefault="00701F44">
            <w:pPr>
              <w:jc w:val="right"/>
            </w:pPr>
            <w:r>
              <w:rPr>
                <w:color w:val="000000"/>
                <w:sz w:val="24"/>
              </w:rPr>
              <w:t>1,500,000</w:t>
            </w:r>
          </w:p>
        </w:tc>
        <w:tc>
          <w:tcPr>
            <w:tcW w:w="0" w:type="auto"/>
            <w:vAlign w:val="center"/>
          </w:tcPr>
          <w:p w:rsidR="004603A0" w:rsidRDefault="00701F44">
            <w:pPr>
              <w:jc w:val="right"/>
            </w:pPr>
            <w:r>
              <w:rPr>
                <w:color w:val="000000"/>
                <w:sz w:val="24"/>
              </w:rPr>
              <w:t>148,651,312.69</w:t>
            </w:r>
          </w:p>
        </w:tc>
        <w:tc>
          <w:tcPr>
            <w:tcW w:w="0" w:type="auto"/>
            <w:vAlign w:val="center"/>
          </w:tcPr>
          <w:p w:rsidR="004603A0" w:rsidRDefault="00701F44">
            <w:pPr>
              <w:jc w:val="right"/>
            </w:pPr>
            <w:r>
              <w:rPr>
                <w:color w:val="000000"/>
                <w:sz w:val="24"/>
              </w:rPr>
              <w:t>4.48</w:t>
            </w:r>
          </w:p>
        </w:tc>
      </w:tr>
      <w:tr w:rsidR="004603A0">
        <w:trPr>
          <w:jc w:val="center"/>
        </w:trPr>
        <w:tc>
          <w:tcPr>
            <w:tcW w:w="0" w:type="auto"/>
            <w:vAlign w:val="center"/>
          </w:tcPr>
          <w:p w:rsidR="004603A0" w:rsidRDefault="00701F44">
            <w:pPr>
              <w:jc w:val="center"/>
            </w:pPr>
            <w:r>
              <w:rPr>
                <w:color w:val="000000"/>
                <w:sz w:val="24"/>
              </w:rPr>
              <w:t>7</w:t>
            </w:r>
          </w:p>
        </w:tc>
        <w:tc>
          <w:tcPr>
            <w:tcW w:w="0" w:type="auto"/>
            <w:vAlign w:val="center"/>
          </w:tcPr>
          <w:p w:rsidR="004603A0" w:rsidRDefault="00701F44">
            <w:pPr>
              <w:jc w:val="center"/>
            </w:pPr>
            <w:r>
              <w:rPr>
                <w:color w:val="000000"/>
                <w:sz w:val="24"/>
              </w:rPr>
              <w:t>111810226</w:t>
            </w:r>
          </w:p>
        </w:tc>
        <w:tc>
          <w:tcPr>
            <w:tcW w:w="0" w:type="auto"/>
            <w:vAlign w:val="center"/>
          </w:tcPr>
          <w:p w:rsidR="004603A0" w:rsidRDefault="00701F44">
            <w:pPr>
              <w:jc w:val="center"/>
            </w:pPr>
            <w:r>
              <w:rPr>
                <w:color w:val="000000"/>
                <w:sz w:val="24"/>
              </w:rPr>
              <w:t>18</w:t>
            </w:r>
            <w:r>
              <w:rPr>
                <w:color w:val="000000"/>
                <w:sz w:val="24"/>
              </w:rPr>
              <w:t>兴业银行</w:t>
            </w:r>
            <w:r>
              <w:rPr>
                <w:color w:val="000000"/>
                <w:sz w:val="24"/>
              </w:rPr>
              <w:t>CD226</w:t>
            </w:r>
          </w:p>
        </w:tc>
        <w:tc>
          <w:tcPr>
            <w:tcW w:w="0" w:type="auto"/>
            <w:vAlign w:val="center"/>
          </w:tcPr>
          <w:p w:rsidR="004603A0" w:rsidRDefault="00701F44">
            <w:pPr>
              <w:jc w:val="right"/>
            </w:pPr>
            <w:r>
              <w:rPr>
                <w:color w:val="000000"/>
                <w:sz w:val="24"/>
              </w:rPr>
              <w:t>1,000,000</w:t>
            </w:r>
          </w:p>
        </w:tc>
        <w:tc>
          <w:tcPr>
            <w:tcW w:w="0" w:type="auto"/>
            <w:vAlign w:val="center"/>
          </w:tcPr>
          <w:p w:rsidR="004603A0" w:rsidRDefault="00701F44">
            <w:pPr>
              <w:jc w:val="right"/>
            </w:pPr>
            <w:r>
              <w:rPr>
                <w:color w:val="000000"/>
                <w:sz w:val="24"/>
              </w:rPr>
              <w:t>99,496,706.43</w:t>
            </w:r>
          </w:p>
        </w:tc>
        <w:tc>
          <w:tcPr>
            <w:tcW w:w="0" w:type="auto"/>
            <w:vAlign w:val="center"/>
          </w:tcPr>
          <w:p w:rsidR="004603A0" w:rsidRDefault="00701F44">
            <w:pPr>
              <w:jc w:val="right"/>
            </w:pPr>
            <w:r>
              <w:rPr>
                <w:color w:val="000000"/>
                <w:sz w:val="24"/>
              </w:rPr>
              <w:t>3.00</w:t>
            </w:r>
          </w:p>
        </w:tc>
      </w:tr>
      <w:tr w:rsidR="004603A0">
        <w:trPr>
          <w:jc w:val="center"/>
        </w:trPr>
        <w:tc>
          <w:tcPr>
            <w:tcW w:w="0" w:type="auto"/>
            <w:vAlign w:val="center"/>
          </w:tcPr>
          <w:p w:rsidR="004603A0" w:rsidRDefault="00701F44">
            <w:pPr>
              <w:jc w:val="center"/>
            </w:pPr>
            <w:r>
              <w:rPr>
                <w:color w:val="000000"/>
                <w:sz w:val="24"/>
              </w:rPr>
              <w:t>8</w:t>
            </w:r>
          </w:p>
        </w:tc>
        <w:tc>
          <w:tcPr>
            <w:tcW w:w="0" w:type="auto"/>
            <w:vAlign w:val="center"/>
          </w:tcPr>
          <w:p w:rsidR="004603A0" w:rsidRDefault="00701F44">
            <w:pPr>
              <w:jc w:val="center"/>
            </w:pPr>
            <w:r>
              <w:rPr>
                <w:color w:val="000000"/>
                <w:sz w:val="24"/>
              </w:rPr>
              <w:t>111810244</w:t>
            </w:r>
          </w:p>
        </w:tc>
        <w:tc>
          <w:tcPr>
            <w:tcW w:w="0" w:type="auto"/>
            <w:vAlign w:val="center"/>
          </w:tcPr>
          <w:p w:rsidR="004603A0" w:rsidRDefault="00701F44">
            <w:pPr>
              <w:jc w:val="center"/>
            </w:pPr>
            <w:r>
              <w:rPr>
                <w:color w:val="000000"/>
                <w:sz w:val="24"/>
              </w:rPr>
              <w:t>18</w:t>
            </w:r>
            <w:r>
              <w:rPr>
                <w:color w:val="000000"/>
                <w:sz w:val="24"/>
              </w:rPr>
              <w:t>兴业银行</w:t>
            </w:r>
            <w:r>
              <w:rPr>
                <w:color w:val="000000"/>
                <w:sz w:val="24"/>
              </w:rPr>
              <w:t>CD244</w:t>
            </w:r>
          </w:p>
        </w:tc>
        <w:tc>
          <w:tcPr>
            <w:tcW w:w="0" w:type="auto"/>
            <w:vAlign w:val="center"/>
          </w:tcPr>
          <w:p w:rsidR="004603A0" w:rsidRDefault="00701F44">
            <w:pPr>
              <w:jc w:val="right"/>
            </w:pPr>
            <w:r>
              <w:rPr>
                <w:color w:val="000000"/>
                <w:sz w:val="24"/>
              </w:rPr>
              <w:t>1,000,000</w:t>
            </w:r>
          </w:p>
        </w:tc>
        <w:tc>
          <w:tcPr>
            <w:tcW w:w="0" w:type="auto"/>
            <w:vAlign w:val="center"/>
          </w:tcPr>
          <w:p w:rsidR="004603A0" w:rsidRDefault="00701F44">
            <w:pPr>
              <w:jc w:val="right"/>
            </w:pPr>
            <w:r>
              <w:rPr>
                <w:color w:val="000000"/>
                <w:sz w:val="24"/>
              </w:rPr>
              <w:t>99,357,649.48</w:t>
            </w:r>
          </w:p>
        </w:tc>
        <w:tc>
          <w:tcPr>
            <w:tcW w:w="0" w:type="auto"/>
            <w:vAlign w:val="center"/>
          </w:tcPr>
          <w:p w:rsidR="004603A0" w:rsidRDefault="00701F44">
            <w:pPr>
              <w:jc w:val="right"/>
            </w:pPr>
            <w:r>
              <w:rPr>
                <w:color w:val="000000"/>
                <w:sz w:val="24"/>
              </w:rPr>
              <w:t>3.00</w:t>
            </w:r>
          </w:p>
        </w:tc>
      </w:tr>
      <w:tr w:rsidR="004603A0">
        <w:trPr>
          <w:jc w:val="center"/>
        </w:trPr>
        <w:tc>
          <w:tcPr>
            <w:tcW w:w="0" w:type="auto"/>
            <w:vAlign w:val="center"/>
          </w:tcPr>
          <w:p w:rsidR="004603A0" w:rsidRDefault="00701F44">
            <w:pPr>
              <w:jc w:val="center"/>
            </w:pPr>
            <w:r>
              <w:rPr>
                <w:color w:val="000000"/>
                <w:sz w:val="24"/>
              </w:rPr>
              <w:t>9</w:t>
            </w:r>
          </w:p>
        </w:tc>
        <w:tc>
          <w:tcPr>
            <w:tcW w:w="0" w:type="auto"/>
            <w:vAlign w:val="center"/>
          </w:tcPr>
          <w:p w:rsidR="004603A0" w:rsidRDefault="00701F44">
            <w:pPr>
              <w:jc w:val="center"/>
            </w:pPr>
            <w:r>
              <w:rPr>
                <w:color w:val="000000"/>
                <w:sz w:val="24"/>
              </w:rPr>
              <w:t>111810249</w:t>
            </w:r>
          </w:p>
        </w:tc>
        <w:tc>
          <w:tcPr>
            <w:tcW w:w="0" w:type="auto"/>
            <w:vAlign w:val="center"/>
          </w:tcPr>
          <w:p w:rsidR="004603A0" w:rsidRDefault="00701F44">
            <w:pPr>
              <w:jc w:val="center"/>
            </w:pPr>
            <w:r>
              <w:rPr>
                <w:color w:val="000000"/>
                <w:sz w:val="24"/>
              </w:rPr>
              <w:t>18</w:t>
            </w:r>
            <w:r>
              <w:rPr>
                <w:color w:val="000000"/>
                <w:sz w:val="24"/>
              </w:rPr>
              <w:t>兴业银行</w:t>
            </w:r>
            <w:r>
              <w:rPr>
                <w:color w:val="000000"/>
                <w:sz w:val="24"/>
              </w:rPr>
              <w:t>CD249</w:t>
            </w:r>
          </w:p>
        </w:tc>
        <w:tc>
          <w:tcPr>
            <w:tcW w:w="0" w:type="auto"/>
            <w:vAlign w:val="center"/>
          </w:tcPr>
          <w:p w:rsidR="004603A0" w:rsidRDefault="00701F44">
            <w:pPr>
              <w:jc w:val="right"/>
            </w:pPr>
            <w:r>
              <w:rPr>
                <w:color w:val="000000"/>
                <w:sz w:val="24"/>
              </w:rPr>
              <w:t>1,000,000</w:t>
            </w:r>
          </w:p>
        </w:tc>
        <w:tc>
          <w:tcPr>
            <w:tcW w:w="0" w:type="auto"/>
            <w:vAlign w:val="center"/>
          </w:tcPr>
          <w:p w:rsidR="004603A0" w:rsidRDefault="00701F44">
            <w:pPr>
              <w:jc w:val="right"/>
            </w:pPr>
            <w:r>
              <w:rPr>
                <w:color w:val="000000"/>
                <w:sz w:val="24"/>
              </w:rPr>
              <w:t>99,303,965.60</w:t>
            </w:r>
          </w:p>
        </w:tc>
        <w:tc>
          <w:tcPr>
            <w:tcW w:w="0" w:type="auto"/>
            <w:vAlign w:val="center"/>
          </w:tcPr>
          <w:p w:rsidR="004603A0" w:rsidRDefault="00701F44">
            <w:pPr>
              <w:jc w:val="right"/>
            </w:pPr>
            <w:r>
              <w:rPr>
                <w:color w:val="000000"/>
                <w:sz w:val="24"/>
              </w:rPr>
              <w:t>2.99</w:t>
            </w:r>
          </w:p>
        </w:tc>
      </w:tr>
      <w:tr w:rsidR="004603A0">
        <w:trPr>
          <w:jc w:val="center"/>
        </w:trPr>
        <w:tc>
          <w:tcPr>
            <w:tcW w:w="0" w:type="auto"/>
            <w:vAlign w:val="center"/>
          </w:tcPr>
          <w:p w:rsidR="004603A0" w:rsidRDefault="00701F44">
            <w:pPr>
              <w:jc w:val="center"/>
            </w:pPr>
            <w:r>
              <w:rPr>
                <w:color w:val="000000"/>
                <w:sz w:val="24"/>
              </w:rPr>
              <w:t>10</w:t>
            </w:r>
          </w:p>
        </w:tc>
        <w:tc>
          <w:tcPr>
            <w:tcW w:w="0" w:type="auto"/>
            <w:vAlign w:val="center"/>
          </w:tcPr>
          <w:p w:rsidR="004603A0" w:rsidRDefault="00701F44">
            <w:pPr>
              <w:jc w:val="center"/>
            </w:pPr>
            <w:r>
              <w:rPr>
                <w:color w:val="000000"/>
                <w:sz w:val="24"/>
              </w:rPr>
              <w:t>111898930</w:t>
            </w:r>
          </w:p>
        </w:tc>
        <w:tc>
          <w:tcPr>
            <w:tcW w:w="0" w:type="auto"/>
            <w:vAlign w:val="center"/>
          </w:tcPr>
          <w:p w:rsidR="004603A0" w:rsidRDefault="00701F44">
            <w:pPr>
              <w:jc w:val="center"/>
            </w:pPr>
            <w:r>
              <w:rPr>
                <w:color w:val="000000"/>
                <w:sz w:val="24"/>
              </w:rPr>
              <w:t>18</w:t>
            </w:r>
            <w:r>
              <w:rPr>
                <w:color w:val="000000"/>
                <w:sz w:val="24"/>
              </w:rPr>
              <w:t>北京农商银行</w:t>
            </w:r>
            <w:r>
              <w:rPr>
                <w:color w:val="000000"/>
                <w:sz w:val="24"/>
              </w:rPr>
              <w:t>CD046</w:t>
            </w:r>
          </w:p>
        </w:tc>
        <w:tc>
          <w:tcPr>
            <w:tcW w:w="0" w:type="auto"/>
            <w:vAlign w:val="center"/>
          </w:tcPr>
          <w:p w:rsidR="004603A0" w:rsidRDefault="00701F44">
            <w:pPr>
              <w:jc w:val="right"/>
            </w:pPr>
            <w:r>
              <w:rPr>
                <w:color w:val="000000"/>
                <w:sz w:val="24"/>
              </w:rPr>
              <w:t>1,000,000</w:t>
            </w:r>
          </w:p>
        </w:tc>
        <w:tc>
          <w:tcPr>
            <w:tcW w:w="0" w:type="auto"/>
            <w:vAlign w:val="center"/>
          </w:tcPr>
          <w:p w:rsidR="004603A0" w:rsidRDefault="00701F44">
            <w:pPr>
              <w:jc w:val="right"/>
            </w:pPr>
            <w:r>
              <w:rPr>
                <w:color w:val="000000"/>
                <w:sz w:val="24"/>
              </w:rPr>
              <w:t>99,121,151.08</w:t>
            </w:r>
          </w:p>
        </w:tc>
        <w:tc>
          <w:tcPr>
            <w:tcW w:w="0" w:type="auto"/>
            <w:vAlign w:val="center"/>
          </w:tcPr>
          <w:p w:rsidR="004603A0" w:rsidRDefault="00701F44">
            <w:pPr>
              <w:jc w:val="right"/>
            </w:pPr>
            <w:r>
              <w:rPr>
                <w:color w:val="000000"/>
                <w:sz w:val="24"/>
              </w:rPr>
              <w:t>2.99</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0.0825%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-0.0077%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0.0340%</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419"/>
        <w:gridCol w:w="1475"/>
        <w:gridCol w:w="1419"/>
        <w:gridCol w:w="1482"/>
        <w:gridCol w:w="1596"/>
        <w:gridCol w:w="1477"/>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4603A0">
        <w:trPr>
          <w:jc w:val="center"/>
        </w:trPr>
        <w:tc>
          <w:tcPr>
            <w:tcW w:w="0" w:type="auto"/>
            <w:vAlign w:val="center"/>
          </w:tcPr>
          <w:p w:rsidR="004603A0" w:rsidRDefault="00701F44">
            <w:pPr>
              <w:jc w:val="center"/>
            </w:pPr>
            <w:r>
              <w:rPr>
                <w:color w:val="000000"/>
                <w:sz w:val="24"/>
              </w:rPr>
              <w:t>1</w:t>
            </w:r>
          </w:p>
        </w:tc>
        <w:tc>
          <w:tcPr>
            <w:tcW w:w="0" w:type="auto"/>
            <w:vAlign w:val="center"/>
          </w:tcPr>
          <w:p w:rsidR="004603A0" w:rsidRDefault="00701F44">
            <w:pPr>
              <w:jc w:val="center"/>
            </w:pPr>
            <w:r>
              <w:rPr>
                <w:color w:val="000000"/>
                <w:sz w:val="24"/>
              </w:rPr>
              <w:t>146534</w:t>
            </w:r>
          </w:p>
        </w:tc>
        <w:tc>
          <w:tcPr>
            <w:tcW w:w="0" w:type="auto"/>
            <w:vAlign w:val="center"/>
          </w:tcPr>
          <w:p w:rsidR="004603A0" w:rsidRDefault="00701F44">
            <w:pPr>
              <w:jc w:val="center"/>
            </w:pPr>
            <w:r>
              <w:rPr>
                <w:color w:val="000000"/>
                <w:sz w:val="24"/>
              </w:rPr>
              <w:t>春申</w:t>
            </w:r>
            <w:r>
              <w:rPr>
                <w:color w:val="000000"/>
                <w:sz w:val="24"/>
              </w:rPr>
              <w:t>1</w:t>
            </w:r>
            <w:r>
              <w:rPr>
                <w:color w:val="000000"/>
                <w:sz w:val="24"/>
              </w:rPr>
              <w:t>优</w:t>
            </w:r>
          </w:p>
        </w:tc>
        <w:tc>
          <w:tcPr>
            <w:tcW w:w="0" w:type="auto"/>
            <w:vAlign w:val="center"/>
          </w:tcPr>
          <w:p w:rsidR="004603A0" w:rsidRDefault="00701F44">
            <w:pPr>
              <w:jc w:val="right"/>
            </w:pPr>
            <w:r>
              <w:rPr>
                <w:color w:val="000000"/>
                <w:sz w:val="24"/>
              </w:rPr>
              <w:t>500,000</w:t>
            </w:r>
          </w:p>
        </w:tc>
        <w:tc>
          <w:tcPr>
            <w:tcW w:w="0" w:type="auto"/>
            <w:vAlign w:val="center"/>
          </w:tcPr>
          <w:p w:rsidR="004603A0" w:rsidRDefault="00701F44">
            <w:pPr>
              <w:jc w:val="right"/>
            </w:pPr>
            <w:r>
              <w:rPr>
                <w:color w:val="000000"/>
                <w:sz w:val="24"/>
              </w:rPr>
              <w:t>50,000,000.00</w:t>
            </w:r>
          </w:p>
        </w:tc>
        <w:tc>
          <w:tcPr>
            <w:tcW w:w="0" w:type="auto"/>
            <w:vAlign w:val="center"/>
          </w:tcPr>
          <w:p w:rsidR="004603A0" w:rsidRDefault="00701F44">
            <w:pPr>
              <w:jc w:val="right"/>
            </w:pPr>
            <w:r>
              <w:rPr>
                <w:color w:val="000000"/>
                <w:sz w:val="24"/>
              </w:rPr>
              <w:t>1.51</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4,692,169.08</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4,784,512.81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195.04</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9,476,876.93</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457,461,377.96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3,339,018,542.69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1,411,203,721.74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13,367,207,564.62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1,382,276,586.12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13,876,845,216.10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486,388,513.58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2,829,380,891.21</w:t>
            </w:r>
          </w:p>
        </w:tc>
      </w:tr>
    </w:tbl>
    <w:p w:rsidR="004603A0" w:rsidRDefault="00701F4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4603A0" w:rsidRDefault="00701F44">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、如果本报告期间发生转换出、份额级别调整业务，则总赎回份额中包含该业务。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4603A0" w:rsidRDefault="00701F44">
      <w:pPr>
        <w:autoSpaceDE w:val="0"/>
        <w:autoSpaceDN w:val="0"/>
        <w:adjustRightInd w:val="0"/>
        <w:spacing w:before="29" w:line="288" w:lineRule="auto"/>
        <w:jc w:val="left"/>
        <w:rPr>
          <w:color w:val="000000"/>
          <w:sz w:val="24"/>
        </w:rPr>
      </w:pPr>
      <w:r>
        <w:rPr>
          <w:color w:val="000000"/>
          <w:sz w:val="24"/>
        </w:rPr>
        <w:t>本基金管理人本报告期内未进行本基金的申购、赎回、红利再投等；本基金管理人本报告期末持有本基金份额</w:t>
      </w:r>
      <w:r>
        <w:rPr>
          <w:color w:val="000000"/>
          <w:sz w:val="24"/>
        </w:rPr>
        <w:t>0.00</w:t>
      </w:r>
      <w:r>
        <w:rPr>
          <w:color w:val="000000"/>
          <w:sz w:val="24"/>
        </w:rPr>
        <w:t>份，占本基金期末总份额的</w:t>
      </w:r>
      <w:r>
        <w:rPr>
          <w:color w:val="000000"/>
          <w:sz w:val="24"/>
        </w:rPr>
        <w:t>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603A0">
        <w:tc>
          <w:tcPr>
            <w:tcW w:w="992" w:type="dxa"/>
            <w:vMerge w:val="restart"/>
          </w:tcPr>
          <w:p w:rsidR="004603A0" w:rsidRDefault="004603A0"/>
          <w:p w:rsidR="004603A0" w:rsidRDefault="00701F44">
            <w:r>
              <w:rPr>
                <w:rFonts w:ascii="宋体" w:hAnsi="宋体" w:hint="eastAsia"/>
                <w:bCs/>
                <w:color w:val="000000"/>
                <w:kern w:val="0"/>
                <w:szCs w:val="21"/>
              </w:rPr>
              <w:t>机构</w:t>
            </w:r>
          </w:p>
        </w:tc>
        <w:tc>
          <w:tcPr>
            <w:tcW w:w="991" w:type="dxa"/>
            <w:vAlign w:val="center"/>
          </w:tcPr>
          <w:p w:rsidR="004603A0" w:rsidRDefault="00701F44">
            <w:pPr>
              <w:jc w:val="center"/>
            </w:pPr>
            <w:r>
              <w:rPr>
                <w:rFonts w:ascii="宋体" w:hAnsi="宋体" w:hint="eastAsia"/>
                <w:color w:val="000000"/>
                <w:kern w:val="0"/>
                <w:szCs w:val="21"/>
              </w:rPr>
              <w:t>1</w:t>
            </w:r>
          </w:p>
        </w:tc>
        <w:tc>
          <w:tcPr>
            <w:tcW w:w="1843" w:type="dxa"/>
            <w:vAlign w:val="center"/>
          </w:tcPr>
          <w:p w:rsidR="004603A0" w:rsidRDefault="00701F44">
            <w:pPr>
              <w:jc w:val="center"/>
            </w:pPr>
            <w:r>
              <w:rPr>
                <w:rFonts w:ascii="宋体" w:hAnsi="宋体" w:hint="eastAsia"/>
                <w:color w:val="000000"/>
                <w:kern w:val="0"/>
                <w:szCs w:val="21"/>
              </w:rPr>
              <w:t>2018/4/1-2018/6/30</w:t>
            </w:r>
          </w:p>
        </w:tc>
        <w:tc>
          <w:tcPr>
            <w:tcW w:w="851" w:type="dxa"/>
            <w:vAlign w:val="center"/>
          </w:tcPr>
          <w:p w:rsidR="004603A0" w:rsidRDefault="00701F44">
            <w:pPr>
              <w:jc w:val="center"/>
            </w:pPr>
            <w:r>
              <w:rPr>
                <w:rFonts w:ascii="宋体" w:hAnsi="宋体" w:hint="eastAsia"/>
                <w:color w:val="000000"/>
                <w:kern w:val="0"/>
                <w:szCs w:val="21"/>
              </w:rPr>
              <w:t>1,027,750,747.99</w:t>
            </w:r>
          </w:p>
        </w:tc>
        <w:tc>
          <w:tcPr>
            <w:tcW w:w="850" w:type="dxa"/>
            <w:vAlign w:val="center"/>
          </w:tcPr>
          <w:p w:rsidR="004603A0" w:rsidRDefault="00701F44">
            <w:pPr>
              <w:jc w:val="center"/>
            </w:pPr>
            <w:r>
              <w:rPr>
                <w:rFonts w:ascii="宋体" w:hAnsi="宋体" w:hint="eastAsia"/>
                <w:color w:val="000000"/>
                <w:kern w:val="0"/>
                <w:szCs w:val="21"/>
              </w:rPr>
              <w:t>512,680,075.90</w:t>
            </w:r>
          </w:p>
        </w:tc>
        <w:tc>
          <w:tcPr>
            <w:tcW w:w="1134" w:type="dxa"/>
            <w:vAlign w:val="center"/>
          </w:tcPr>
          <w:p w:rsidR="004603A0" w:rsidRDefault="00701F44">
            <w:pPr>
              <w:jc w:val="center"/>
            </w:pPr>
            <w:r>
              <w:rPr>
                <w:rFonts w:ascii="宋体" w:hAnsi="宋体" w:hint="eastAsia"/>
                <w:color w:val="000000"/>
                <w:kern w:val="0"/>
                <w:szCs w:val="21"/>
              </w:rPr>
              <w:t>700,000,000.00</w:t>
            </w:r>
          </w:p>
        </w:tc>
        <w:tc>
          <w:tcPr>
            <w:tcW w:w="1419" w:type="dxa"/>
            <w:vAlign w:val="center"/>
          </w:tcPr>
          <w:p w:rsidR="004603A0" w:rsidRDefault="00701F44">
            <w:pPr>
              <w:jc w:val="center"/>
            </w:pPr>
            <w:r>
              <w:rPr>
                <w:rFonts w:ascii="宋体" w:hAnsi="宋体" w:hint="eastAsia"/>
                <w:color w:val="000000"/>
                <w:kern w:val="0"/>
                <w:szCs w:val="21"/>
              </w:rPr>
              <w:t>840,430,823.89</w:t>
            </w:r>
          </w:p>
        </w:tc>
        <w:tc>
          <w:tcPr>
            <w:tcW w:w="1130" w:type="dxa"/>
            <w:vAlign w:val="center"/>
          </w:tcPr>
          <w:p w:rsidR="004603A0" w:rsidRDefault="00701F44">
            <w:pPr>
              <w:jc w:val="center"/>
            </w:pPr>
            <w:r>
              <w:rPr>
                <w:rFonts w:ascii="宋体" w:hAnsi="宋体" w:hint="eastAsia"/>
                <w:color w:val="000000"/>
                <w:kern w:val="0"/>
                <w:szCs w:val="21"/>
              </w:rPr>
              <w:t>25.35%</w:t>
            </w:r>
          </w:p>
        </w:tc>
      </w:tr>
      <w:tr w:rsidR="004603A0">
        <w:tc>
          <w:tcPr>
            <w:tcW w:w="992" w:type="dxa"/>
            <w:vMerge/>
          </w:tcPr>
          <w:p w:rsidR="004603A0" w:rsidRDefault="004603A0"/>
        </w:tc>
        <w:tc>
          <w:tcPr>
            <w:tcW w:w="991" w:type="dxa"/>
            <w:vAlign w:val="center"/>
          </w:tcPr>
          <w:p w:rsidR="004603A0" w:rsidRDefault="00701F44">
            <w:pPr>
              <w:jc w:val="center"/>
            </w:pPr>
            <w:r>
              <w:rPr>
                <w:rFonts w:ascii="宋体" w:hAnsi="宋体" w:hint="eastAsia"/>
                <w:color w:val="000000"/>
                <w:kern w:val="0"/>
                <w:szCs w:val="21"/>
              </w:rPr>
              <w:t>2</w:t>
            </w:r>
          </w:p>
        </w:tc>
        <w:tc>
          <w:tcPr>
            <w:tcW w:w="1843" w:type="dxa"/>
            <w:vAlign w:val="center"/>
          </w:tcPr>
          <w:p w:rsidR="004603A0" w:rsidRDefault="00701F44">
            <w:pPr>
              <w:jc w:val="center"/>
            </w:pPr>
            <w:r>
              <w:rPr>
                <w:rFonts w:ascii="宋体" w:hAnsi="宋体" w:hint="eastAsia"/>
                <w:color w:val="000000"/>
                <w:kern w:val="0"/>
                <w:szCs w:val="21"/>
              </w:rPr>
              <w:t>2018/4/1-2018/6/30</w:t>
            </w:r>
          </w:p>
        </w:tc>
        <w:tc>
          <w:tcPr>
            <w:tcW w:w="851" w:type="dxa"/>
            <w:vAlign w:val="center"/>
          </w:tcPr>
          <w:p w:rsidR="004603A0" w:rsidRDefault="00701F44">
            <w:pPr>
              <w:jc w:val="center"/>
            </w:pPr>
            <w:r>
              <w:rPr>
                <w:rFonts w:ascii="宋体" w:hAnsi="宋体" w:hint="eastAsia"/>
                <w:color w:val="000000"/>
                <w:kern w:val="0"/>
                <w:szCs w:val="21"/>
              </w:rPr>
              <w:t>807,246,443.96</w:t>
            </w:r>
          </w:p>
        </w:tc>
        <w:tc>
          <w:tcPr>
            <w:tcW w:w="850" w:type="dxa"/>
            <w:vAlign w:val="center"/>
          </w:tcPr>
          <w:p w:rsidR="004603A0" w:rsidRDefault="00701F44">
            <w:pPr>
              <w:jc w:val="center"/>
            </w:pPr>
            <w:r>
              <w:rPr>
                <w:rFonts w:ascii="宋体" w:hAnsi="宋体" w:hint="eastAsia"/>
                <w:color w:val="000000"/>
                <w:kern w:val="0"/>
                <w:szCs w:val="21"/>
              </w:rPr>
              <w:t>2,944,526.15</w:t>
            </w:r>
          </w:p>
        </w:tc>
        <w:tc>
          <w:tcPr>
            <w:tcW w:w="1134" w:type="dxa"/>
            <w:vAlign w:val="center"/>
          </w:tcPr>
          <w:p w:rsidR="004603A0" w:rsidRDefault="00701F44">
            <w:pPr>
              <w:jc w:val="center"/>
            </w:pPr>
            <w:r>
              <w:rPr>
                <w:rFonts w:ascii="宋体" w:hAnsi="宋体" w:hint="eastAsia"/>
                <w:color w:val="000000"/>
                <w:kern w:val="0"/>
                <w:szCs w:val="21"/>
              </w:rPr>
              <w:t>810,190,970.11</w:t>
            </w:r>
          </w:p>
        </w:tc>
        <w:tc>
          <w:tcPr>
            <w:tcW w:w="1419" w:type="dxa"/>
            <w:vAlign w:val="center"/>
          </w:tcPr>
          <w:p w:rsidR="004603A0" w:rsidRDefault="00701F44">
            <w:pPr>
              <w:jc w:val="center"/>
            </w:pPr>
            <w:r>
              <w:rPr>
                <w:rFonts w:ascii="宋体" w:hAnsi="宋体" w:hint="eastAsia"/>
                <w:color w:val="000000"/>
                <w:kern w:val="0"/>
                <w:szCs w:val="21"/>
              </w:rPr>
              <w:t>-</w:t>
            </w:r>
          </w:p>
        </w:tc>
        <w:tc>
          <w:tcPr>
            <w:tcW w:w="1130" w:type="dxa"/>
            <w:vAlign w:val="center"/>
          </w:tcPr>
          <w:p w:rsidR="004603A0" w:rsidRDefault="00701F44">
            <w:pPr>
              <w:jc w:val="center"/>
            </w:pPr>
            <w:r>
              <w:rPr>
                <w:rFonts w:ascii="宋体" w:hAnsi="宋体" w:hint="eastAsia"/>
                <w:color w:val="000000"/>
                <w:kern w:val="0"/>
                <w:szCs w:val="21"/>
              </w:rPr>
              <w:t>-</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4603A0" w:rsidRDefault="00701F44">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4603A0" w:rsidRDefault="00701F44">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4603A0" w:rsidRDefault="00701F44">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4603A0" w:rsidRDefault="00701F44">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4603A0" w:rsidRDefault="00701F44">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4603A0" w:rsidRDefault="00701F4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603A0" w:rsidRDefault="00701F4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4603A0" w:rsidRDefault="00701F4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FA5" w:rsidRDefault="003D1FA5">
      <w:r>
        <w:separator/>
      </w:r>
    </w:p>
  </w:endnote>
  <w:endnote w:type="continuationSeparator" w:id="0">
    <w:p w:rsidR="003D1FA5" w:rsidRDefault="003D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C90A94">
      <w:rPr>
        <w:noProof/>
        <w:kern w:val="0"/>
        <w:szCs w:val="21"/>
      </w:rPr>
      <w:t>10</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C90A94">
      <w:rPr>
        <w:noProof/>
        <w:kern w:val="0"/>
        <w:szCs w:val="21"/>
      </w:rPr>
      <w:t>15</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FA5" w:rsidRDefault="003D1FA5">
      <w:r>
        <w:separator/>
      </w:r>
    </w:p>
  </w:footnote>
  <w:footnote w:type="continuationSeparator" w:id="0">
    <w:p w:rsidR="003D1FA5" w:rsidRDefault="003D1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交银施罗德货币市场证券投资基金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1FA5"/>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03A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1F44"/>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C66E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0A94"/>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57BC"/>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3C3D"/>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D4864D60-8D11-4BF4-85D1-FB612897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1AF234-E9C0-450B-AC81-F2840838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15</Pages>
  <Words>1277</Words>
  <Characters>7285</Characters>
  <Application>Microsoft Office Word</Application>
  <DocSecurity>0</DocSecurity>
  <Lines>60</Lines>
  <Paragraphs>17</Paragraphs>
  <ScaleCrop>false</ScaleCrop>
  <Company>jysld</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318</cp:revision>
  <cp:lastPrinted>2009-01-22T10:11:00Z</cp:lastPrinted>
  <dcterms:created xsi:type="dcterms:W3CDTF">2012-11-21T05:49:00Z</dcterms:created>
  <dcterms:modified xsi:type="dcterms:W3CDTF">2018-07-17T03:22:00Z</dcterms:modified>
</cp:coreProperties>
</file>