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proofErr w:type="gramStart"/>
      <w:r w:rsidRPr="006A23FB">
        <w:rPr>
          <w:b/>
          <w:sz w:val="36"/>
          <w:szCs w:val="36"/>
        </w:rPr>
        <w:t>交银施罗</w:t>
      </w:r>
      <w:proofErr w:type="gramEnd"/>
      <w:r w:rsidRPr="006A23FB">
        <w:rPr>
          <w:b/>
          <w:sz w:val="36"/>
          <w:szCs w:val="36"/>
        </w:rPr>
        <w:t>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2</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6</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二〇一八年七月十八日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default" r:id="rId7"/>
          <w:footerReference w:type="default" r:id="rId8"/>
          <w:pgSz w:w="11926" w:h="15840"/>
          <w:pgMar w:top="1418" w:right="1440" w:bottom="851" w:left="1440" w:header="851" w:footer="992" w:gutter="0"/>
          <w:cols w:space="720"/>
          <w:noEndnote/>
          <w:titlePg/>
          <w:docGrid w:linePitch="286"/>
        </w:sectPr>
      </w:pPr>
    </w:p>
    <w:p w:rsidR="0076518F" w:rsidRPr="008640AE" w:rsidRDefault="0076518F" w:rsidP="00C6069A">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E2631F" w:rsidRDefault="00F667AF">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w:t>
      </w:r>
      <w:proofErr w:type="gramStart"/>
      <w:r>
        <w:rPr>
          <w:color w:val="000000"/>
          <w:sz w:val="24"/>
        </w:rPr>
        <w:t>作出</w:t>
      </w:r>
      <w:proofErr w:type="gramEnd"/>
      <w:r>
        <w:rPr>
          <w:color w:val="000000"/>
          <w:sz w:val="24"/>
        </w:rPr>
        <w:t>投资决策前应仔细阅读本基金的招募说明书。</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6</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63,199,718.59</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w:t>
            </w:r>
            <w:proofErr w:type="gramStart"/>
            <w:r w:rsidRPr="008640AE">
              <w:rPr>
                <w:color w:val="000000"/>
                <w:kern w:val="0"/>
                <w:sz w:val="24"/>
              </w:rPr>
              <w:t>中盘指数</w:t>
            </w:r>
            <w:proofErr w:type="gramEnd"/>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C0059" w:rsidRPr="008640AE" w:rsidTr="00FC0059">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4</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FC0059" w:rsidRPr="008640AE" w:rsidTr="00FC005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2,669,734.46</w:t>
            </w:r>
          </w:p>
        </w:tc>
      </w:tr>
      <w:tr w:rsidR="00FC0059" w:rsidRPr="008640AE" w:rsidTr="00FC005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5,632,335.32</w:t>
            </w:r>
          </w:p>
        </w:tc>
      </w:tr>
      <w:tr w:rsidR="00FC0059" w:rsidRPr="008640AE" w:rsidTr="00FC005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0.0879</w:t>
            </w:r>
          </w:p>
        </w:tc>
      </w:tr>
      <w:tr w:rsidR="00FC0059" w:rsidRPr="008640AE" w:rsidTr="00FC0059">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115,201,951.28</w:t>
            </w:r>
          </w:p>
        </w:tc>
      </w:tr>
      <w:tr w:rsidR="00FC0059" w:rsidRPr="008640AE" w:rsidTr="00FC0059">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1.823</w:t>
            </w:r>
          </w:p>
        </w:tc>
      </w:tr>
    </w:tbl>
    <w:p w:rsidR="00E2631F" w:rsidRDefault="00F667A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w:t>
      </w:r>
      <w:proofErr w:type="gramStart"/>
      <w:r w:rsidRPr="008640AE">
        <w:rPr>
          <w:b/>
          <w:color w:val="000000"/>
          <w:kern w:val="0"/>
          <w:sz w:val="24"/>
        </w:rPr>
        <w:t>期基金</w:t>
      </w:r>
      <w:proofErr w:type="gramEnd"/>
      <w:r w:rsidRPr="008640AE">
        <w:rPr>
          <w:b/>
          <w:color w:val="000000"/>
          <w:kern w:val="0"/>
          <w:sz w:val="24"/>
        </w:rPr>
        <w:t>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E2631F">
        <w:trPr>
          <w:jc w:val="center"/>
        </w:trPr>
        <w:tc>
          <w:tcPr>
            <w:tcW w:w="1701" w:type="dxa"/>
            <w:vAlign w:val="center"/>
          </w:tcPr>
          <w:p w:rsidR="00E2631F" w:rsidRDefault="00F667AF">
            <w:pPr>
              <w:jc w:val="left"/>
            </w:pPr>
            <w:r>
              <w:rPr>
                <w:color w:val="000000"/>
                <w:sz w:val="24"/>
              </w:rPr>
              <w:t>过去三个月</w:t>
            </w:r>
          </w:p>
        </w:tc>
        <w:tc>
          <w:tcPr>
            <w:tcW w:w="1194" w:type="dxa"/>
            <w:vAlign w:val="center"/>
          </w:tcPr>
          <w:p w:rsidR="00E2631F" w:rsidRDefault="00F667AF">
            <w:pPr>
              <w:jc w:val="right"/>
            </w:pPr>
            <w:r>
              <w:rPr>
                <w:color w:val="000000"/>
                <w:sz w:val="24"/>
              </w:rPr>
              <w:t>5.07%</w:t>
            </w:r>
          </w:p>
        </w:tc>
        <w:tc>
          <w:tcPr>
            <w:tcW w:w="1194" w:type="dxa"/>
            <w:vAlign w:val="center"/>
          </w:tcPr>
          <w:p w:rsidR="00E2631F" w:rsidRDefault="00F667AF">
            <w:pPr>
              <w:jc w:val="right"/>
            </w:pPr>
            <w:r>
              <w:rPr>
                <w:color w:val="000000"/>
                <w:sz w:val="24"/>
              </w:rPr>
              <w:t>0.63%</w:t>
            </w:r>
          </w:p>
        </w:tc>
        <w:tc>
          <w:tcPr>
            <w:tcW w:w="1194" w:type="dxa"/>
            <w:vAlign w:val="center"/>
          </w:tcPr>
          <w:p w:rsidR="00E2631F" w:rsidRDefault="00F667AF">
            <w:pPr>
              <w:jc w:val="right"/>
            </w:pPr>
            <w:r>
              <w:rPr>
                <w:color w:val="000000"/>
                <w:sz w:val="24"/>
              </w:rPr>
              <w:t>-1.23%</w:t>
            </w:r>
          </w:p>
        </w:tc>
        <w:tc>
          <w:tcPr>
            <w:tcW w:w="1343" w:type="dxa"/>
            <w:vAlign w:val="center"/>
          </w:tcPr>
          <w:p w:rsidR="00E2631F" w:rsidRDefault="00F667AF">
            <w:pPr>
              <w:jc w:val="right"/>
            </w:pPr>
            <w:r>
              <w:rPr>
                <w:color w:val="000000"/>
                <w:sz w:val="24"/>
              </w:rPr>
              <w:t>0.60%</w:t>
            </w:r>
          </w:p>
        </w:tc>
        <w:tc>
          <w:tcPr>
            <w:tcW w:w="1194" w:type="dxa"/>
            <w:vAlign w:val="center"/>
          </w:tcPr>
          <w:p w:rsidR="00E2631F" w:rsidRDefault="00F667AF">
            <w:pPr>
              <w:jc w:val="right"/>
            </w:pPr>
            <w:r>
              <w:rPr>
                <w:color w:val="000000"/>
                <w:sz w:val="24"/>
              </w:rPr>
              <w:t>6.30%</w:t>
            </w:r>
          </w:p>
        </w:tc>
        <w:tc>
          <w:tcPr>
            <w:tcW w:w="1048" w:type="dxa"/>
            <w:vAlign w:val="center"/>
          </w:tcPr>
          <w:p w:rsidR="00E2631F" w:rsidRDefault="00F667AF">
            <w:pPr>
              <w:jc w:val="right"/>
            </w:pPr>
            <w:r>
              <w:rPr>
                <w:color w:val="000000"/>
                <w:sz w:val="24"/>
              </w:rPr>
              <w:t>0.03%</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6</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proofErr w:type="gramStart"/>
            <w:r w:rsidRPr="008640AE">
              <w:rPr>
                <w:color w:val="000000"/>
                <w:kern w:val="0"/>
                <w:sz w:val="24"/>
              </w:rPr>
              <w:t>任本基金</w:t>
            </w:r>
            <w:proofErr w:type="gramEnd"/>
            <w:r w:rsidRPr="008640AE">
              <w:rPr>
                <w:color w:val="000000"/>
                <w:kern w:val="0"/>
                <w:sz w:val="24"/>
              </w:rPr>
              <w:t>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E2631F">
        <w:trPr>
          <w:jc w:val="center"/>
        </w:trPr>
        <w:tc>
          <w:tcPr>
            <w:tcW w:w="846" w:type="dxa"/>
            <w:vAlign w:val="center"/>
          </w:tcPr>
          <w:p w:rsidR="00E2631F" w:rsidRDefault="00F667AF">
            <w:pPr>
              <w:jc w:val="center"/>
            </w:pPr>
            <w:r>
              <w:rPr>
                <w:color w:val="000000"/>
                <w:sz w:val="24"/>
              </w:rPr>
              <w:t>陈俊华</w:t>
            </w:r>
          </w:p>
        </w:tc>
        <w:tc>
          <w:tcPr>
            <w:tcW w:w="845" w:type="dxa"/>
            <w:vAlign w:val="center"/>
          </w:tcPr>
          <w:p w:rsidR="00E2631F" w:rsidRDefault="00F667AF">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w:t>
            </w:r>
            <w:r>
              <w:rPr>
                <w:color w:val="000000"/>
                <w:sz w:val="24"/>
              </w:rPr>
              <w:lastRenderedPageBreak/>
              <w:t>源混合</w:t>
            </w:r>
            <w:r>
              <w:rPr>
                <w:color w:val="000000"/>
                <w:sz w:val="24"/>
              </w:rPr>
              <w:t>(QDII)</w:t>
            </w:r>
            <w:r>
              <w:rPr>
                <w:color w:val="000000"/>
                <w:sz w:val="24"/>
              </w:rPr>
              <w:t>、交</w:t>
            </w:r>
            <w:proofErr w:type="gramStart"/>
            <w:r>
              <w:rPr>
                <w:color w:val="000000"/>
                <w:sz w:val="24"/>
              </w:rPr>
              <w:t>银沪港深价值</w:t>
            </w:r>
            <w:proofErr w:type="gramEnd"/>
            <w:r>
              <w:rPr>
                <w:color w:val="000000"/>
                <w:sz w:val="24"/>
              </w:rPr>
              <w:t>精选混合的基金经理</w:t>
            </w:r>
          </w:p>
        </w:tc>
        <w:tc>
          <w:tcPr>
            <w:tcW w:w="1549" w:type="dxa"/>
            <w:vAlign w:val="center"/>
          </w:tcPr>
          <w:p w:rsidR="00E2631F" w:rsidRDefault="00F667AF">
            <w:pPr>
              <w:jc w:val="center"/>
            </w:pPr>
            <w:r>
              <w:rPr>
                <w:color w:val="000000"/>
                <w:sz w:val="24"/>
              </w:rPr>
              <w:lastRenderedPageBreak/>
              <w:t>2015-11-21</w:t>
            </w:r>
          </w:p>
        </w:tc>
        <w:tc>
          <w:tcPr>
            <w:tcW w:w="1548" w:type="dxa"/>
            <w:vAlign w:val="center"/>
          </w:tcPr>
          <w:p w:rsidR="00E2631F" w:rsidRDefault="00F667AF">
            <w:pPr>
              <w:jc w:val="center"/>
            </w:pPr>
            <w:r>
              <w:rPr>
                <w:color w:val="000000"/>
                <w:sz w:val="24"/>
              </w:rPr>
              <w:t>-</w:t>
            </w:r>
          </w:p>
        </w:tc>
        <w:tc>
          <w:tcPr>
            <w:tcW w:w="1407" w:type="dxa"/>
            <w:vAlign w:val="center"/>
          </w:tcPr>
          <w:p w:rsidR="00E2631F" w:rsidRDefault="00F667AF">
            <w:pPr>
              <w:jc w:val="center"/>
            </w:pPr>
            <w:r>
              <w:rPr>
                <w:color w:val="000000"/>
                <w:sz w:val="24"/>
              </w:rPr>
              <w:t>13</w:t>
            </w:r>
            <w:r>
              <w:rPr>
                <w:color w:val="000000"/>
                <w:sz w:val="24"/>
              </w:rPr>
              <w:t>年</w:t>
            </w:r>
          </w:p>
        </w:tc>
        <w:tc>
          <w:tcPr>
            <w:tcW w:w="2673" w:type="dxa"/>
            <w:vAlign w:val="center"/>
          </w:tcPr>
          <w:p w:rsidR="00E2631F" w:rsidRDefault="00F667AF">
            <w:pPr>
              <w:jc w:val="left"/>
            </w:pPr>
            <w:r>
              <w:rPr>
                <w:color w:val="000000"/>
                <w:sz w:val="24"/>
              </w:rPr>
              <w:t>陈俊华女士，中国国籍，上海交通大学金融学硕士。</w:t>
            </w:r>
            <w:proofErr w:type="gramStart"/>
            <w:r>
              <w:rPr>
                <w:color w:val="000000"/>
                <w:sz w:val="24"/>
              </w:rPr>
              <w:t>历任国</w:t>
            </w:r>
            <w:proofErr w:type="gramEnd"/>
            <w:r>
              <w:rPr>
                <w:color w:val="000000"/>
                <w:sz w:val="24"/>
              </w:rPr>
              <w:t>泰君安证券研究部研究员、中国国际金融有限公司研究部公用事业组负责人。</w:t>
            </w:r>
            <w:r>
              <w:rPr>
                <w:color w:val="000000"/>
                <w:sz w:val="24"/>
              </w:rPr>
              <w:t>2015</w:t>
            </w:r>
            <w:r>
              <w:rPr>
                <w:color w:val="000000"/>
                <w:sz w:val="24"/>
              </w:rPr>
              <w:t>年加入交银施罗德基金管理有限公司。</w:t>
            </w:r>
          </w:p>
        </w:tc>
      </w:tr>
      <w:tr w:rsidR="00E2631F">
        <w:trPr>
          <w:jc w:val="center"/>
        </w:trPr>
        <w:tc>
          <w:tcPr>
            <w:tcW w:w="846" w:type="dxa"/>
            <w:vAlign w:val="center"/>
          </w:tcPr>
          <w:p w:rsidR="00E2631F" w:rsidRDefault="00F667AF">
            <w:pPr>
              <w:jc w:val="center"/>
            </w:pPr>
            <w:r>
              <w:rPr>
                <w:color w:val="000000"/>
                <w:sz w:val="24"/>
              </w:rPr>
              <w:t>周中</w:t>
            </w:r>
          </w:p>
        </w:tc>
        <w:tc>
          <w:tcPr>
            <w:tcW w:w="845" w:type="dxa"/>
            <w:vAlign w:val="center"/>
          </w:tcPr>
          <w:p w:rsidR="00E2631F" w:rsidRDefault="00F667AF">
            <w:pPr>
              <w:jc w:val="center"/>
            </w:pPr>
            <w:r>
              <w:rPr>
                <w:color w:val="000000"/>
                <w:sz w:val="24"/>
              </w:rPr>
              <w:t>交银环球精选混合</w:t>
            </w:r>
            <w:r>
              <w:rPr>
                <w:color w:val="000000"/>
                <w:sz w:val="24"/>
              </w:rPr>
              <w:t>(QDII)</w:t>
            </w:r>
            <w:r>
              <w:rPr>
                <w:color w:val="000000"/>
                <w:sz w:val="24"/>
              </w:rPr>
              <w:t>、交</w:t>
            </w:r>
            <w:proofErr w:type="gramStart"/>
            <w:r>
              <w:rPr>
                <w:color w:val="000000"/>
                <w:sz w:val="24"/>
              </w:rPr>
              <w:t>银全球</w:t>
            </w:r>
            <w:proofErr w:type="gramEnd"/>
            <w:r>
              <w:rPr>
                <w:color w:val="000000"/>
                <w:sz w:val="24"/>
              </w:rPr>
              <w:t>资源混合</w:t>
            </w:r>
            <w:r>
              <w:rPr>
                <w:color w:val="000000"/>
                <w:sz w:val="24"/>
              </w:rPr>
              <w:t>(QDII)</w:t>
            </w:r>
            <w:r>
              <w:rPr>
                <w:color w:val="000000"/>
                <w:sz w:val="24"/>
              </w:rPr>
              <w:t>的基金经理</w:t>
            </w:r>
          </w:p>
        </w:tc>
        <w:tc>
          <w:tcPr>
            <w:tcW w:w="1549" w:type="dxa"/>
            <w:vAlign w:val="center"/>
          </w:tcPr>
          <w:p w:rsidR="00E2631F" w:rsidRDefault="00F667AF">
            <w:pPr>
              <w:jc w:val="center"/>
            </w:pPr>
            <w:r>
              <w:rPr>
                <w:color w:val="000000"/>
                <w:sz w:val="24"/>
              </w:rPr>
              <w:t>2015-12-12</w:t>
            </w:r>
          </w:p>
        </w:tc>
        <w:tc>
          <w:tcPr>
            <w:tcW w:w="1548" w:type="dxa"/>
            <w:vAlign w:val="center"/>
          </w:tcPr>
          <w:p w:rsidR="00E2631F" w:rsidRDefault="00F667AF">
            <w:pPr>
              <w:jc w:val="center"/>
            </w:pPr>
            <w:r>
              <w:rPr>
                <w:color w:val="000000"/>
                <w:sz w:val="24"/>
              </w:rPr>
              <w:t>-</w:t>
            </w:r>
          </w:p>
        </w:tc>
        <w:tc>
          <w:tcPr>
            <w:tcW w:w="1407" w:type="dxa"/>
            <w:vAlign w:val="center"/>
          </w:tcPr>
          <w:p w:rsidR="00E2631F" w:rsidRDefault="00F667AF">
            <w:pPr>
              <w:jc w:val="center"/>
            </w:pPr>
            <w:r>
              <w:rPr>
                <w:color w:val="000000"/>
                <w:sz w:val="24"/>
              </w:rPr>
              <w:t>9</w:t>
            </w:r>
            <w:r>
              <w:rPr>
                <w:color w:val="000000"/>
                <w:sz w:val="24"/>
              </w:rPr>
              <w:t>年</w:t>
            </w:r>
          </w:p>
        </w:tc>
        <w:tc>
          <w:tcPr>
            <w:tcW w:w="2673" w:type="dxa"/>
            <w:vAlign w:val="center"/>
          </w:tcPr>
          <w:p w:rsidR="00E2631F" w:rsidRDefault="00F667AF">
            <w:pPr>
              <w:jc w:val="left"/>
            </w:pPr>
            <w:r>
              <w:rPr>
                <w:color w:val="000000"/>
                <w:sz w:val="24"/>
              </w:rPr>
              <w:t>周中先生，中国国籍，复旦大学金融学硕士。历任野村证券亚太区股票研究部研究助理，中银国际证券研究部研究员、高级经理，瑞银证券研究</w:t>
            </w:r>
            <w:proofErr w:type="gramStart"/>
            <w:r>
              <w:rPr>
                <w:color w:val="000000"/>
                <w:sz w:val="24"/>
              </w:rPr>
              <w:t>部行业</w:t>
            </w:r>
            <w:proofErr w:type="gramEnd"/>
            <w:r>
              <w:rPr>
                <w:color w:val="000000"/>
                <w:sz w:val="24"/>
              </w:rPr>
              <w:t>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E2631F">
        <w:trPr>
          <w:jc w:val="center"/>
        </w:trPr>
        <w:tc>
          <w:tcPr>
            <w:tcW w:w="2070" w:type="dxa"/>
            <w:vAlign w:val="center"/>
          </w:tcPr>
          <w:p w:rsidR="00E2631F" w:rsidRDefault="00F667AF">
            <w:pPr>
              <w:jc w:val="center"/>
            </w:pPr>
            <w:r>
              <w:rPr>
                <w:color w:val="000000"/>
                <w:sz w:val="24"/>
              </w:rPr>
              <w:t>Simon Webber</w:t>
            </w:r>
          </w:p>
        </w:tc>
        <w:tc>
          <w:tcPr>
            <w:tcW w:w="2465" w:type="dxa"/>
            <w:vAlign w:val="center"/>
          </w:tcPr>
          <w:p w:rsidR="00E2631F" w:rsidRDefault="00F667AF">
            <w:pPr>
              <w:jc w:val="center"/>
            </w:pPr>
            <w:r>
              <w:rPr>
                <w:color w:val="000000"/>
                <w:sz w:val="24"/>
              </w:rPr>
              <w:t>施罗德集团多区域（全球及国际）股票投资主管、全球和国际股票基金经理、全球气候变化股票基金经理</w:t>
            </w:r>
          </w:p>
        </w:tc>
        <w:tc>
          <w:tcPr>
            <w:tcW w:w="2116" w:type="dxa"/>
            <w:vAlign w:val="center"/>
          </w:tcPr>
          <w:p w:rsidR="00E2631F" w:rsidRDefault="00F667AF">
            <w:pPr>
              <w:jc w:val="center"/>
            </w:pPr>
            <w:r>
              <w:rPr>
                <w:color w:val="000000"/>
                <w:sz w:val="24"/>
              </w:rPr>
              <w:t>19</w:t>
            </w:r>
            <w:r>
              <w:rPr>
                <w:color w:val="000000"/>
                <w:sz w:val="24"/>
              </w:rPr>
              <w:t>年</w:t>
            </w:r>
          </w:p>
        </w:tc>
        <w:tc>
          <w:tcPr>
            <w:tcW w:w="2217" w:type="dxa"/>
            <w:vAlign w:val="center"/>
          </w:tcPr>
          <w:p w:rsidR="00E2631F" w:rsidRDefault="00F667AF">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E2631F" w:rsidRDefault="00F667A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2631F" w:rsidRDefault="00F667A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E2631F" w:rsidRDefault="00F667A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E2631F" w:rsidRDefault="00F667AF">
      <w:pPr>
        <w:spacing w:before="29" w:line="288" w:lineRule="auto"/>
        <w:ind w:firstLineChars="200" w:firstLine="480"/>
        <w:rPr>
          <w:color w:val="000000"/>
          <w:sz w:val="24"/>
        </w:rPr>
      </w:pPr>
      <w:r>
        <w:rPr>
          <w:color w:val="000000"/>
          <w:sz w:val="24"/>
        </w:rPr>
        <w:t>2018</w:t>
      </w:r>
      <w:r>
        <w:rPr>
          <w:color w:val="000000"/>
          <w:sz w:val="24"/>
        </w:rPr>
        <w:t>年二季度，港股作为新兴市场受到了较大的压力。一方面，中美贸易摩擦因素频发、悬而未决，并逐步扩张到其他国家之间贸易纷争，与此同时，美国如期加息，这些都增加了新兴市场的不确定性，带动资金回流发达国家市场。另一方面，国内经济结构调整、去杠杆政策的推行，有利于经济的长期健康发展，但在短期内，带动提升投资者对于流动性的关注度，南下资金也多有减弱。这两方面因素带动港股市场交易量阶段性回落，股指下跌。</w:t>
      </w:r>
    </w:p>
    <w:p w:rsidR="00E2631F" w:rsidRDefault="00F667AF">
      <w:pPr>
        <w:spacing w:before="29" w:line="288" w:lineRule="auto"/>
        <w:ind w:firstLineChars="200" w:firstLine="480"/>
        <w:rPr>
          <w:color w:val="000000"/>
          <w:sz w:val="24"/>
        </w:rPr>
      </w:pPr>
      <w:r>
        <w:rPr>
          <w:color w:val="000000"/>
          <w:sz w:val="24"/>
        </w:rPr>
        <w:t>二季度，我们总体</w:t>
      </w:r>
      <w:r w:rsidR="00FC0059">
        <w:rPr>
          <w:rFonts w:hint="eastAsia"/>
          <w:color w:val="000000"/>
          <w:sz w:val="24"/>
        </w:rPr>
        <w:t>调整</w:t>
      </w:r>
      <w:r>
        <w:rPr>
          <w:color w:val="000000"/>
          <w:sz w:val="24"/>
        </w:rPr>
        <w:t>了</w:t>
      </w:r>
      <w:proofErr w:type="gramStart"/>
      <w:r>
        <w:rPr>
          <w:color w:val="000000"/>
          <w:sz w:val="24"/>
        </w:rPr>
        <w:t>仓位</w:t>
      </w:r>
      <w:proofErr w:type="gramEnd"/>
      <w:r>
        <w:rPr>
          <w:color w:val="000000"/>
          <w:sz w:val="24"/>
        </w:rPr>
        <w:t>。我们继续减少资源板块、汽车经销商板块配置，增</w:t>
      </w:r>
      <w:r>
        <w:rPr>
          <w:color w:val="000000"/>
          <w:sz w:val="24"/>
        </w:rPr>
        <w:lastRenderedPageBreak/>
        <w:t>加了医疗板块配置，总体持仓更趋防御。</w:t>
      </w:r>
    </w:p>
    <w:p w:rsidR="00B0116D" w:rsidRPr="008640AE" w:rsidRDefault="00B0116D" w:rsidP="005546C0">
      <w:pPr>
        <w:spacing w:before="29" w:line="288" w:lineRule="auto"/>
        <w:ind w:firstLineChars="200" w:firstLine="480"/>
        <w:rPr>
          <w:color w:val="000000"/>
          <w:sz w:val="24"/>
        </w:rPr>
      </w:pPr>
      <w:r w:rsidRPr="008640AE">
        <w:rPr>
          <w:color w:val="000000"/>
          <w:sz w:val="24"/>
        </w:rPr>
        <w:t>展望三季度及下半年，我们维持前期的判断，全球流动性收紧仍是首要需要考虑的大前提，加之美国市场已持续上涨多个季度，投资者的获利了结的需求在不断积聚。我们预计欧美市场的短期波动仍将加大。我们关注香港市场的结构性机会。作为新兴市场，香港市场受外围市场的影响较大，投资者避险情绪在上半年已经反映一部分，目前估值已回到历史较低水平。而在基本面方面，许多香港的上市公司业务在国内，受益于国内的消费升级和产业升级趋势，对于基本面稳健的标的，适当的市场波动有可能给我们提供好的买入时机。此外，在医疗和科技板块，</w:t>
      </w:r>
      <w:r w:rsidRPr="008640AE">
        <w:rPr>
          <w:color w:val="000000"/>
          <w:sz w:val="24"/>
        </w:rPr>
        <w:t>2018</w:t>
      </w:r>
      <w:r w:rsidRPr="008640AE">
        <w:rPr>
          <w:color w:val="000000"/>
          <w:sz w:val="24"/>
        </w:rPr>
        <w:t>年有多家细分行业龙头在香港上市，亦为我们增加了可选投资范围。我们将继续勤勉尽责地积极调研，自下而上挖掘相关标的，努力为投资人赚取稳健的回报。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2018</w:t>
      </w:r>
      <w:r w:rsidRPr="008640AE">
        <w:rPr>
          <w:color w:val="000000"/>
          <w:sz w:val="24"/>
        </w:rPr>
        <w:t>年</w:t>
      </w:r>
      <w:r w:rsidRPr="008640AE">
        <w:rPr>
          <w:color w:val="000000"/>
          <w:sz w:val="24"/>
        </w:rPr>
        <w:t>6</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1.823</w:t>
      </w:r>
      <w:r w:rsidRPr="008640AE">
        <w:rPr>
          <w:color w:val="000000"/>
          <w:sz w:val="24"/>
        </w:rPr>
        <w:t>元，本报告期份额净值增长率为</w:t>
      </w:r>
      <w:r w:rsidRPr="008640AE">
        <w:rPr>
          <w:color w:val="000000"/>
          <w:sz w:val="24"/>
        </w:rPr>
        <w:t>5.07%</w:t>
      </w:r>
      <w:r w:rsidRPr="008640AE">
        <w:rPr>
          <w:color w:val="000000"/>
          <w:sz w:val="24"/>
        </w:rPr>
        <w:t>，同期业绩比较基准增长率为</w:t>
      </w:r>
      <w:r w:rsidRPr="008640AE">
        <w:rPr>
          <w:color w:val="000000"/>
          <w:sz w:val="24"/>
        </w:rPr>
        <w:t>-1.23%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102,971,914.83</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88.73</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101,750,324.00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87.68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1,221,590.83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1.05</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w:t>
            </w:r>
            <w:proofErr w:type="gramStart"/>
            <w:r w:rsidRPr="008640AE">
              <w:rPr>
                <w:color w:val="000000"/>
                <w:sz w:val="24"/>
              </w:rPr>
              <w:t>品投资</w:t>
            </w:r>
            <w:proofErr w:type="gramEnd"/>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12,648,496.14</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10.90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428,235.63</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0.37</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116,048,646.60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2631F">
        <w:trPr>
          <w:jc w:val="center"/>
        </w:trPr>
        <w:tc>
          <w:tcPr>
            <w:tcW w:w="2484" w:type="dxa"/>
            <w:vAlign w:val="center"/>
          </w:tcPr>
          <w:p w:rsidR="00E2631F" w:rsidRDefault="00F667AF">
            <w:pPr>
              <w:jc w:val="left"/>
            </w:pPr>
            <w:r>
              <w:rPr>
                <w:color w:val="000000"/>
                <w:sz w:val="24"/>
              </w:rPr>
              <w:t>美国</w:t>
            </w:r>
          </w:p>
        </w:tc>
        <w:tc>
          <w:tcPr>
            <w:tcW w:w="3214" w:type="dxa"/>
            <w:vAlign w:val="center"/>
          </w:tcPr>
          <w:p w:rsidR="00E2631F" w:rsidRDefault="00F667AF">
            <w:pPr>
              <w:jc w:val="right"/>
            </w:pPr>
            <w:r>
              <w:rPr>
                <w:color w:val="000000"/>
                <w:sz w:val="24"/>
              </w:rPr>
              <w:t>55,748,357.32</w:t>
            </w:r>
          </w:p>
        </w:tc>
        <w:tc>
          <w:tcPr>
            <w:tcW w:w="3170" w:type="dxa"/>
            <w:vAlign w:val="center"/>
          </w:tcPr>
          <w:p w:rsidR="00E2631F" w:rsidRDefault="00F667AF">
            <w:pPr>
              <w:jc w:val="right"/>
            </w:pPr>
            <w:r>
              <w:rPr>
                <w:color w:val="000000"/>
                <w:sz w:val="24"/>
              </w:rPr>
              <w:t>48.39</w:t>
            </w:r>
          </w:p>
        </w:tc>
      </w:tr>
      <w:tr w:rsidR="00E2631F">
        <w:trPr>
          <w:jc w:val="center"/>
        </w:trPr>
        <w:tc>
          <w:tcPr>
            <w:tcW w:w="2484" w:type="dxa"/>
            <w:vAlign w:val="center"/>
          </w:tcPr>
          <w:p w:rsidR="00E2631F" w:rsidRDefault="00F667AF">
            <w:pPr>
              <w:jc w:val="left"/>
            </w:pPr>
            <w:r>
              <w:rPr>
                <w:color w:val="000000"/>
                <w:sz w:val="24"/>
              </w:rPr>
              <w:t>香港</w:t>
            </w:r>
          </w:p>
        </w:tc>
        <w:tc>
          <w:tcPr>
            <w:tcW w:w="3214" w:type="dxa"/>
            <w:vAlign w:val="center"/>
          </w:tcPr>
          <w:p w:rsidR="00E2631F" w:rsidRDefault="00F667AF">
            <w:pPr>
              <w:jc w:val="right"/>
            </w:pPr>
            <w:r>
              <w:rPr>
                <w:color w:val="000000"/>
                <w:sz w:val="24"/>
              </w:rPr>
              <w:t>20,037,631.26</w:t>
            </w:r>
          </w:p>
        </w:tc>
        <w:tc>
          <w:tcPr>
            <w:tcW w:w="3170" w:type="dxa"/>
            <w:vAlign w:val="center"/>
          </w:tcPr>
          <w:p w:rsidR="00E2631F" w:rsidRDefault="00F667AF">
            <w:pPr>
              <w:jc w:val="right"/>
            </w:pPr>
            <w:r>
              <w:rPr>
                <w:color w:val="000000"/>
                <w:sz w:val="24"/>
              </w:rPr>
              <w:t>17.39</w:t>
            </w:r>
          </w:p>
        </w:tc>
      </w:tr>
      <w:tr w:rsidR="00E2631F">
        <w:trPr>
          <w:jc w:val="center"/>
        </w:trPr>
        <w:tc>
          <w:tcPr>
            <w:tcW w:w="2484" w:type="dxa"/>
            <w:vAlign w:val="center"/>
          </w:tcPr>
          <w:p w:rsidR="00E2631F" w:rsidRDefault="00F667AF">
            <w:pPr>
              <w:jc w:val="left"/>
            </w:pPr>
            <w:r>
              <w:rPr>
                <w:color w:val="000000"/>
                <w:sz w:val="24"/>
              </w:rPr>
              <w:t>法国</w:t>
            </w:r>
          </w:p>
        </w:tc>
        <w:tc>
          <w:tcPr>
            <w:tcW w:w="3214" w:type="dxa"/>
            <w:vAlign w:val="center"/>
          </w:tcPr>
          <w:p w:rsidR="00E2631F" w:rsidRDefault="00F667AF">
            <w:pPr>
              <w:jc w:val="right"/>
            </w:pPr>
            <w:r>
              <w:rPr>
                <w:color w:val="000000"/>
                <w:sz w:val="24"/>
              </w:rPr>
              <w:t>6,212,058.51</w:t>
            </w:r>
          </w:p>
        </w:tc>
        <w:tc>
          <w:tcPr>
            <w:tcW w:w="3170" w:type="dxa"/>
            <w:vAlign w:val="center"/>
          </w:tcPr>
          <w:p w:rsidR="00E2631F" w:rsidRDefault="00F667AF">
            <w:pPr>
              <w:jc w:val="right"/>
            </w:pPr>
            <w:r>
              <w:rPr>
                <w:color w:val="000000"/>
                <w:sz w:val="24"/>
              </w:rPr>
              <w:t>5.39</w:t>
            </w:r>
          </w:p>
        </w:tc>
      </w:tr>
      <w:tr w:rsidR="00E2631F">
        <w:trPr>
          <w:jc w:val="center"/>
        </w:trPr>
        <w:tc>
          <w:tcPr>
            <w:tcW w:w="2484" w:type="dxa"/>
            <w:vAlign w:val="center"/>
          </w:tcPr>
          <w:p w:rsidR="00E2631F" w:rsidRDefault="00F667AF">
            <w:pPr>
              <w:jc w:val="left"/>
            </w:pPr>
            <w:r>
              <w:rPr>
                <w:color w:val="000000"/>
                <w:sz w:val="24"/>
              </w:rPr>
              <w:t>日本</w:t>
            </w:r>
          </w:p>
        </w:tc>
        <w:tc>
          <w:tcPr>
            <w:tcW w:w="3214" w:type="dxa"/>
            <w:vAlign w:val="center"/>
          </w:tcPr>
          <w:p w:rsidR="00E2631F" w:rsidRDefault="00F667AF">
            <w:pPr>
              <w:jc w:val="right"/>
            </w:pPr>
            <w:r>
              <w:rPr>
                <w:color w:val="000000"/>
                <w:sz w:val="24"/>
              </w:rPr>
              <w:t>5,311,002.61</w:t>
            </w:r>
          </w:p>
        </w:tc>
        <w:tc>
          <w:tcPr>
            <w:tcW w:w="3170" w:type="dxa"/>
            <w:vAlign w:val="center"/>
          </w:tcPr>
          <w:p w:rsidR="00E2631F" w:rsidRDefault="00F667AF">
            <w:pPr>
              <w:jc w:val="right"/>
            </w:pPr>
            <w:r>
              <w:rPr>
                <w:color w:val="000000"/>
                <w:sz w:val="24"/>
              </w:rPr>
              <w:t>4.61</w:t>
            </w:r>
          </w:p>
        </w:tc>
      </w:tr>
      <w:tr w:rsidR="00E2631F">
        <w:trPr>
          <w:jc w:val="center"/>
        </w:trPr>
        <w:tc>
          <w:tcPr>
            <w:tcW w:w="2484" w:type="dxa"/>
            <w:vAlign w:val="center"/>
          </w:tcPr>
          <w:p w:rsidR="00E2631F" w:rsidRDefault="00F667AF">
            <w:pPr>
              <w:jc w:val="left"/>
            </w:pPr>
            <w:r>
              <w:rPr>
                <w:color w:val="000000"/>
                <w:sz w:val="24"/>
              </w:rPr>
              <w:t>英国</w:t>
            </w:r>
          </w:p>
        </w:tc>
        <w:tc>
          <w:tcPr>
            <w:tcW w:w="3214" w:type="dxa"/>
            <w:vAlign w:val="center"/>
          </w:tcPr>
          <w:p w:rsidR="00E2631F" w:rsidRDefault="00F667AF">
            <w:pPr>
              <w:jc w:val="right"/>
            </w:pPr>
            <w:r>
              <w:rPr>
                <w:color w:val="000000"/>
                <w:sz w:val="24"/>
              </w:rPr>
              <w:t>4,049,461.05</w:t>
            </w:r>
          </w:p>
        </w:tc>
        <w:tc>
          <w:tcPr>
            <w:tcW w:w="3170" w:type="dxa"/>
            <w:vAlign w:val="center"/>
          </w:tcPr>
          <w:p w:rsidR="00E2631F" w:rsidRDefault="00F667AF">
            <w:pPr>
              <w:jc w:val="right"/>
            </w:pPr>
            <w:r>
              <w:rPr>
                <w:color w:val="000000"/>
                <w:sz w:val="24"/>
              </w:rPr>
              <w:t>3.52</w:t>
            </w:r>
          </w:p>
        </w:tc>
      </w:tr>
      <w:tr w:rsidR="00E2631F">
        <w:trPr>
          <w:jc w:val="center"/>
        </w:trPr>
        <w:tc>
          <w:tcPr>
            <w:tcW w:w="2484" w:type="dxa"/>
            <w:vAlign w:val="center"/>
          </w:tcPr>
          <w:p w:rsidR="00E2631F" w:rsidRDefault="00F667AF">
            <w:pPr>
              <w:jc w:val="left"/>
            </w:pPr>
            <w:r>
              <w:rPr>
                <w:color w:val="000000"/>
                <w:sz w:val="24"/>
              </w:rPr>
              <w:t>加拿大</w:t>
            </w:r>
          </w:p>
        </w:tc>
        <w:tc>
          <w:tcPr>
            <w:tcW w:w="3214" w:type="dxa"/>
            <w:vAlign w:val="center"/>
          </w:tcPr>
          <w:p w:rsidR="00E2631F" w:rsidRDefault="00F667AF">
            <w:pPr>
              <w:jc w:val="right"/>
            </w:pPr>
            <w:r>
              <w:rPr>
                <w:color w:val="000000"/>
                <w:sz w:val="24"/>
              </w:rPr>
              <w:t>3,550,934.96</w:t>
            </w:r>
          </w:p>
        </w:tc>
        <w:tc>
          <w:tcPr>
            <w:tcW w:w="3170" w:type="dxa"/>
            <w:vAlign w:val="center"/>
          </w:tcPr>
          <w:p w:rsidR="00E2631F" w:rsidRDefault="00F667AF">
            <w:pPr>
              <w:jc w:val="right"/>
            </w:pPr>
            <w:r>
              <w:rPr>
                <w:color w:val="000000"/>
                <w:sz w:val="24"/>
              </w:rPr>
              <w:t>3.08</w:t>
            </w:r>
          </w:p>
        </w:tc>
      </w:tr>
      <w:tr w:rsidR="00E2631F">
        <w:trPr>
          <w:jc w:val="center"/>
        </w:trPr>
        <w:tc>
          <w:tcPr>
            <w:tcW w:w="2484" w:type="dxa"/>
            <w:vAlign w:val="center"/>
          </w:tcPr>
          <w:p w:rsidR="00E2631F" w:rsidRDefault="00F667AF">
            <w:pPr>
              <w:jc w:val="left"/>
            </w:pPr>
            <w:r>
              <w:rPr>
                <w:color w:val="000000"/>
                <w:sz w:val="24"/>
              </w:rPr>
              <w:t>德国</w:t>
            </w:r>
          </w:p>
        </w:tc>
        <w:tc>
          <w:tcPr>
            <w:tcW w:w="3214" w:type="dxa"/>
            <w:vAlign w:val="center"/>
          </w:tcPr>
          <w:p w:rsidR="00E2631F" w:rsidRDefault="00F667AF">
            <w:pPr>
              <w:jc w:val="right"/>
            </w:pPr>
            <w:r>
              <w:rPr>
                <w:color w:val="000000"/>
                <w:sz w:val="24"/>
              </w:rPr>
              <w:t>2,490,210.20</w:t>
            </w:r>
          </w:p>
        </w:tc>
        <w:tc>
          <w:tcPr>
            <w:tcW w:w="3170" w:type="dxa"/>
            <w:vAlign w:val="center"/>
          </w:tcPr>
          <w:p w:rsidR="00E2631F" w:rsidRDefault="00F667AF">
            <w:pPr>
              <w:jc w:val="right"/>
            </w:pPr>
            <w:r>
              <w:rPr>
                <w:color w:val="000000"/>
                <w:sz w:val="24"/>
              </w:rPr>
              <w:t>2.16</w:t>
            </w:r>
          </w:p>
        </w:tc>
      </w:tr>
      <w:tr w:rsidR="00E2631F">
        <w:trPr>
          <w:jc w:val="center"/>
        </w:trPr>
        <w:tc>
          <w:tcPr>
            <w:tcW w:w="2484" w:type="dxa"/>
            <w:vAlign w:val="center"/>
          </w:tcPr>
          <w:p w:rsidR="00E2631F" w:rsidRDefault="00F667AF">
            <w:pPr>
              <w:jc w:val="left"/>
            </w:pPr>
            <w:r>
              <w:rPr>
                <w:color w:val="000000"/>
                <w:sz w:val="24"/>
              </w:rPr>
              <w:t>荷兰</w:t>
            </w:r>
          </w:p>
        </w:tc>
        <w:tc>
          <w:tcPr>
            <w:tcW w:w="3214" w:type="dxa"/>
            <w:vAlign w:val="center"/>
          </w:tcPr>
          <w:p w:rsidR="00E2631F" w:rsidRDefault="00F667AF">
            <w:pPr>
              <w:jc w:val="right"/>
            </w:pPr>
            <w:r>
              <w:rPr>
                <w:color w:val="000000"/>
                <w:sz w:val="24"/>
              </w:rPr>
              <w:t>2,188,113.49</w:t>
            </w:r>
          </w:p>
        </w:tc>
        <w:tc>
          <w:tcPr>
            <w:tcW w:w="3170" w:type="dxa"/>
            <w:vAlign w:val="center"/>
          </w:tcPr>
          <w:p w:rsidR="00E2631F" w:rsidRDefault="00F667AF">
            <w:pPr>
              <w:jc w:val="right"/>
            </w:pPr>
            <w:r>
              <w:rPr>
                <w:color w:val="000000"/>
                <w:sz w:val="24"/>
              </w:rPr>
              <w:t>1.90</w:t>
            </w:r>
          </w:p>
        </w:tc>
      </w:tr>
      <w:tr w:rsidR="00E2631F">
        <w:trPr>
          <w:jc w:val="center"/>
        </w:trPr>
        <w:tc>
          <w:tcPr>
            <w:tcW w:w="2484" w:type="dxa"/>
            <w:vAlign w:val="center"/>
          </w:tcPr>
          <w:p w:rsidR="00E2631F" w:rsidRDefault="00F667AF">
            <w:pPr>
              <w:jc w:val="left"/>
            </w:pPr>
            <w:r>
              <w:rPr>
                <w:color w:val="000000"/>
                <w:sz w:val="24"/>
              </w:rPr>
              <w:t>瑞士</w:t>
            </w:r>
          </w:p>
        </w:tc>
        <w:tc>
          <w:tcPr>
            <w:tcW w:w="3214" w:type="dxa"/>
            <w:vAlign w:val="center"/>
          </w:tcPr>
          <w:p w:rsidR="00E2631F" w:rsidRDefault="00F667AF">
            <w:pPr>
              <w:jc w:val="right"/>
            </w:pPr>
            <w:r>
              <w:rPr>
                <w:color w:val="000000"/>
                <w:sz w:val="24"/>
              </w:rPr>
              <w:t>1,072,257.35</w:t>
            </w:r>
          </w:p>
        </w:tc>
        <w:tc>
          <w:tcPr>
            <w:tcW w:w="3170" w:type="dxa"/>
            <w:vAlign w:val="center"/>
          </w:tcPr>
          <w:p w:rsidR="00E2631F" w:rsidRDefault="00F667AF">
            <w:pPr>
              <w:jc w:val="right"/>
            </w:pPr>
            <w:r>
              <w:rPr>
                <w:color w:val="000000"/>
                <w:sz w:val="24"/>
              </w:rPr>
              <w:t>0.93</w:t>
            </w:r>
          </w:p>
        </w:tc>
      </w:tr>
      <w:tr w:rsidR="00E2631F">
        <w:trPr>
          <w:jc w:val="center"/>
        </w:trPr>
        <w:tc>
          <w:tcPr>
            <w:tcW w:w="2484" w:type="dxa"/>
            <w:vAlign w:val="center"/>
          </w:tcPr>
          <w:p w:rsidR="00E2631F" w:rsidRDefault="00F667AF">
            <w:pPr>
              <w:jc w:val="left"/>
            </w:pPr>
            <w:r>
              <w:rPr>
                <w:color w:val="000000"/>
                <w:sz w:val="24"/>
              </w:rPr>
              <w:t>澳大利亚</w:t>
            </w:r>
          </w:p>
        </w:tc>
        <w:tc>
          <w:tcPr>
            <w:tcW w:w="3214" w:type="dxa"/>
            <w:vAlign w:val="center"/>
          </w:tcPr>
          <w:p w:rsidR="00E2631F" w:rsidRDefault="00F667AF">
            <w:pPr>
              <w:jc w:val="right"/>
            </w:pPr>
            <w:r>
              <w:rPr>
                <w:color w:val="000000"/>
                <w:sz w:val="24"/>
              </w:rPr>
              <w:t>878,879.39</w:t>
            </w:r>
          </w:p>
        </w:tc>
        <w:tc>
          <w:tcPr>
            <w:tcW w:w="3170" w:type="dxa"/>
            <w:vAlign w:val="center"/>
          </w:tcPr>
          <w:p w:rsidR="00E2631F" w:rsidRDefault="00F667AF">
            <w:pPr>
              <w:jc w:val="right"/>
            </w:pPr>
            <w:r>
              <w:rPr>
                <w:color w:val="000000"/>
                <w:sz w:val="24"/>
              </w:rPr>
              <w:t>0.76</w:t>
            </w:r>
          </w:p>
        </w:tc>
      </w:tr>
      <w:tr w:rsidR="00E2631F">
        <w:trPr>
          <w:jc w:val="center"/>
        </w:trPr>
        <w:tc>
          <w:tcPr>
            <w:tcW w:w="2484" w:type="dxa"/>
            <w:vAlign w:val="center"/>
          </w:tcPr>
          <w:p w:rsidR="00E2631F" w:rsidRDefault="00F667AF">
            <w:pPr>
              <w:jc w:val="left"/>
            </w:pPr>
            <w:r>
              <w:rPr>
                <w:color w:val="000000"/>
                <w:sz w:val="24"/>
              </w:rPr>
              <w:t>巴西</w:t>
            </w:r>
          </w:p>
        </w:tc>
        <w:tc>
          <w:tcPr>
            <w:tcW w:w="3214" w:type="dxa"/>
            <w:vAlign w:val="center"/>
          </w:tcPr>
          <w:p w:rsidR="00E2631F" w:rsidRDefault="00F667AF">
            <w:pPr>
              <w:jc w:val="right"/>
            </w:pPr>
            <w:r>
              <w:rPr>
                <w:color w:val="000000"/>
                <w:sz w:val="24"/>
              </w:rPr>
              <w:t>738,806.73</w:t>
            </w:r>
          </w:p>
        </w:tc>
        <w:tc>
          <w:tcPr>
            <w:tcW w:w="3170" w:type="dxa"/>
            <w:vAlign w:val="center"/>
          </w:tcPr>
          <w:p w:rsidR="00E2631F" w:rsidRDefault="00F667AF">
            <w:pPr>
              <w:jc w:val="right"/>
            </w:pPr>
            <w:r>
              <w:rPr>
                <w:color w:val="000000"/>
                <w:sz w:val="24"/>
              </w:rPr>
              <w:t>0.64</w:t>
            </w:r>
          </w:p>
        </w:tc>
      </w:tr>
      <w:tr w:rsidR="00E2631F">
        <w:trPr>
          <w:jc w:val="center"/>
        </w:trPr>
        <w:tc>
          <w:tcPr>
            <w:tcW w:w="2484" w:type="dxa"/>
            <w:vAlign w:val="center"/>
          </w:tcPr>
          <w:p w:rsidR="00E2631F" w:rsidRDefault="00F667AF">
            <w:pPr>
              <w:jc w:val="left"/>
            </w:pPr>
            <w:r>
              <w:rPr>
                <w:color w:val="000000"/>
                <w:sz w:val="24"/>
              </w:rPr>
              <w:t>意大利</w:t>
            </w:r>
          </w:p>
        </w:tc>
        <w:tc>
          <w:tcPr>
            <w:tcW w:w="3214" w:type="dxa"/>
            <w:vAlign w:val="center"/>
          </w:tcPr>
          <w:p w:rsidR="00E2631F" w:rsidRDefault="00F667AF">
            <w:pPr>
              <w:jc w:val="right"/>
            </w:pPr>
            <w:r>
              <w:rPr>
                <w:color w:val="000000"/>
                <w:sz w:val="24"/>
              </w:rPr>
              <w:t>694,201.96</w:t>
            </w:r>
          </w:p>
        </w:tc>
        <w:tc>
          <w:tcPr>
            <w:tcW w:w="3170" w:type="dxa"/>
            <w:vAlign w:val="center"/>
          </w:tcPr>
          <w:p w:rsidR="00E2631F" w:rsidRDefault="00F667AF">
            <w:pPr>
              <w:jc w:val="right"/>
            </w:pPr>
            <w:r>
              <w:rPr>
                <w:color w:val="000000"/>
                <w:sz w:val="24"/>
              </w:rPr>
              <w:t>0.60</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102,971,914.83</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89.38</w:t>
            </w:r>
          </w:p>
        </w:tc>
      </w:tr>
    </w:tbl>
    <w:p w:rsidR="00E2631F" w:rsidRDefault="00F667A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E2631F">
        <w:trPr>
          <w:jc w:val="center"/>
        </w:trPr>
        <w:tc>
          <w:tcPr>
            <w:tcW w:w="2904" w:type="dxa"/>
            <w:vAlign w:val="center"/>
          </w:tcPr>
          <w:p w:rsidR="00E2631F" w:rsidRDefault="00F667AF">
            <w:pPr>
              <w:jc w:val="left"/>
            </w:pPr>
            <w:r>
              <w:rPr>
                <w:color w:val="000000"/>
                <w:sz w:val="24"/>
              </w:rPr>
              <w:t>信息技术</w:t>
            </w:r>
          </w:p>
        </w:tc>
        <w:tc>
          <w:tcPr>
            <w:tcW w:w="2657" w:type="dxa"/>
            <w:vAlign w:val="center"/>
          </w:tcPr>
          <w:p w:rsidR="00E2631F" w:rsidRDefault="00F667AF">
            <w:pPr>
              <w:jc w:val="right"/>
            </w:pPr>
            <w:r>
              <w:rPr>
                <w:color w:val="000000"/>
                <w:sz w:val="24"/>
              </w:rPr>
              <w:t>23,555,257.29</w:t>
            </w:r>
          </w:p>
        </w:tc>
        <w:tc>
          <w:tcPr>
            <w:tcW w:w="3307" w:type="dxa"/>
            <w:vAlign w:val="center"/>
          </w:tcPr>
          <w:p w:rsidR="00E2631F" w:rsidRDefault="00F667AF">
            <w:pPr>
              <w:jc w:val="right"/>
            </w:pPr>
            <w:r>
              <w:rPr>
                <w:color w:val="000000"/>
                <w:sz w:val="24"/>
              </w:rPr>
              <w:t>20.45</w:t>
            </w:r>
          </w:p>
        </w:tc>
      </w:tr>
      <w:tr w:rsidR="00E2631F">
        <w:trPr>
          <w:jc w:val="center"/>
        </w:trPr>
        <w:tc>
          <w:tcPr>
            <w:tcW w:w="2904" w:type="dxa"/>
            <w:vAlign w:val="center"/>
          </w:tcPr>
          <w:p w:rsidR="00E2631F" w:rsidRDefault="00F667AF">
            <w:pPr>
              <w:jc w:val="left"/>
            </w:pPr>
            <w:r>
              <w:rPr>
                <w:color w:val="000000"/>
                <w:sz w:val="24"/>
              </w:rPr>
              <w:lastRenderedPageBreak/>
              <w:t>非必需消费品</w:t>
            </w:r>
          </w:p>
        </w:tc>
        <w:tc>
          <w:tcPr>
            <w:tcW w:w="2657" w:type="dxa"/>
            <w:vAlign w:val="center"/>
          </w:tcPr>
          <w:p w:rsidR="00E2631F" w:rsidRDefault="00F667AF">
            <w:pPr>
              <w:jc w:val="right"/>
            </w:pPr>
            <w:r>
              <w:rPr>
                <w:color w:val="000000"/>
                <w:sz w:val="24"/>
              </w:rPr>
              <w:t>16,034,415.80</w:t>
            </w:r>
          </w:p>
        </w:tc>
        <w:tc>
          <w:tcPr>
            <w:tcW w:w="3307" w:type="dxa"/>
            <w:vAlign w:val="center"/>
          </w:tcPr>
          <w:p w:rsidR="00E2631F" w:rsidRDefault="00F667AF">
            <w:pPr>
              <w:jc w:val="right"/>
            </w:pPr>
            <w:r>
              <w:rPr>
                <w:color w:val="000000"/>
                <w:sz w:val="24"/>
              </w:rPr>
              <w:t>13.92</w:t>
            </w:r>
          </w:p>
        </w:tc>
      </w:tr>
      <w:tr w:rsidR="00E2631F">
        <w:trPr>
          <w:jc w:val="center"/>
        </w:trPr>
        <w:tc>
          <w:tcPr>
            <w:tcW w:w="2904" w:type="dxa"/>
            <w:vAlign w:val="center"/>
          </w:tcPr>
          <w:p w:rsidR="00E2631F" w:rsidRDefault="00F667AF">
            <w:pPr>
              <w:jc w:val="left"/>
            </w:pPr>
            <w:r>
              <w:rPr>
                <w:color w:val="000000"/>
                <w:sz w:val="24"/>
              </w:rPr>
              <w:t>保健</w:t>
            </w:r>
          </w:p>
        </w:tc>
        <w:tc>
          <w:tcPr>
            <w:tcW w:w="2657" w:type="dxa"/>
            <w:vAlign w:val="center"/>
          </w:tcPr>
          <w:p w:rsidR="00E2631F" w:rsidRDefault="00F667AF">
            <w:pPr>
              <w:jc w:val="right"/>
            </w:pPr>
            <w:r>
              <w:rPr>
                <w:color w:val="000000"/>
                <w:sz w:val="24"/>
              </w:rPr>
              <w:t>13,590,185.14</w:t>
            </w:r>
          </w:p>
        </w:tc>
        <w:tc>
          <w:tcPr>
            <w:tcW w:w="3307" w:type="dxa"/>
            <w:vAlign w:val="center"/>
          </w:tcPr>
          <w:p w:rsidR="00E2631F" w:rsidRDefault="00F667AF">
            <w:pPr>
              <w:jc w:val="right"/>
            </w:pPr>
            <w:r>
              <w:rPr>
                <w:color w:val="000000"/>
                <w:sz w:val="24"/>
              </w:rPr>
              <w:t>11.80</w:t>
            </w:r>
          </w:p>
        </w:tc>
      </w:tr>
      <w:tr w:rsidR="00E2631F">
        <w:trPr>
          <w:jc w:val="center"/>
        </w:trPr>
        <w:tc>
          <w:tcPr>
            <w:tcW w:w="2904" w:type="dxa"/>
            <w:vAlign w:val="center"/>
          </w:tcPr>
          <w:p w:rsidR="00E2631F" w:rsidRDefault="00F667AF">
            <w:pPr>
              <w:jc w:val="left"/>
            </w:pPr>
            <w:r>
              <w:rPr>
                <w:color w:val="000000"/>
                <w:sz w:val="24"/>
              </w:rPr>
              <w:t>金融</w:t>
            </w:r>
          </w:p>
        </w:tc>
        <w:tc>
          <w:tcPr>
            <w:tcW w:w="2657" w:type="dxa"/>
            <w:vAlign w:val="center"/>
          </w:tcPr>
          <w:p w:rsidR="00E2631F" w:rsidRDefault="00F667AF">
            <w:pPr>
              <w:jc w:val="right"/>
            </w:pPr>
            <w:r>
              <w:rPr>
                <w:color w:val="000000"/>
                <w:sz w:val="24"/>
              </w:rPr>
              <w:t>11,883,782.25</w:t>
            </w:r>
          </w:p>
        </w:tc>
        <w:tc>
          <w:tcPr>
            <w:tcW w:w="3307" w:type="dxa"/>
            <w:vAlign w:val="center"/>
          </w:tcPr>
          <w:p w:rsidR="00E2631F" w:rsidRDefault="00F667AF">
            <w:pPr>
              <w:jc w:val="right"/>
            </w:pPr>
            <w:r>
              <w:rPr>
                <w:color w:val="000000"/>
                <w:sz w:val="24"/>
              </w:rPr>
              <w:t>10.32</w:t>
            </w:r>
          </w:p>
        </w:tc>
      </w:tr>
      <w:tr w:rsidR="00E2631F">
        <w:trPr>
          <w:jc w:val="center"/>
        </w:trPr>
        <w:tc>
          <w:tcPr>
            <w:tcW w:w="2904" w:type="dxa"/>
            <w:vAlign w:val="center"/>
          </w:tcPr>
          <w:p w:rsidR="00E2631F" w:rsidRDefault="00F667AF">
            <w:pPr>
              <w:jc w:val="left"/>
            </w:pPr>
            <w:r>
              <w:rPr>
                <w:color w:val="000000"/>
                <w:sz w:val="24"/>
              </w:rPr>
              <w:t>工业</w:t>
            </w:r>
          </w:p>
        </w:tc>
        <w:tc>
          <w:tcPr>
            <w:tcW w:w="2657" w:type="dxa"/>
            <w:vAlign w:val="center"/>
          </w:tcPr>
          <w:p w:rsidR="00E2631F" w:rsidRDefault="00F667AF">
            <w:pPr>
              <w:jc w:val="right"/>
            </w:pPr>
            <w:r>
              <w:rPr>
                <w:color w:val="000000"/>
                <w:sz w:val="24"/>
              </w:rPr>
              <w:t>11,653,204.06</w:t>
            </w:r>
          </w:p>
        </w:tc>
        <w:tc>
          <w:tcPr>
            <w:tcW w:w="3307" w:type="dxa"/>
            <w:vAlign w:val="center"/>
          </w:tcPr>
          <w:p w:rsidR="00E2631F" w:rsidRDefault="00F667AF">
            <w:pPr>
              <w:jc w:val="right"/>
            </w:pPr>
            <w:r>
              <w:rPr>
                <w:color w:val="000000"/>
                <w:sz w:val="24"/>
              </w:rPr>
              <w:t>10.12</w:t>
            </w:r>
          </w:p>
        </w:tc>
      </w:tr>
      <w:tr w:rsidR="00E2631F">
        <w:trPr>
          <w:jc w:val="center"/>
        </w:trPr>
        <w:tc>
          <w:tcPr>
            <w:tcW w:w="2904" w:type="dxa"/>
            <w:vAlign w:val="center"/>
          </w:tcPr>
          <w:p w:rsidR="00E2631F" w:rsidRDefault="00F667AF">
            <w:pPr>
              <w:jc w:val="left"/>
            </w:pPr>
            <w:r>
              <w:rPr>
                <w:color w:val="000000"/>
                <w:sz w:val="24"/>
              </w:rPr>
              <w:t>材料</w:t>
            </w:r>
          </w:p>
        </w:tc>
        <w:tc>
          <w:tcPr>
            <w:tcW w:w="2657" w:type="dxa"/>
            <w:vAlign w:val="center"/>
          </w:tcPr>
          <w:p w:rsidR="00E2631F" w:rsidRDefault="00F667AF">
            <w:pPr>
              <w:jc w:val="right"/>
            </w:pPr>
            <w:r>
              <w:rPr>
                <w:color w:val="000000"/>
                <w:sz w:val="24"/>
              </w:rPr>
              <w:t>6,596,788.80</w:t>
            </w:r>
          </w:p>
        </w:tc>
        <w:tc>
          <w:tcPr>
            <w:tcW w:w="3307" w:type="dxa"/>
            <w:vAlign w:val="center"/>
          </w:tcPr>
          <w:p w:rsidR="00E2631F" w:rsidRDefault="00F667AF">
            <w:pPr>
              <w:jc w:val="right"/>
            </w:pPr>
            <w:r>
              <w:rPr>
                <w:color w:val="000000"/>
                <w:sz w:val="24"/>
              </w:rPr>
              <w:t>5.73</w:t>
            </w:r>
          </w:p>
        </w:tc>
      </w:tr>
      <w:tr w:rsidR="00E2631F">
        <w:trPr>
          <w:jc w:val="center"/>
        </w:trPr>
        <w:tc>
          <w:tcPr>
            <w:tcW w:w="2904" w:type="dxa"/>
            <w:vAlign w:val="center"/>
          </w:tcPr>
          <w:p w:rsidR="00E2631F" w:rsidRDefault="00F667AF">
            <w:pPr>
              <w:jc w:val="left"/>
            </w:pPr>
            <w:r>
              <w:rPr>
                <w:color w:val="000000"/>
                <w:sz w:val="24"/>
              </w:rPr>
              <w:t>能源</w:t>
            </w:r>
          </w:p>
        </w:tc>
        <w:tc>
          <w:tcPr>
            <w:tcW w:w="2657" w:type="dxa"/>
            <w:vAlign w:val="center"/>
          </w:tcPr>
          <w:p w:rsidR="00E2631F" w:rsidRDefault="00F667AF">
            <w:pPr>
              <w:jc w:val="right"/>
            </w:pPr>
            <w:r>
              <w:rPr>
                <w:color w:val="000000"/>
                <w:sz w:val="24"/>
              </w:rPr>
              <w:t>6,556,753.25</w:t>
            </w:r>
          </w:p>
        </w:tc>
        <w:tc>
          <w:tcPr>
            <w:tcW w:w="3307" w:type="dxa"/>
            <w:vAlign w:val="center"/>
          </w:tcPr>
          <w:p w:rsidR="00E2631F" w:rsidRDefault="00F667AF">
            <w:pPr>
              <w:jc w:val="right"/>
            </w:pPr>
            <w:r>
              <w:rPr>
                <w:color w:val="000000"/>
                <w:sz w:val="24"/>
              </w:rPr>
              <w:t>5.69</w:t>
            </w:r>
          </w:p>
        </w:tc>
      </w:tr>
      <w:tr w:rsidR="00E2631F">
        <w:trPr>
          <w:jc w:val="center"/>
        </w:trPr>
        <w:tc>
          <w:tcPr>
            <w:tcW w:w="2904" w:type="dxa"/>
            <w:vAlign w:val="center"/>
          </w:tcPr>
          <w:p w:rsidR="00E2631F" w:rsidRDefault="00F667AF">
            <w:pPr>
              <w:jc w:val="left"/>
            </w:pPr>
            <w:r>
              <w:rPr>
                <w:color w:val="000000"/>
                <w:sz w:val="24"/>
              </w:rPr>
              <w:t>必需消费品</w:t>
            </w:r>
          </w:p>
        </w:tc>
        <w:tc>
          <w:tcPr>
            <w:tcW w:w="2657" w:type="dxa"/>
            <w:vAlign w:val="center"/>
          </w:tcPr>
          <w:p w:rsidR="00E2631F" w:rsidRDefault="00F667AF">
            <w:pPr>
              <w:jc w:val="right"/>
            </w:pPr>
            <w:r>
              <w:rPr>
                <w:color w:val="000000"/>
                <w:sz w:val="24"/>
              </w:rPr>
              <w:t>5,730,127.70</w:t>
            </w:r>
          </w:p>
        </w:tc>
        <w:tc>
          <w:tcPr>
            <w:tcW w:w="3307" w:type="dxa"/>
            <w:vAlign w:val="center"/>
          </w:tcPr>
          <w:p w:rsidR="00E2631F" w:rsidRDefault="00F667AF">
            <w:pPr>
              <w:jc w:val="right"/>
            </w:pPr>
            <w:r>
              <w:rPr>
                <w:color w:val="000000"/>
                <w:sz w:val="24"/>
              </w:rPr>
              <w:t>4.97</w:t>
            </w:r>
          </w:p>
        </w:tc>
      </w:tr>
      <w:tr w:rsidR="00E2631F">
        <w:trPr>
          <w:jc w:val="center"/>
        </w:trPr>
        <w:tc>
          <w:tcPr>
            <w:tcW w:w="2904" w:type="dxa"/>
            <w:vAlign w:val="center"/>
          </w:tcPr>
          <w:p w:rsidR="00E2631F" w:rsidRDefault="00F667AF">
            <w:pPr>
              <w:jc w:val="left"/>
            </w:pPr>
            <w:r>
              <w:rPr>
                <w:color w:val="000000"/>
                <w:sz w:val="24"/>
              </w:rPr>
              <w:t>电信服务</w:t>
            </w:r>
          </w:p>
        </w:tc>
        <w:tc>
          <w:tcPr>
            <w:tcW w:w="2657" w:type="dxa"/>
            <w:vAlign w:val="center"/>
          </w:tcPr>
          <w:p w:rsidR="00E2631F" w:rsidRDefault="00F667AF">
            <w:pPr>
              <w:jc w:val="right"/>
            </w:pPr>
            <w:r>
              <w:rPr>
                <w:color w:val="000000"/>
                <w:sz w:val="24"/>
              </w:rPr>
              <w:t>2,707,609.14</w:t>
            </w:r>
          </w:p>
        </w:tc>
        <w:tc>
          <w:tcPr>
            <w:tcW w:w="3307" w:type="dxa"/>
            <w:vAlign w:val="center"/>
          </w:tcPr>
          <w:p w:rsidR="00E2631F" w:rsidRDefault="00F667AF">
            <w:pPr>
              <w:jc w:val="right"/>
            </w:pPr>
            <w:r>
              <w:rPr>
                <w:color w:val="000000"/>
                <w:sz w:val="24"/>
              </w:rPr>
              <w:t>2.35</w:t>
            </w:r>
          </w:p>
        </w:tc>
      </w:tr>
      <w:tr w:rsidR="00E2631F">
        <w:trPr>
          <w:jc w:val="center"/>
        </w:trPr>
        <w:tc>
          <w:tcPr>
            <w:tcW w:w="2904" w:type="dxa"/>
            <w:vAlign w:val="center"/>
          </w:tcPr>
          <w:p w:rsidR="00E2631F" w:rsidRDefault="00F667AF">
            <w:pPr>
              <w:jc w:val="left"/>
            </w:pPr>
            <w:r>
              <w:rPr>
                <w:color w:val="000000"/>
                <w:sz w:val="24"/>
              </w:rPr>
              <w:t>房地产</w:t>
            </w:r>
          </w:p>
        </w:tc>
        <w:tc>
          <w:tcPr>
            <w:tcW w:w="2657" w:type="dxa"/>
            <w:vAlign w:val="center"/>
          </w:tcPr>
          <w:p w:rsidR="00E2631F" w:rsidRDefault="00F667AF">
            <w:pPr>
              <w:jc w:val="right"/>
            </w:pPr>
            <w:r>
              <w:rPr>
                <w:color w:val="000000"/>
                <w:sz w:val="24"/>
              </w:rPr>
              <w:t>2,642,224.83</w:t>
            </w:r>
          </w:p>
        </w:tc>
        <w:tc>
          <w:tcPr>
            <w:tcW w:w="3307" w:type="dxa"/>
            <w:vAlign w:val="center"/>
          </w:tcPr>
          <w:p w:rsidR="00E2631F" w:rsidRDefault="00F667AF">
            <w:pPr>
              <w:jc w:val="right"/>
            </w:pPr>
            <w:r>
              <w:rPr>
                <w:color w:val="000000"/>
                <w:sz w:val="24"/>
              </w:rPr>
              <w:t>2.29</w:t>
            </w:r>
          </w:p>
        </w:tc>
      </w:tr>
      <w:tr w:rsidR="00E2631F">
        <w:trPr>
          <w:jc w:val="center"/>
        </w:trPr>
        <w:tc>
          <w:tcPr>
            <w:tcW w:w="2904" w:type="dxa"/>
            <w:vAlign w:val="center"/>
          </w:tcPr>
          <w:p w:rsidR="00E2631F" w:rsidRDefault="00F667AF">
            <w:pPr>
              <w:jc w:val="left"/>
            </w:pPr>
            <w:r>
              <w:rPr>
                <w:color w:val="000000"/>
                <w:sz w:val="24"/>
              </w:rPr>
              <w:t>公共事业</w:t>
            </w:r>
          </w:p>
        </w:tc>
        <w:tc>
          <w:tcPr>
            <w:tcW w:w="2657" w:type="dxa"/>
            <w:vAlign w:val="center"/>
          </w:tcPr>
          <w:p w:rsidR="00E2631F" w:rsidRDefault="00F667AF">
            <w:pPr>
              <w:jc w:val="right"/>
            </w:pPr>
            <w:r>
              <w:rPr>
                <w:color w:val="000000"/>
                <w:sz w:val="24"/>
              </w:rPr>
              <w:t>2,021,566.57</w:t>
            </w:r>
          </w:p>
        </w:tc>
        <w:tc>
          <w:tcPr>
            <w:tcW w:w="3307" w:type="dxa"/>
            <w:vAlign w:val="center"/>
          </w:tcPr>
          <w:p w:rsidR="00E2631F" w:rsidRDefault="00F667AF">
            <w:pPr>
              <w:jc w:val="right"/>
            </w:pPr>
            <w:r>
              <w:rPr>
                <w:color w:val="000000"/>
                <w:sz w:val="24"/>
              </w:rPr>
              <w:t>1.75</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102,971,914.83</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89.38</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E2631F">
        <w:trPr>
          <w:jc w:val="center"/>
        </w:trPr>
        <w:tc>
          <w:tcPr>
            <w:tcW w:w="1243" w:type="dxa"/>
            <w:vAlign w:val="center"/>
          </w:tcPr>
          <w:p w:rsidR="00E2631F" w:rsidRDefault="00F667AF">
            <w:pPr>
              <w:jc w:val="center"/>
            </w:pPr>
            <w:r>
              <w:rPr>
                <w:color w:val="000000"/>
                <w:sz w:val="24"/>
              </w:rPr>
              <w:t>1</w:t>
            </w:r>
          </w:p>
        </w:tc>
        <w:tc>
          <w:tcPr>
            <w:tcW w:w="971" w:type="dxa"/>
            <w:vAlign w:val="center"/>
          </w:tcPr>
          <w:p w:rsidR="00E2631F" w:rsidRDefault="00F667AF">
            <w:pPr>
              <w:jc w:val="center"/>
            </w:pPr>
            <w:r>
              <w:rPr>
                <w:color w:val="000000"/>
                <w:sz w:val="24"/>
              </w:rPr>
              <w:t>Amazon.Com Inc</w:t>
            </w:r>
          </w:p>
        </w:tc>
        <w:tc>
          <w:tcPr>
            <w:tcW w:w="993" w:type="dxa"/>
            <w:vAlign w:val="center"/>
          </w:tcPr>
          <w:p w:rsidR="00E2631F" w:rsidRDefault="00F667AF">
            <w:pPr>
              <w:jc w:val="center"/>
            </w:pPr>
            <w:r>
              <w:rPr>
                <w:color w:val="000000"/>
                <w:sz w:val="24"/>
              </w:rPr>
              <w:t>亚马逊公司</w:t>
            </w:r>
          </w:p>
        </w:tc>
        <w:tc>
          <w:tcPr>
            <w:tcW w:w="725" w:type="dxa"/>
            <w:vAlign w:val="center"/>
          </w:tcPr>
          <w:p w:rsidR="00E2631F" w:rsidRDefault="00F667AF">
            <w:pPr>
              <w:jc w:val="center"/>
            </w:pPr>
            <w:r>
              <w:rPr>
                <w:color w:val="000000"/>
                <w:sz w:val="24"/>
              </w:rPr>
              <w:t>AMZN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313</w:t>
            </w:r>
          </w:p>
        </w:tc>
        <w:tc>
          <w:tcPr>
            <w:tcW w:w="975" w:type="dxa"/>
            <w:vAlign w:val="center"/>
          </w:tcPr>
          <w:p w:rsidR="00E2631F" w:rsidRDefault="00F667AF">
            <w:pPr>
              <w:jc w:val="right"/>
            </w:pPr>
            <w:r>
              <w:rPr>
                <w:color w:val="000000"/>
                <w:sz w:val="24"/>
              </w:rPr>
              <w:t>3,520,278.66</w:t>
            </w:r>
          </w:p>
        </w:tc>
        <w:tc>
          <w:tcPr>
            <w:tcW w:w="1175" w:type="dxa"/>
            <w:vAlign w:val="center"/>
          </w:tcPr>
          <w:p w:rsidR="00E2631F" w:rsidRDefault="00F667AF">
            <w:pPr>
              <w:jc w:val="right"/>
            </w:pPr>
            <w:r>
              <w:rPr>
                <w:color w:val="000000"/>
                <w:sz w:val="24"/>
              </w:rPr>
              <w:t>3.06</w:t>
            </w:r>
          </w:p>
        </w:tc>
      </w:tr>
      <w:tr w:rsidR="00E2631F">
        <w:trPr>
          <w:jc w:val="center"/>
        </w:trPr>
        <w:tc>
          <w:tcPr>
            <w:tcW w:w="1243" w:type="dxa"/>
            <w:vAlign w:val="center"/>
          </w:tcPr>
          <w:p w:rsidR="00E2631F" w:rsidRDefault="00F667AF">
            <w:pPr>
              <w:jc w:val="center"/>
            </w:pPr>
            <w:r>
              <w:rPr>
                <w:color w:val="000000"/>
                <w:sz w:val="24"/>
              </w:rPr>
              <w:t>2</w:t>
            </w:r>
          </w:p>
        </w:tc>
        <w:tc>
          <w:tcPr>
            <w:tcW w:w="971" w:type="dxa"/>
            <w:vAlign w:val="center"/>
          </w:tcPr>
          <w:p w:rsidR="00E2631F" w:rsidRDefault="00F667AF">
            <w:pPr>
              <w:jc w:val="center"/>
            </w:pPr>
            <w:r>
              <w:rPr>
                <w:color w:val="000000"/>
                <w:sz w:val="24"/>
              </w:rPr>
              <w:t>Tencent Holdings Limited</w:t>
            </w:r>
          </w:p>
        </w:tc>
        <w:tc>
          <w:tcPr>
            <w:tcW w:w="993" w:type="dxa"/>
            <w:vAlign w:val="center"/>
          </w:tcPr>
          <w:p w:rsidR="00E2631F" w:rsidRDefault="00F667AF">
            <w:pPr>
              <w:jc w:val="center"/>
            </w:pPr>
            <w:proofErr w:type="gramStart"/>
            <w:r>
              <w:rPr>
                <w:color w:val="000000"/>
                <w:sz w:val="24"/>
              </w:rPr>
              <w:t>腾讯控股</w:t>
            </w:r>
            <w:proofErr w:type="gramEnd"/>
            <w:r>
              <w:rPr>
                <w:color w:val="000000"/>
                <w:sz w:val="24"/>
              </w:rPr>
              <w:t>有限公司</w:t>
            </w:r>
          </w:p>
        </w:tc>
        <w:tc>
          <w:tcPr>
            <w:tcW w:w="725" w:type="dxa"/>
            <w:vAlign w:val="center"/>
          </w:tcPr>
          <w:p w:rsidR="00E2631F" w:rsidRDefault="00F667AF">
            <w:pPr>
              <w:jc w:val="center"/>
            </w:pPr>
            <w:r>
              <w:rPr>
                <w:color w:val="000000"/>
                <w:sz w:val="24"/>
              </w:rPr>
              <w:t>700 HK</w:t>
            </w:r>
          </w:p>
        </w:tc>
        <w:tc>
          <w:tcPr>
            <w:tcW w:w="747" w:type="dxa"/>
            <w:vAlign w:val="center"/>
          </w:tcPr>
          <w:p w:rsidR="00E2631F" w:rsidRDefault="00F667AF">
            <w:pPr>
              <w:jc w:val="center"/>
            </w:pPr>
            <w:r>
              <w:rPr>
                <w:color w:val="000000"/>
                <w:sz w:val="24"/>
              </w:rPr>
              <w:t>香港证券交易所</w:t>
            </w:r>
          </w:p>
        </w:tc>
        <w:tc>
          <w:tcPr>
            <w:tcW w:w="975" w:type="dxa"/>
            <w:vAlign w:val="center"/>
          </w:tcPr>
          <w:p w:rsidR="00E2631F" w:rsidRDefault="00F667AF">
            <w:pPr>
              <w:jc w:val="center"/>
            </w:pPr>
            <w:r>
              <w:rPr>
                <w:color w:val="000000"/>
                <w:sz w:val="24"/>
              </w:rPr>
              <w:t>香港</w:t>
            </w:r>
          </w:p>
        </w:tc>
        <w:tc>
          <w:tcPr>
            <w:tcW w:w="1175" w:type="dxa"/>
            <w:vAlign w:val="center"/>
          </w:tcPr>
          <w:p w:rsidR="00E2631F" w:rsidRDefault="00F667AF">
            <w:pPr>
              <w:jc w:val="right"/>
            </w:pPr>
            <w:r>
              <w:rPr>
                <w:color w:val="000000"/>
                <w:sz w:val="24"/>
              </w:rPr>
              <w:t>10,000</w:t>
            </w:r>
          </w:p>
        </w:tc>
        <w:tc>
          <w:tcPr>
            <w:tcW w:w="975" w:type="dxa"/>
            <w:vAlign w:val="center"/>
          </w:tcPr>
          <w:p w:rsidR="00E2631F" w:rsidRDefault="00F667AF">
            <w:pPr>
              <w:jc w:val="right"/>
            </w:pPr>
            <w:r>
              <w:rPr>
                <w:color w:val="000000"/>
                <w:sz w:val="24"/>
              </w:rPr>
              <w:t>3,320,858.97</w:t>
            </w:r>
          </w:p>
        </w:tc>
        <w:tc>
          <w:tcPr>
            <w:tcW w:w="1175" w:type="dxa"/>
            <w:vAlign w:val="center"/>
          </w:tcPr>
          <w:p w:rsidR="00E2631F" w:rsidRDefault="00F667AF">
            <w:pPr>
              <w:jc w:val="right"/>
            </w:pPr>
            <w:r>
              <w:rPr>
                <w:color w:val="000000"/>
                <w:sz w:val="24"/>
              </w:rPr>
              <w:t>2.88</w:t>
            </w:r>
          </w:p>
        </w:tc>
      </w:tr>
      <w:tr w:rsidR="00E2631F">
        <w:trPr>
          <w:jc w:val="center"/>
        </w:trPr>
        <w:tc>
          <w:tcPr>
            <w:tcW w:w="1243" w:type="dxa"/>
            <w:vAlign w:val="center"/>
          </w:tcPr>
          <w:p w:rsidR="00E2631F" w:rsidRDefault="00F667AF">
            <w:pPr>
              <w:jc w:val="center"/>
            </w:pPr>
            <w:r>
              <w:rPr>
                <w:color w:val="000000"/>
                <w:sz w:val="24"/>
              </w:rPr>
              <w:t>3</w:t>
            </w:r>
          </w:p>
        </w:tc>
        <w:tc>
          <w:tcPr>
            <w:tcW w:w="971" w:type="dxa"/>
            <w:vAlign w:val="center"/>
          </w:tcPr>
          <w:p w:rsidR="00E2631F" w:rsidRDefault="00F667AF">
            <w:pPr>
              <w:jc w:val="center"/>
            </w:pPr>
            <w:r>
              <w:rPr>
                <w:color w:val="000000"/>
                <w:sz w:val="24"/>
              </w:rPr>
              <w:t>Alphabet Inc</w:t>
            </w:r>
          </w:p>
        </w:tc>
        <w:tc>
          <w:tcPr>
            <w:tcW w:w="993" w:type="dxa"/>
            <w:vAlign w:val="center"/>
          </w:tcPr>
          <w:p w:rsidR="00E2631F" w:rsidRDefault="00F667AF">
            <w:pPr>
              <w:jc w:val="center"/>
            </w:pPr>
            <w:r>
              <w:rPr>
                <w:color w:val="000000"/>
                <w:sz w:val="24"/>
              </w:rPr>
              <w:t>Alphabet</w:t>
            </w:r>
            <w:r>
              <w:rPr>
                <w:color w:val="000000"/>
                <w:sz w:val="24"/>
              </w:rPr>
              <w:t>公司</w:t>
            </w:r>
          </w:p>
        </w:tc>
        <w:tc>
          <w:tcPr>
            <w:tcW w:w="725" w:type="dxa"/>
            <w:vAlign w:val="center"/>
          </w:tcPr>
          <w:p w:rsidR="00E2631F" w:rsidRDefault="00F667AF">
            <w:pPr>
              <w:jc w:val="center"/>
            </w:pPr>
            <w:r>
              <w:rPr>
                <w:color w:val="000000"/>
                <w:sz w:val="24"/>
              </w:rPr>
              <w:t>GOOGL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365</w:t>
            </w:r>
          </w:p>
        </w:tc>
        <w:tc>
          <w:tcPr>
            <w:tcW w:w="975" w:type="dxa"/>
            <w:vAlign w:val="center"/>
          </w:tcPr>
          <w:p w:rsidR="00E2631F" w:rsidRDefault="00F667AF">
            <w:pPr>
              <w:jc w:val="right"/>
            </w:pPr>
            <w:r>
              <w:rPr>
                <w:color w:val="000000"/>
                <w:sz w:val="24"/>
              </w:rPr>
              <w:t>2,727,060.47</w:t>
            </w:r>
          </w:p>
        </w:tc>
        <w:tc>
          <w:tcPr>
            <w:tcW w:w="1175" w:type="dxa"/>
            <w:vAlign w:val="center"/>
          </w:tcPr>
          <w:p w:rsidR="00E2631F" w:rsidRDefault="00F667AF">
            <w:pPr>
              <w:jc w:val="right"/>
            </w:pPr>
            <w:r>
              <w:rPr>
                <w:color w:val="000000"/>
                <w:sz w:val="24"/>
              </w:rPr>
              <w:t>2.37</w:t>
            </w:r>
          </w:p>
        </w:tc>
      </w:tr>
      <w:tr w:rsidR="00E2631F">
        <w:trPr>
          <w:jc w:val="center"/>
        </w:trPr>
        <w:tc>
          <w:tcPr>
            <w:tcW w:w="1243" w:type="dxa"/>
            <w:vAlign w:val="center"/>
          </w:tcPr>
          <w:p w:rsidR="00E2631F" w:rsidRDefault="00F667AF">
            <w:pPr>
              <w:jc w:val="center"/>
            </w:pPr>
            <w:r>
              <w:rPr>
                <w:color w:val="000000"/>
                <w:sz w:val="24"/>
              </w:rPr>
              <w:t>4</w:t>
            </w:r>
          </w:p>
        </w:tc>
        <w:tc>
          <w:tcPr>
            <w:tcW w:w="971" w:type="dxa"/>
            <w:vAlign w:val="center"/>
          </w:tcPr>
          <w:p w:rsidR="00E2631F" w:rsidRDefault="00F667AF">
            <w:pPr>
              <w:jc w:val="center"/>
            </w:pPr>
            <w:r>
              <w:rPr>
                <w:color w:val="000000"/>
                <w:sz w:val="24"/>
              </w:rPr>
              <w:t>Visa Inc</w:t>
            </w:r>
          </w:p>
        </w:tc>
        <w:tc>
          <w:tcPr>
            <w:tcW w:w="993" w:type="dxa"/>
            <w:vAlign w:val="center"/>
          </w:tcPr>
          <w:p w:rsidR="00E2631F" w:rsidRDefault="00F667AF">
            <w:pPr>
              <w:jc w:val="center"/>
            </w:pPr>
            <w:r>
              <w:rPr>
                <w:color w:val="000000"/>
                <w:sz w:val="24"/>
              </w:rPr>
              <w:t>维</w:t>
            </w:r>
            <w:proofErr w:type="gramStart"/>
            <w:r>
              <w:rPr>
                <w:color w:val="000000"/>
                <w:sz w:val="24"/>
              </w:rPr>
              <w:t>萨</w:t>
            </w:r>
            <w:proofErr w:type="gramEnd"/>
            <w:r>
              <w:rPr>
                <w:color w:val="000000"/>
                <w:sz w:val="24"/>
              </w:rPr>
              <w:t>公司</w:t>
            </w:r>
          </w:p>
        </w:tc>
        <w:tc>
          <w:tcPr>
            <w:tcW w:w="725" w:type="dxa"/>
            <w:vAlign w:val="center"/>
          </w:tcPr>
          <w:p w:rsidR="00E2631F" w:rsidRDefault="00F667AF">
            <w:pPr>
              <w:jc w:val="center"/>
            </w:pPr>
            <w:r>
              <w:rPr>
                <w:color w:val="000000"/>
                <w:sz w:val="24"/>
              </w:rPr>
              <w:t>V US</w:t>
            </w:r>
          </w:p>
        </w:tc>
        <w:tc>
          <w:tcPr>
            <w:tcW w:w="747" w:type="dxa"/>
            <w:vAlign w:val="center"/>
          </w:tcPr>
          <w:p w:rsidR="00E2631F" w:rsidRDefault="00F667AF">
            <w:pPr>
              <w:jc w:val="center"/>
            </w:pPr>
            <w:r>
              <w:rPr>
                <w:color w:val="000000"/>
                <w:sz w:val="24"/>
              </w:rPr>
              <w:t>美国证券</w:t>
            </w:r>
            <w:r>
              <w:rPr>
                <w:color w:val="000000"/>
                <w:sz w:val="24"/>
              </w:rPr>
              <w:lastRenderedPageBreak/>
              <w:t>交易所</w:t>
            </w:r>
          </w:p>
        </w:tc>
        <w:tc>
          <w:tcPr>
            <w:tcW w:w="975" w:type="dxa"/>
            <w:vAlign w:val="center"/>
          </w:tcPr>
          <w:p w:rsidR="00E2631F" w:rsidRDefault="00F667AF">
            <w:pPr>
              <w:jc w:val="center"/>
            </w:pPr>
            <w:r>
              <w:rPr>
                <w:color w:val="000000"/>
                <w:sz w:val="24"/>
              </w:rPr>
              <w:lastRenderedPageBreak/>
              <w:t>美国</w:t>
            </w:r>
          </w:p>
        </w:tc>
        <w:tc>
          <w:tcPr>
            <w:tcW w:w="1175" w:type="dxa"/>
            <w:vAlign w:val="center"/>
          </w:tcPr>
          <w:p w:rsidR="00E2631F" w:rsidRDefault="00F667AF">
            <w:pPr>
              <w:jc w:val="right"/>
            </w:pPr>
            <w:r>
              <w:rPr>
                <w:color w:val="000000"/>
                <w:sz w:val="24"/>
              </w:rPr>
              <w:t>2,799</w:t>
            </w:r>
          </w:p>
        </w:tc>
        <w:tc>
          <w:tcPr>
            <w:tcW w:w="975" w:type="dxa"/>
            <w:vAlign w:val="center"/>
          </w:tcPr>
          <w:p w:rsidR="00E2631F" w:rsidRDefault="00F667AF">
            <w:pPr>
              <w:jc w:val="right"/>
            </w:pPr>
            <w:r>
              <w:rPr>
                <w:color w:val="000000"/>
                <w:sz w:val="24"/>
              </w:rPr>
              <w:t>2,452,955.91</w:t>
            </w:r>
          </w:p>
        </w:tc>
        <w:tc>
          <w:tcPr>
            <w:tcW w:w="1175" w:type="dxa"/>
            <w:vAlign w:val="center"/>
          </w:tcPr>
          <w:p w:rsidR="00E2631F" w:rsidRDefault="00F667AF">
            <w:pPr>
              <w:jc w:val="right"/>
            </w:pPr>
            <w:r>
              <w:rPr>
                <w:color w:val="000000"/>
                <w:sz w:val="24"/>
              </w:rPr>
              <w:t>2.13</w:t>
            </w:r>
          </w:p>
        </w:tc>
      </w:tr>
      <w:tr w:rsidR="00E2631F">
        <w:trPr>
          <w:jc w:val="center"/>
        </w:trPr>
        <w:tc>
          <w:tcPr>
            <w:tcW w:w="1243" w:type="dxa"/>
            <w:vAlign w:val="center"/>
          </w:tcPr>
          <w:p w:rsidR="00E2631F" w:rsidRDefault="00F667AF">
            <w:pPr>
              <w:jc w:val="center"/>
            </w:pPr>
            <w:r>
              <w:rPr>
                <w:color w:val="000000"/>
                <w:sz w:val="24"/>
              </w:rPr>
              <w:t>5</w:t>
            </w:r>
          </w:p>
        </w:tc>
        <w:tc>
          <w:tcPr>
            <w:tcW w:w="971" w:type="dxa"/>
            <w:vAlign w:val="center"/>
          </w:tcPr>
          <w:p w:rsidR="00E2631F" w:rsidRDefault="00F667AF">
            <w:pPr>
              <w:jc w:val="center"/>
            </w:pPr>
            <w:r>
              <w:rPr>
                <w:color w:val="000000"/>
                <w:sz w:val="24"/>
              </w:rPr>
              <w:t>Bank of America Corporation</w:t>
            </w:r>
          </w:p>
        </w:tc>
        <w:tc>
          <w:tcPr>
            <w:tcW w:w="993" w:type="dxa"/>
            <w:vAlign w:val="center"/>
          </w:tcPr>
          <w:p w:rsidR="00E2631F" w:rsidRDefault="00F667AF">
            <w:pPr>
              <w:jc w:val="center"/>
            </w:pPr>
            <w:r>
              <w:rPr>
                <w:color w:val="000000"/>
                <w:sz w:val="24"/>
              </w:rPr>
              <w:t>美国银行</w:t>
            </w:r>
          </w:p>
        </w:tc>
        <w:tc>
          <w:tcPr>
            <w:tcW w:w="725" w:type="dxa"/>
            <w:vAlign w:val="center"/>
          </w:tcPr>
          <w:p w:rsidR="00E2631F" w:rsidRDefault="00F667AF">
            <w:pPr>
              <w:jc w:val="center"/>
            </w:pPr>
            <w:r>
              <w:rPr>
                <w:color w:val="000000"/>
                <w:sz w:val="24"/>
              </w:rPr>
              <w:t>BAC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12,478</w:t>
            </w:r>
          </w:p>
        </w:tc>
        <w:tc>
          <w:tcPr>
            <w:tcW w:w="975" w:type="dxa"/>
            <w:vAlign w:val="center"/>
          </w:tcPr>
          <w:p w:rsidR="00E2631F" w:rsidRDefault="00F667AF">
            <w:pPr>
              <w:jc w:val="right"/>
            </w:pPr>
            <w:r>
              <w:rPr>
                <w:color w:val="000000"/>
                <w:sz w:val="24"/>
              </w:rPr>
              <w:t>2,327,420.94</w:t>
            </w:r>
          </w:p>
        </w:tc>
        <w:tc>
          <w:tcPr>
            <w:tcW w:w="1175" w:type="dxa"/>
            <w:vAlign w:val="center"/>
          </w:tcPr>
          <w:p w:rsidR="00E2631F" w:rsidRDefault="00F667AF">
            <w:pPr>
              <w:jc w:val="right"/>
            </w:pPr>
            <w:r>
              <w:rPr>
                <w:color w:val="000000"/>
                <w:sz w:val="24"/>
              </w:rPr>
              <w:t>2.02</w:t>
            </w:r>
          </w:p>
        </w:tc>
      </w:tr>
      <w:tr w:rsidR="00E2631F">
        <w:trPr>
          <w:jc w:val="center"/>
        </w:trPr>
        <w:tc>
          <w:tcPr>
            <w:tcW w:w="1243" w:type="dxa"/>
            <w:vAlign w:val="center"/>
          </w:tcPr>
          <w:p w:rsidR="00E2631F" w:rsidRDefault="00F667AF">
            <w:pPr>
              <w:jc w:val="center"/>
            </w:pPr>
            <w:r>
              <w:rPr>
                <w:color w:val="000000"/>
                <w:sz w:val="24"/>
              </w:rPr>
              <w:t>6</w:t>
            </w:r>
          </w:p>
        </w:tc>
        <w:tc>
          <w:tcPr>
            <w:tcW w:w="971" w:type="dxa"/>
            <w:vAlign w:val="center"/>
          </w:tcPr>
          <w:p w:rsidR="00E2631F" w:rsidRDefault="00F667AF">
            <w:pPr>
              <w:jc w:val="center"/>
            </w:pPr>
            <w:r>
              <w:rPr>
                <w:color w:val="000000"/>
                <w:sz w:val="24"/>
              </w:rPr>
              <w:t>Unitedhealth Group Inc</w:t>
            </w:r>
          </w:p>
        </w:tc>
        <w:tc>
          <w:tcPr>
            <w:tcW w:w="993" w:type="dxa"/>
            <w:vAlign w:val="center"/>
          </w:tcPr>
          <w:p w:rsidR="00E2631F" w:rsidRDefault="00F667AF">
            <w:pPr>
              <w:jc w:val="center"/>
            </w:pPr>
            <w:r>
              <w:rPr>
                <w:color w:val="000000"/>
                <w:sz w:val="24"/>
              </w:rPr>
              <w:t>美国联合健康集团</w:t>
            </w:r>
          </w:p>
        </w:tc>
        <w:tc>
          <w:tcPr>
            <w:tcW w:w="725" w:type="dxa"/>
            <w:vAlign w:val="center"/>
          </w:tcPr>
          <w:p w:rsidR="00E2631F" w:rsidRDefault="00F667AF">
            <w:pPr>
              <w:jc w:val="center"/>
            </w:pPr>
            <w:r>
              <w:rPr>
                <w:color w:val="000000"/>
                <w:sz w:val="24"/>
              </w:rPr>
              <w:t>UNH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1,406</w:t>
            </w:r>
          </w:p>
        </w:tc>
        <w:tc>
          <w:tcPr>
            <w:tcW w:w="975" w:type="dxa"/>
            <w:vAlign w:val="center"/>
          </w:tcPr>
          <w:p w:rsidR="00E2631F" w:rsidRDefault="00F667AF">
            <w:pPr>
              <w:jc w:val="right"/>
            </w:pPr>
            <w:r>
              <w:rPr>
                <w:color w:val="000000"/>
                <w:sz w:val="24"/>
              </w:rPr>
              <w:t>2,282,383.20</w:t>
            </w:r>
          </w:p>
        </w:tc>
        <w:tc>
          <w:tcPr>
            <w:tcW w:w="1175" w:type="dxa"/>
            <w:vAlign w:val="center"/>
          </w:tcPr>
          <w:p w:rsidR="00E2631F" w:rsidRDefault="00F667AF">
            <w:pPr>
              <w:jc w:val="right"/>
            </w:pPr>
            <w:r>
              <w:rPr>
                <w:color w:val="000000"/>
                <w:sz w:val="24"/>
              </w:rPr>
              <w:t>1.98</w:t>
            </w:r>
          </w:p>
        </w:tc>
      </w:tr>
      <w:tr w:rsidR="00E2631F">
        <w:trPr>
          <w:jc w:val="center"/>
        </w:trPr>
        <w:tc>
          <w:tcPr>
            <w:tcW w:w="1243" w:type="dxa"/>
            <w:vAlign w:val="center"/>
          </w:tcPr>
          <w:p w:rsidR="00E2631F" w:rsidRDefault="00F667AF">
            <w:pPr>
              <w:jc w:val="center"/>
            </w:pPr>
            <w:r>
              <w:rPr>
                <w:color w:val="000000"/>
                <w:sz w:val="24"/>
              </w:rPr>
              <w:t>7</w:t>
            </w:r>
          </w:p>
        </w:tc>
        <w:tc>
          <w:tcPr>
            <w:tcW w:w="971" w:type="dxa"/>
            <w:vAlign w:val="center"/>
          </w:tcPr>
          <w:p w:rsidR="00E2631F" w:rsidRDefault="00F667AF">
            <w:pPr>
              <w:jc w:val="center"/>
            </w:pPr>
            <w:r>
              <w:rPr>
                <w:color w:val="000000"/>
                <w:sz w:val="24"/>
              </w:rPr>
              <w:t>Danaher Corporation</w:t>
            </w:r>
          </w:p>
        </w:tc>
        <w:tc>
          <w:tcPr>
            <w:tcW w:w="993" w:type="dxa"/>
            <w:vAlign w:val="center"/>
          </w:tcPr>
          <w:p w:rsidR="00E2631F" w:rsidRDefault="00F667AF">
            <w:pPr>
              <w:jc w:val="center"/>
            </w:pPr>
            <w:r>
              <w:rPr>
                <w:color w:val="000000"/>
                <w:sz w:val="24"/>
              </w:rPr>
              <w:t>丹纳</w:t>
            </w:r>
            <w:proofErr w:type="gramStart"/>
            <w:r>
              <w:rPr>
                <w:color w:val="000000"/>
                <w:sz w:val="24"/>
              </w:rPr>
              <w:t>赫</w:t>
            </w:r>
            <w:proofErr w:type="gramEnd"/>
          </w:p>
        </w:tc>
        <w:tc>
          <w:tcPr>
            <w:tcW w:w="725" w:type="dxa"/>
            <w:vAlign w:val="center"/>
          </w:tcPr>
          <w:p w:rsidR="00E2631F" w:rsidRDefault="00F667AF">
            <w:pPr>
              <w:jc w:val="center"/>
            </w:pPr>
            <w:r>
              <w:rPr>
                <w:color w:val="000000"/>
                <w:sz w:val="24"/>
              </w:rPr>
              <w:t>DHR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3,322</w:t>
            </w:r>
          </w:p>
        </w:tc>
        <w:tc>
          <w:tcPr>
            <w:tcW w:w="975" w:type="dxa"/>
            <w:vAlign w:val="center"/>
          </w:tcPr>
          <w:p w:rsidR="00E2631F" w:rsidRDefault="00F667AF">
            <w:pPr>
              <w:jc w:val="right"/>
            </w:pPr>
            <w:r>
              <w:rPr>
                <w:color w:val="000000"/>
                <w:sz w:val="24"/>
              </w:rPr>
              <w:t>2,169,020.46</w:t>
            </w:r>
          </w:p>
        </w:tc>
        <w:tc>
          <w:tcPr>
            <w:tcW w:w="1175" w:type="dxa"/>
            <w:vAlign w:val="center"/>
          </w:tcPr>
          <w:p w:rsidR="00E2631F" w:rsidRDefault="00F667AF">
            <w:pPr>
              <w:jc w:val="right"/>
            </w:pPr>
            <w:r>
              <w:rPr>
                <w:color w:val="000000"/>
                <w:sz w:val="24"/>
              </w:rPr>
              <w:t>1.88</w:t>
            </w:r>
          </w:p>
        </w:tc>
      </w:tr>
      <w:tr w:rsidR="00E2631F">
        <w:trPr>
          <w:jc w:val="center"/>
        </w:trPr>
        <w:tc>
          <w:tcPr>
            <w:tcW w:w="1243" w:type="dxa"/>
            <w:vAlign w:val="center"/>
          </w:tcPr>
          <w:p w:rsidR="00E2631F" w:rsidRDefault="00F667AF">
            <w:pPr>
              <w:jc w:val="center"/>
            </w:pPr>
            <w:r>
              <w:rPr>
                <w:color w:val="000000"/>
                <w:sz w:val="24"/>
              </w:rPr>
              <w:t>8</w:t>
            </w:r>
          </w:p>
        </w:tc>
        <w:tc>
          <w:tcPr>
            <w:tcW w:w="971" w:type="dxa"/>
            <w:vAlign w:val="center"/>
          </w:tcPr>
          <w:p w:rsidR="00E2631F" w:rsidRDefault="00F667AF">
            <w:pPr>
              <w:jc w:val="center"/>
            </w:pPr>
            <w:r>
              <w:rPr>
                <w:color w:val="000000"/>
                <w:sz w:val="24"/>
              </w:rPr>
              <w:t>Adobe Systems Incorporated</w:t>
            </w:r>
          </w:p>
        </w:tc>
        <w:tc>
          <w:tcPr>
            <w:tcW w:w="993" w:type="dxa"/>
            <w:vAlign w:val="center"/>
          </w:tcPr>
          <w:p w:rsidR="00E2631F" w:rsidRDefault="00F667AF">
            <w:pPr>
              <w:jc w:val="center"/>
            </w:pPr>
            <w:r>
              <w:rPr>
                <w:color w:val="000000"/>
                <w:sz w:val="24"/>
              </w:rPr>
              <w:t>奥多比</w:t>
            </w:r>
          </w:p>
        </w:tc>
        <w:tc>
          <w:tcPr>
            <w:tcW w:w="725" w:type="dxa"/>
            <w:vAlign w:val="center"/>
          </w:tcPr>
          <w:p w:rsidR="00E2631F" w:rsidRDefault="00F667AF">
            <w:pPr>
              <w:jc w:val="center"/>
            </w:pPr>
            <w:r>
              <w:rPr>
                <w:color w:val="000000"/>
                <w:sz w:val="24"/>
              </w:rPr>
              <w:t>ADBE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1,262</w:t>
            </w:r>
          </w:p>
        </w:tc>
        <w:tc>
          <w:tcPr>
            <w:tcW w:w="975" w:type="dxa"/>
            <w:vAlign w:val="center"/>
          </w:tcPr>
          <w:p w:rsidR="00E2631F" w:rsidRDefault="00F667AF">
            <w:pPr>
              <w:jc w:val="right"/>
            </w:pPr>
            <w:r>
              <w:rPr>
                <w:color w:val="000000"/>
                <w:sz w:val="24"/>
              </w:rPr>
              <w:t>2,035,849.88</w:t>
            </w:r>
          </w:p>
        </w:tc>
        <w:tc>
          <w:tcPr>
            <w:tcW w:w="1175" w:type="dxa"/>
            <w:vAlign w:val="center"/>
          </w:tcPr>
          <w:p w:rsidR="00E2631F" w:rsidRDefault="00F667AF">
            <w:pPr>
              <w:jc w:val="right"/>
            </w:pPr>
            <w:r>
              <w:rPr>
                <w:color w:val="000000"/>
                <w:sz w:val="24"/>
              </w:rPr>
              <w:t>1.77</w:t>
            </w:r>
          </w:p>
        </w:tc>
      </w:tr>
      <w:tr w:rsidR="00E2631F">
        <w:trPr>
          <w:jc w:val="center"/>
        </w:trPr>
        <w:tc>
          <w:tcPr>
            <w:tcW w:w="1243" w:type="dxa"/>
            <w:vAlign w:val="center"/>
          </w:tcPr>
          <w:p w:rsidR="00E2631F" w:rsidRDefault="00F667AF">
            <w:pPr>
              <w:jc w:val="center"/>
            </w:pPr>
            <w:r>
              <w:rPr>
                <w:color w:val="000000"/>
                <w:sz w:val="24"/>
              </w:rPr>
              <w:t>9</w:t>
            </w:r>
          </w:p>
        </w:tc>
        <w:tc>
          <w:tcPr>
            <w:tcW w:w="971" w:type="dxa"/>
            <w:vAlign w:val="center"/>
          </w:tcPr>
          <w:p w:rsidR="00E2631F" w:rsidRDefault="00F667AF">
            <w:pPr>
              <w:jc w:val="center"/>
            </w:pPr>
            <w:r>
              <w:rPr>
                <w:color w:val="000000"/>
                <w:sz w:val="24"/>
              </w:rPr>
              <w:t>T-Mobile US Inc</w:t>
            </w:r>
          </w:p>
        </w:tc>
        <w:tc>
          <w:tcPr>
            <w:tcW w:w="993" w:type="dxa"/>
            <w:vAlign w:val="center"/>
          </w:tcPr>
          <w:p w:rsidR="00E2631F" w:rsidRDefault="00F667AF">
            <w:pPr>
              <w:jc w:val="center"/>
            </w:pPr>
            <w:r>
              <w:rPr>
                <w:color w:val="000000"/>
                <w:sz w:val="24"/>
              </w:rPr>
              <w:t>T-Mobile US</w:t>
            </w:r>
            <w:r>
              <w:rPr>
                <w:color w:val="000000"/>
                <w:sz w:val="24"/>
              </w:rPr>
              <w:t>有限公司</w:t>
            </w:r>
          </w:p>
        </w:tc>
        <w:tc>
          <w:tcPr>
            <w:tcW w:w="725" w:type="dxa"/>
            <w:vAlign w:val="center"/>
          </w:tcPr>
          <w:p w:rsidR="00E2631F" w:rsidRDefault="00F667AF">
            <w:pPr>
              <w:jc w:val="center"/>
            </w:pPr>
            <w:r>
              <w:rPr>
                <w:color w:val="000000"/>
                <w:sz w:val="24"/>
              </w:rPr>
              <w:t>TMUS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4,980</w:t>
            </w:r>
          </w:p>
        </w:tc>
        <w:tc>
          <w:tcPr>
            <w:tcW w:w="975" w:type="dxa"/>
            <w:vAlign w:val="center"/>
          </w:tcPr>
          <w:p w:rsidR="00E2631F" w:rsidRDefault="00F667AF">
            <w:pPr>
              <w:jc w:val="right"/>
            </w:pPr>
            <w:r>
              <w:rPr>
                <w:color w:val="000000"/>
                <w:sz w:val="24"/>
              </w:rPr>
              <w:t>1,968,802.41</w:t>
            </w:r>
          </w:p>
        </w:tc>
        <w:tc>
          <w:tcPr>
            <w:tcW w:w="1175" w:type="dxa"/>
            <w:vAlign w:val="center"/>
          </w:tcPr>
          <w:p w:rsidR="00E2631F" w:rsidRDefault="00F667AF">
            <w:pPr>
              <w:jc w:val="right"/>
            </w:pPr>
            <w:r>
              <w:rPr>
                <w:color w:val="000000"/>
                <w:sz w:val="24"/>
              </w:rPr>
              <w:t>1.71</w:t>
            </w:r>
          </w:p>
        </w:tc>
      </w:tr>
      <w:tr w:rsidR="00E2631F">
        <w:trPr>
          <w:jc w:val="center"/>
        </w:trPr>
        <w:tc>
          <w:tcPr>
            <w:tcW w:w="1243" w:type="dxa"/>
            <w:vAlign w:val="center"/>
          </w:tcPr>
          <w:p w:rsidR="00E2631F" w:rsidRDefault="00F667AF">
            <w:pPr>
              <w:jc w:val="center"/>
            </w:pPr>
            <w:r>
              <w:rPr>
                <w:color w:val="000000"/>
                <w:sz w:val="24"/>
              </w:rPr>
              <w:t>10</w:t>
            </w:r>
          </w:p>
        </w:tc>
        <w:tc>
          <w:tcPr>
            <w:tcW w:w="971" w:type="dxa"/>
            <w:vAlign w:val="center"/>
          </w:tcPr>
          <w:p w:rsidR="00E2631F" w:rsidRDefault="00F667AF">
            <w:pPr>
              <w:jc w:val="center"/>
            </w:pPr>
            <w:r>
              <w:rPr>
                <w:color w:val="000000"/>
                <w:sz w:val="24"/>
              </w:rPr>
              <w:t>Apple Inc</w:t>
            </w:r>
          </w:p>
        </w:tc>
        <w:tc>
          <w:tcPr>
            <w:tcW w:w="993" w:type="dxa"/>
            <w:vAlign w:val="center"/>
          </w:tcPr>
          <w:p w:rsidR="00E2631F" w:rsidRDefault="00F667AF">
            <w:pPr>
              <w:jc w:val="center"/>
            </w:pPr>
            <w:r>
              <w:rPr>
                <w:color w:val="000000"/>
                <w:sz w:val="24"/>
              </w:rPr>
              <w:t>苹果公司</w:t>
            </w:r>
          </w:p>
        </w:tc>
        <w:tc>
          <w:tcPr>
            <w:tcW w:w="725" w:type="dxa"/>
            <w:vAlign w:val="center"/>
          </w:tcPr>
          <w:p w:rsidR="00E2631F" w:rsidRDefault="00F667AF">
            <w:pPr>
              <w:jc w:val="center"/>
            </w:pPr>
            <w:r>
              <w:rPr>
                <w:color w:val="000000"/>
                <w:sz w:val="24"/>
              </w:rPr>
              <w:t>AAPL US</w:t>
            </w:r>
          </w:p>
        </w:tc>
        <w:tc>
          <w:tcPr>
            <w:tcW w:w="747" w:type="dxa"/>
            <w:vAlign w:val="center"/>
          </w:tcPr>
          <w:p w:rsidR="00E2631F" w:rsidRDefault="00F667AF">
            <w:pPr>
              <w:jc w:val="center"/>
            </w:pPr>
            <w:r>
              <w:rPr>
                <w:color w:val="000000"/>
                <w:sz w:val="24"/>
              </w:rPr>
              <w:t>美国证券交易所</w:t>
            </w:r>
          </w:p>
        </w:tc>
        <w:tc>
          <w:tcPr>
            <w:tcW w:w="975" w:type="dxa"/>
            <w:vAlign w:val="center"/>
          </w:tcPr>
          <w:p w:rsidR="00E2631F" w:rsidRDefault="00F667AF">
            <w:pPr>
              <w:jc w:val="center"/>
            </w:pPr>
            <w:r>
              <w:rPr>
                <w:color w:val="000000"/>
                <w:sz w:val="24"/>
              </w:rPr>
              <w:t>美国</w:t>
            </w:r>
          </w:p>
        </w:tc>
        <w:tc>
          <w:tcPr>
            <w:tcW w:w="1175" w:type="dxa"/>
            <w:vAlign w:val="center"/>
          </w:tcPr>
          <w:p w:rsidR="00E2631F" w:rsidRDefault="00F667AF">
            <w:pPr>
              <w:jc w:val="right"/>
            </w:pPr>
            <w:r>
              <w:rPr>
                <w:color w:val="000000"/>
                <w:sz w:val="24"/>
              </w:rPr>
              <w:t>1,583</w:t>
            </w:r>
          </w:p>
        </w:tc>
        <w:tc>
          <w:tcPr>
            <w:tcW w:w="975" w:type="dxa"/>
            <w:vAlign w:val="center"/>
          </w:tcPr>
          <w:p w:rsidR="00E2631F" w:rsidRDefault="00F667AF">
            <w:pPr>
              <w:jc w:val="right"/>
            </w:pPr>
            <w:r>
              <w:rPr>
                <w:color w:val="000000"/>
                <w:sz w:val="24"/>
              </w:rPr>
              <w:t>1,938,856.54</w:t>
            </w:r>
          </w:p>
        </w:tc>
        <w:tc>
          <w:tcPr>
            <w:tcW w:w="1175" w:type="dxa"/>
            <w:vAlign w:val="center"/>
          </w:tcPr>
          <w:p w:rsidR="00E2631F" w:rsidRDefault="00F667AF">
            <w:pPr>
              <w:jc w:val="right"/>
            </w:pPr>
            <w:r>
              <w:rPr>
                <w:color w:val="000000"/>
                <w:sz w:val="24"/>
              </w:rPr>
              <w:t>1.68</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lastRenderedPageBreak/>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w:t>
      </w:r>
      <w:proofErr w:type="gramStart"/>
      <w:r w:rsidRPr="008640AE">
        <w:rPr>
          <w:b/>
          <w:color w:val="000000"/>
          <w:kern w:val="0"/>
          <w:sz w:val="24"/>
        </w:rPr>
        <w:t>品投资</w:t>
      </w:r>
      <w:proofErr w:type="gramEnd"/>
      <w:r w:rsidRPr="008640AE">
        <w:rPr>
          <w:b/>
          <w:color w:val="000000"/>
          <w:kern w:val="0"/>
          <w:sz w:val="24"/>
        </w:rPr>
        <w:t>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334,644.76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831.86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92,759.01</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428,235.63</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w:t>
      </w:r>
      <w:proofErr w:type="gramStart"/>
      <w:r w:rsidRPr="008640AE">
        <w:rPr>
          <w:color w:val="000000"/>
          <w:kern w:val="0"/>
          <w:sz w:val="24"/>
        </w:rPr>
        <w:t>期末前</w:t>
      </w:r>
      <w:proofErr w:type="gramEnd"/>
      <w:r w:rsidRPr="008640AE">
        <w:rPr>
          <w:color w:val="000000"/>
          <w:kern w:val="0"/>
          <w:sz w:val="24"/>
        </w:rPr>
        <w:t>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w:t>
      </w:r>
      <w:proofErr w:type="gramStart"/>
      <w:r w:rsidRPr="008640AE">
        <w:rPr>
          <w:color w:val="000000"/>
          <w:sz w:val="24"/>
        </w:rPr>
        <w:t>期末前</w:t>
      </w:r>
      <w:proofErr w:type="gramEnd"/>
      <w:r w:rsidRPr="008640AE">
        <w:rPr>
          <w:color w:val="000000"/>
          <w:sz w:val="24"/>
        </w:rPr>
        <w:t>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lastRenderedPageBreak/>
              <w:t>报告期期</w:t>
            </w:r>
            <w:proofErr w:type="gramStart"/>
            <w:r w:rsidRPr="008640AE">
              <w:rPr>
                <w:color w:val="000000"/>
                <w:kern w:val="0"/>
                <w:sz w:val="24"/>
              </w:rPr>
              <w:t>初基金</w:t>
            </w:r>
            <w:proofErr w:type="gramEnd"/>
            <w:r w:rsidRPr="008640AE">
              <w:rPr>
                <w:color w:val="000000"/>
                <w:kern w:val="0"/>
                <w:sz w:val="24"/>
              </w:rPr>
              <w:t>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64,653,912.49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2,084,465.43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3,538,659.33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63,199,718.59</w:t>
            </w:r>
          </w:p>
        </w:tc>
      </w:tr>
    </w:tbl>
    <w:p w:rsidR="00E2631F" w:rsidRDefault="00F667AF">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w:t>
      </w:r>
      <w:proofErr w:type="gramStart"/>
      <w:r w:rsidRPr="008640AE">
        <w:rPr>
          <w:color w:val="000000"/>
          <w:kern w:val="0"/>
          <w:sz w:val="24"/>
          <w:szCs w:val="24"/>
        </w:rPr>
        <w:t>固有资金</w:t>
      </w:r>
      <w:proofErr w:type="gramEnd"/>
      <w:r w:rsidRPr="008640AE">
        <w:rPr>
          <w:color w:val="000000"/>
          <w:kern w:val="0"/>
          <w:sz w:val="24"/>
          <w:szCs w:val="24"/>
        </w:rPr>
        <w:t>投资本基金交易明细</w:t>
      </w:r>
    </w:p>
    <w:p w:rsidR="005E64DA" w:rsidRPr="008640AE" w:rsidRDefault="00F26867" w:rsidP="005546C0">
      <w:pPr>
        <w:autoSpaceDE w:val="0"/>
        <w:autoSpaceDN w:val="0"/>
        <w:adjustRightInd w:val="0"/>
        <w:spacing w:before="29" w:line="288" w:lineRule="auto"/>
        <w:jc w:val="left"/>
        <w:rPr>
          <w:color w:val="000000"/>
          <w:sz w:val="24"/>
        </w:rPr>
      </w:pPr>
      <w:r w:rsidRPr="00F26867">
        <w:rPr>
          <w:rFonts w:hint="eastAsia"/>
          <w:color w:val="000000"/>
          <w:sz w:val="24"/>
        </w:rPr>
        <w:t>本基金管理人本报告期内未进行本基金的申购、赎回、红利再投等；</w:t>
      </w:r>
      <w:bookmarkStart w:id="0" w:name="_GoBack"/>
      <w:bookmarkEnd w:id="0"/>
      <w:r w:rsidR="005E64DA" w:rsidRPr="008640AE">
        <w:rPr>
          <w:color w:val="000000"/>
          <w:sz w:val="24"/>
        </w:rPr>
        <w:t>本基金管理人本报告期末持有本基金</w:t>
      </w:r>
      <w:r w:rsidR="005E64DA" w:rsidRPr="008640AE">
        <w:rPr>
          <w:color w:val="000000"/>
          <w:sz w:val="24"/>
        </w:rPr>
        <w:t>27,024,464.49</w:t>
      </w:r>
      <w:r w:rsidR="005E64DA" w:rsidRPr="008640AE">
        <w:rPr>
          <w:color w:val="000000"/>
          <w:sz w:val="24"/>
        </w:rPr>
        <w:t>份，占本基金期末总份额的</w:t>
      </w:r>
      <w:r w:rsidR="005E64DA" w:rsidRPr="008640AE">
        <w:rPr>
          <w:color w:val="000000"/>
          <w:sz w:val="24"/>
        </w:rPr>
        <w:t>42.76%</w:t>
      </w:r>
      <w:r w:rsidR="005E64DA"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ED3DCF" w:rsidRDefault="00ED3DCF" w:rsidP="00C6069A">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3DCF"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Default="00ED3DCF">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E2631F">
        <w:tc>
          <w:tcPr>
            <w:tcW w:w="992" w:type="dxa"/>
            <w:vMerge w:val="restart"/>
          </w:tcPr>
          <w:p w:rsidR="00E2631F" w:rsidRDefault="00E2631F"/>
          <w:p w:rsidR="00E2631F" w:rsidRDefault="00F667AF">
            <w:r>
              <w:rPr>
                <w:rFonts w:ascii="宋体" w:hAnsi="宋体" w:hint="eastAsia"/>
                <w:bCs/>
                <w:color w:val="000000"/>
                <w:kern w:val="0"/>
                <w:szCs w:val="21"/>
              </w:rPr>
              <w:t>机构</w:t>
            </w:r>
          </w:p>
        </w:tc>
        <w:tc>
          <w:tcPr>
            <w:tcW w:w="991" w:type="dxa"/>
            <w:vAlign w:val="center"/>
          </w:tcPr>
          <w:p w:rsidR="00E2631F" w:rsidRDefault="00F667AF">
            <w:pPr>
              <w:jc w:val="center"/>
            </w:pPr>
            <w:r>
              <w:rPr>
                <w:rFonts w:ascii="宋体" w:hAnsi="宋体" w:hint="eastAsia"/>
                <w:color w:val="000000"/>
                <w:kern w:val="0"/>
                <w:szCs w:val="21"/>
              </w:rPr>
              <w:t>1</w:t>
            </w:r>
          </w:p>
        </w:tc>
        <w:tc>
          <w:tcPr>
            <w:tcW w:w="1843" w:type="dxa"/>
            <w:vAlign w:val="center"/>
          </w:tcPr>
          <w:p w:rsidR="00E2631F" w:rsidRDefault="00F667AF">
            <w:pPr>
              <w:jc w:val="center"/>
            </w:pPr>
            <w:r>
              <w:rPr>
                <w:rFonts w:ascii="宋体" w:hAnsi="宋体" w:hint="eastAsia"/>
                <w:color w:val="000000"/>
                <w:kern w:val="0"/>
                <w:szCs w:val="21"/>
              </w:rPr>
              <w:t>2018/4/1-2018/6/30</w:t>
            </w:r>
          </w:p>
        </w:tc>
        <w:tc>
          <w:tcPr>
            <w:tcW w:w="851" w:type="dxa"/>
            <w:vAlign w:val="center"/>
          </w:tcPr>
          <w:p w:rsidR="00E2631F" w:rsidRDefault="00F667AF">
            <w:pPr>
              <w:jc w:val="center"/>
            </w:pPr>
            <w:r>
              <w:rPr>
                <w:rFonts w:ascii="宋体" w:hAnsi="宋体" w:hint="eastAsia"/>
                <w:color w:val="000000"/>
                <w:kern w:val="0"/>
                <w:szCs w:val="21"/>
              </w:rPr>
              <w:t>27,024,464.49</w:t>
            </w:r>
          </w:p>
        </w:tc>
        <w:tc>
          <w:tcPr>
            <w:tcW w:w="850" w:type="dxa"/>
            <w:vAlign w:val="center"/>
          </w:tcPr>
          <w:p w:rsidR="00E2631F" w:rsidRDefault="00F667AF">
            <w:pPr>
              <w:jc w:val="center"/>
            </w:pPr>
            <w:r>
              <w:rPr>
                <w:rFonts w:ascii="宋体" w:hAnsi="宋体" w:hint="eastAsia"/>
                <w:color w:val="000000"/>
                <w:kern w:val="0"/>
                <w:szCs w:val="21"/>
              </w:rPr>
              <w:t>-</w:t>
            </w:r>
          </w:p>
        </w:tc>
        <w:tc>
          <w:tcPr>
            <w:tcW w:w="1134" w:type="dxa"/>
            <w:vAlign w:val="center"/>
          </w:tcPr>
          <w:p w:rsidR="00E2631F" w:rsidRDefault="00F667AF">
            <w:pPr>
              <w:jc w:val="center"/>
            </w:pPr>
            <w:r>
              <w:rPr>
                <w:rFonts w:ascii="宋体" w:hAnsi="宋体" w:hint="eastAsia"/>
                <w:color w:val="000000"/>
                <w:kern w:val="0"/>
                <w:szCs w:val="21"/>
              </w:rPr>
              <w:t>-</w:t>
            </w:r>
          </w:p>
        </w:tc>
        <w:tc>
          <w:tcPr>
            <w:tcW w:w="1419" w:type="dxa"/>
            <w:vAlign w:val="center"/>
          </w:tcPr>
          <w:p w:rsidR="00E2631F" w:rsidRDefault="00F667AF">
            <w:pPr>
              <w:jc w:val="center"/>
            </w:pPr>
            <w:r>
              <w:rPr>
                <w:rFonts w:ascii="宋体" w:hAnsi="宋体" w:hint="eastAsia"/>
                <w:color w:val="000000"/>
                <w:kern w:val="0"/>
                <w:szCs w:val="21"/>
              </w:rPr>
              <w:t>27,024,464.49</w:t>
            </w:r>
          </w:p>
        </w:tc>
        <w:tc>
          <w:tcPr>
            <w:tcW w:w="1130" w:type="dxa"/>
            <w:vAlign w:val="center"/>
          </w:tcPr>
          <w:p w:rsidR="00E2631F" w:rsidRDefault="00F667AF">
            <w:pPr>
              <w:jc w:val="center"/>
            </w:pPr>
            <w:r>
              <w:rPr>
                <w:rFonts w:ascii="宋体" w:hAnsi="宋体" w:hint="eastAsia"/>
                <w:color w:val="000000"/>
                <w:kern w:val="0"/>
                <w:szCs w:val="21"/>
              </w:rPr>
              <w:t>42.76%</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3DCF"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Default="00ED3DCF">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C6069A">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E2631F" w:rsidRDefault="00F667AF">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E2631F" w:rsidRDefault="00F667AF">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E2631F" w:rsidRDefault="00F667AF">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E2631F" w:rsidRDefault="00F667AF">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lastRenderedPageBreak/>
        <w:t>5</w:t>
      </w:r>
      <w:r>
        <w:rPr>
          <w:color w:val="000000"/>
          <w:sz w:val="24"/>
        </w:rPr>
        <w:t>、关于申请募集交银施罗德环球精选价值证券投资基金之法律意见书；</w:t>
      </w:r>
    </w:p>
    <w:p w:rsidR="00E2631F" w:rsidRDefault="00F667AF">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E2631F" w:rsidRDefault="00F667AF">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E2631F" w:rsidRDefault="00F667AF">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7AF" w:rsidRDefault="00F667AF">
      <w:r>
        <w:separator/>
      </w:r>
    </w:p>
  </w:endnote>
  <w:endnote w:type="continuationSeparator" w:id="0">
    <w:p w:rsidR="00F667AF" w:rsidRDefault="00F6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133C6D">
      <w:rPr>
        <w:kern w:val="0"/>
        <w:szCs w:val="21"/>
      </w:rPr>
      <w:fldChar w:fldCharType="begin"/>
    </w:r>
    <w:r>
      <w:rPr>
        <w:kern w:val="0"/>
        <w:szCs w:val="21"/>
      </w:rPr>
      <w:instrText xml:space="preserve"> PAGE </w:instrText>
    </w:r>
    <w:r w:rsidR="00133C6D">
      <w:rPr>
        <w:kern w:val="0"/>
        <w:szCs w:val="21"/>
      </w:rPr>
      <w:fldChar w:fldCharType="separate"/>
    </w:r>
    <w:r w:rsidR="00F26867">
      <w:rPr>
        <w:noProof/>
        <w:kern w:val="0"/>
        <w:szCs w:val="21"/>
      </w:rPr>
      <w:t>13</w:t>
    </w:r>
    <w:r w:rsidR="00133C6D">
      <w:rPr>
        <w:kern w:val="0"/>
        <w:szCs w:val="21"/>
      </w:rPr>
      <w:fldChar w:fldCharType="end"/>
    </w:r>
    <w:proofErr w:type="gramStart"/>
    <w:r>
      <w:rPr>
        <w:rFonts w:hint="eastAsia"/>
        <w:kern w:val="0"/>
        <w:szCs w:val="21"/>
      </w:rPr>
      <w:t>页共</w:t>
    </w:r>
    <w:proofErr w:type="gramEnd"/>
    <w:r w:rsidR="00133C6D">
      <w:rPr>
        <w:kern w:val="0"/>
        <w:szCs w:val="21"/>
      </w:rPr>
      <w:fldChar w:fldCharType="begin"/>
    </w:r>
    <w:r>
      <w:rPr>
        <w:kern w:val="0"/>
        <w:szCs w:val="21"/>
      </w:rPr>
      <w:instrText xml:space="preserve"> NUMPAGES </w:instrText>
    </w:r>
    <w:r w:rsidR="00133C6D">
      <w:rPr>
        <w:kern w:val="0"/>
        <w:szCs w:val="21"/>
      </w:rPr>
      <w:fldChar w:fldCharType="separate"/>
    </w:r>
    <w:r w:rsidR="00F26867">
      <w:rPr>
        <w:noProof/>
        <w:kern w:val="0"/>
        <w:szCs w:val="21"/>
      </w:rPr>
      <w:t>13</w:t>
    </w:r>
    <w:r w:rsidR="00133C6D">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133C6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7AF" w:rsidRDefault="00F667AF">
      <w:r>
        <w:separator/>
      </w:r>
    </w:p>
  </w:footnote>
  <w:footnote w:type="continuationSeparator" w:id="0">
    <w:p w:rsidR="00F667AF" w:rsidRDefault="00F667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交银施罗德环球精选价值证券投资基金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2631F"/>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26867"/>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667AF"/>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059"/>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674A17-B9FB-4C3A-B7A7-ACBB55CF9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106</TotalTime>
  <Pages>13</Pages>
  <Words>1157</Words>
  <Characters>6596</Characters>
  <Application>Microsoft Office Word</Application>
  <DocSecurity>0</DocSecurity>
  <Lines>54</Lines>
  <Paragraphs>15</Paragraphs>
  <ScaleCrop>false</ScaleCrop>
  <Company>TRT. Ltd. Co.</Company>
  <LinksUpToDate>false</LinksUpToDate>
  <CharactersWithSpaces>7738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241</cp:revision>
  <cp:lastPrinted>2007-07-19T00:46:00Z</cp:lastPrinted>
  <dcterms:created xsi:type="dcterms:W3CDTF">2013-08-01T05:26:00Z</dcterms:created>
  <dcterms:modified xsi:type="dcterms:W3CDTF">2018-07-16T07:49:00Z</dcterms:modified>
</cp:coreProperties>
</file>