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交银施罗德持续成长主题混合型证券投资基金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30D47" w:rsidRDefault="005333E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12</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1,901,625,709.58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w:t>
            </w:r>
            <w:r w:rsidRPr="00414345">
              <w:rPr>
                <w:color w:val="000000"/>
                <w:kern w:val="0"/>
                <w:sz w:val="24"/>
                <w:szCs w:val="24"/>
              </w:rPr>
              <w:lastRenderedPageBreak/>
              <w:t>评价，精选个股，力争实现基金资产的长期稳定增值。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33333" w:rsidRPr="00414345" w:rsidTr="00D33333">
        <w:trPr>
          <w:jc w:val="center"/>
        </w:trPr>
        <w:tc>
          <w:tcPr>
            <w:tcW w:w="3607"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5261"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12</w:t>
            </w:r>
            <w:r w:rsidRPr="00414345">
              <w:rPr>
                <w:color w:val="000000"/>
                <w:sz w:val="24"/>
                <w:szCs w:val="24"/>
              </w:rPr>
              <w:t>日（基金合同生效日）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33333" w:rsidRPr="00414345" w:rsidTr="00D33333">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30,625,040.52</w:t>
            </w:r>
          </w:p>
        </w:tc>
      </w:tr>
      <w:tr w:rsidR="00D33333" w:rsidRPr="00414345" w:rsidTr="00D33333">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125,703,716.22</w:t>
            </w:r>
          </w:p>
        </w:tc>
      </w:tr>
      <w:tr w:rsidR="00D33333" w:rsidRPr="00414345" w:rsidTr="00D33333">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0.0607</w:t>
            </w:r>
          </w:p>
        </w:tc>
      </w:tr>
      <w:tr w:rsidR="00D33333" w:rsidRPr="00414345" w:rsidTr="00D33333">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2,020,461,972.66</w:t>
            </w:r>
          </w:p>
        </w:tc>
      </w:tr>
      <w:tr w:rsidR="00D33333" w:rsidRPr="00414345" w:rsidTr="00D33333">
        <w:trPr>
          <w:trHeight w:val="158"/>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1.0625</w:t>
            </w:r>
          </w:p>
        </w:tc>
      </w:tr>
    </w:tbl>
    <w:p w:rsidR="00D33333" w:rsidRDefault="00D33333" w:rsidP="00D333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w:t>
      </w:r>
      <w:r w:rsidR="00175EA7">
        <w:rPr>
          <w:color w:val="000000"/>
          <w:sz w:val="24"/>
          <w:szCs w:val="24"/>
        </w:rPr>
        <w:t>购或交易基金的各项费用，计入费用后的实际收益水平要低于所列数字</w:t>
      </w:r>
      <w:r w:rsidR="005333E2">
        <w:rPr>
          <w:rFonts w:hint="eastAsia"/>
          <w:color w:val="000000"/>
          <w:sz w:val="24"/>
          <w:szCs w:val="24"/>
        </w:rPr>
        <w:t>；</w:t>
      </w:r>
    </w:p>
    <w:p w:rsidR="00D33333" w:rsidRPr="00414345" w:rsidRDefault="00D33333" w:rsidP="00D33333">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w:t>
      </w:r>
      <w:r w:rsidR="005333E2">
        <w:rPr>
          <w:color w:val="000000"/>
          <w:sz w:val="24"/>
          <w:szCs w:val="24"/>
        </w:rPr>
        <w:t>费用后的余额，本期利润为本期已实现收益加上本期公允价值变动收益</w:t>
      </w:r>
      <w:r w:rsidR="005333E2">
        <w:rPr>
          <w:rFonts w:hint="eastAsia"/>
          <w:color w:val="000000"/>
          <w:sz w:val="24"/>
          <w:szCs w:val="24"/>
        </w:rPr>
        <w:t>；</w:t>
      </w:r>
    </w:p>
    <w:p w:rsidR="005E3FBF" w:rsidRPr="005E3FBF" w:rsidRDefault="005E3FBF" w:rsidP="005E3FBF">
      <w:pPr>
        <w:autoSpaceDE w:val="0"/>
        <w:autoSpaceDN w:val="0"/>
        <w:adjustRightInd w:val="0"/>
        <w:spacing w:before="29" w:line="288" w:lineRule="auto"/>
        <w:ind w:firstLineChars="200" w:firstLine="480"/>
        <w:jc w:val="left"/>
        <w:rPr>
          <w:color w:val="000000"/>
          <w:sz w:val="24"/>
          <w:szCs w:val="24"/>
        </w:rPr>
      </w:pPr>
      <w:r w:rsidRPr="005E3FBF">
        <w:rPr>
          <w:rFonts w:hint="eastAsia"/>
          <w:color w:val="000000"/>
          <w:sz w:val="24"/>
          <w:szCs w:val="24"/>
        </w:rPr>
        <w:t>3</w:t>
      </w:r>
      <w:r w:rsidRPr="005E3FBF">
        <w:rPr>
          <w:rFonts w:hint="eastAsia"/>
          <w:color w:val="000000"/>
          <w:sz w:val="24"/>
          <w:szCs w:val="24"/>
        </w:rPr>
        <w:t>、本基金合同生效日为</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12</w:t>
      </w:r>
      <w:r w:rsidRPr="00414345">
        <w:rPr>
          <w:color w:val="000000"/>
          <w:sz w:val="24"/>
          <w:szCs w:val="24"/>
        </w:rPr>
        <w:t>日</w:t>
      </w:r>
      <w:r w:rsidRPr="005E3FBF">
        <w:rPr>
          <w:rFonts w:hint="eastAsia"/>
          <w:color w:val="000000"/>
          <w:sz w:val="24"/>
          <w:szCs w:val="24"/>
        </w:rPr>
        <w:t>，基金合同生效日至本报告期期末，本基金运作时间未满三个月。</w:t>
      </w:r>
    </w:p>
    <w:p w:rsidR="004061AC" w:rsidRPr="005E3FBF"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C868CF">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30D47" w:rsidTr="00C868CF">
        <w:trPr>
          <w:jc w:val="center"/>
        </w:trPr>
        <w:tc>
          <w:tcPr>
            <w:tcW w:w="1701" w:type="dxa"/>
            <w:vAlign w:val="center"/>
          </w:tcPr>
          <w:p w:rsidR="00730D47" w:rsidRPr="00183C58" w:rsidRDefault="005333E2">
            <w:pPr>
              <w:jc w:val="left"/>
            </w:pPr>
            <w:r w:rsidRPr="00183C58">
              <w:rPr>
                <w:color w:val="000000"/>
                <w:sz w:val="24"/>
                <w:szCs w:val="24"/>
              </w:rPr>
              <w:lastRenderedPageBreak/>
              <w:t>过去三个月</w:t>
            </w:r>
          </w:p>
        </w:tc>
        <w:tc>
          <w:tcPr>
            <w:tcW w:w="1045" w:type="dxa"/>
            <w:vAlign w:val="center"/>
          </w:tcPr>
          <w:p w:rsidR="00730D47" w:rsidRPr="00183C58" w:rsidRDefault="005F6F5E">
            <w:pPr>
              <w:jc w:val="center"/>
            </w:pPr>
            <w:r w:rsidRPr="00183C58">
              <w:rPr>
                <w:color w:val="000000"/>
                <w:sz w:val="24"/>
                <w:szCs w:val="24"/>
              </w:rPr>
              <w:t>6.2</w:t>
            </w:r>
            <w:r w:rsidRPr="00183C58">
              <w:rPr>
                <w:rFonts w:hint="eastAsia"/>
                <w:color w:val="000000"/>
                <w:sz w:val="24"/>
                <w:szCs w:val="24"/>
              </w:rPr>
              <w:t>5</w:t>
            </w:r>
            <w:r w:rsidR="005333E2" w:rsidRPr="00183C58">
              <w:rPr>
                <w:color w:val="000000"/>
                <w:sz w:val="24"/>
                <w:szCs w:val="24"/>
              </w:rPr>
              <w:t>%</w:t>
            </w:r>
          </w:p>
        </w:tc>
        <w:tc>
          <w:tcPr>
            <w:tcW w:w="1344" w:type="dxa"/>
            <w:vAlign w:val="center"/>
          </w:tcPr>
          <w:p w:rsidR="00730D47" w:rsidRPr="00183C58" w:rsidRDefault="005333E2">
            <w:pPr>
              <w:jc w:val="center"/>
            </w:pPr>
            <w:r w:rsidRPr="00183C58">
              <w:rPr>
                <w:color w:val="000000"/>
                <w:sz w:val="24"/>
                <w:szCs w:val="24"/>
              </w:rPr>
              <w:t>0.52%</w:t>
            </w:r>
          </w:p>
        </w:tc>
        <w:tc>
          <w:tcPr>
            <w:tcW w:w="1194" w:type="dxa"/>
            <w:vAlign w:val="center"/>
          </w:tcPr>
          <w:p w:rsidR="00730D47" w:rsidRPr="00183C58" w:rsidRDefault="005333E2">
            <w:pPr>
              <w:jc w:val="center"/>
            </w:pPr>
            <w:r w:rsidRPr="00183C58">
              <w:rPr>
                <w:color w:val="000000"/>
                <w:sz w:val="24"/>
                <w:szCs w:val="24"/>
              </w:rPr>
              <w:t>-5.01%</w:t>
            </w:r>
          </w:p>
        </w:tc>
        <w:tc>
          <w:tcPr>
            <w:tcW w:w="1492" w:type="dxa"/>
            <w:vAlign w:val="center"/>
          </w:tcPr>
          <w:p w:rsidR="00730D47" w:rsidRPr="00183C58" w:rsidRDefault="005333E2">
            <w:pPr>
              <w:jc w:val="center"/>
            </w:pPr>
            <w:r w:rsidRPr="00183C58">
              <w:rPr>
                <w:color w:val="000000"/>
                <w:sz w:val="24"/>
                <w:szCs w:val="24"/>
              </w:rPr>
              <w:t>0.92%</w:t>
            </w:r>
          </w:p>
        </w:tc>
        <w:tc>
          <w:tcPr>
            <w:tcW w:w="1194" w:type="dxa"/>
            <w:vAlign w:val="center"/>
          </w:tcPr>
          <w:p w:rsidR="00730D47" w:rsidRPr="00183C58" w:rsidRDefault="000E0DB4">
            <w:pPr>
              <w:jc w:val="center"/>
            </w:pPr>
            <w:r w:rsidRPr="00183C58">
              <w:rPr>
                <w:color w:val="000000"/>
                <w:sz w:val="24"/>
                <w:szCs w:val="24"/>
              </w:rPr>
              <w:t>11.2</w:t>
            </w:r>
            <w:r w:rsidRPr="00183C58">
              <w:rPr>
                <w:rFonts w:hint="eastAsia"/>
                <w:color w:val="000000"/>
                <w:sz w:val="24"/>
                <w:szCs w:val="24"/>
              </w:rPr>
              <w:t>6</w:t>
            </w:r>
            <w:r w:rsidR="005333E2" w:rsidRPr="00183C58">
              <w:rPr>
                <w:color w:val="000000"/>
                <w:sz w:val="24"/>
                <w:szCs w:val="24"/>
              </w:rPr>
              <w:t>%</w:t>
            </w:r>
          </w:p>
        </w:tc>
        <w:tc>
          <w:tcPr>
            <w:tcW w:w="1023" w:type="dxa"/>
            <w:vAlign w:val="center"/>
          </w:tcPr>
          <w:p w:rsidR="00730D47" w:rsidRDefault="005333E2">
            <w:pPr>
              <w:jc w:val="center"/>
            </w:pPr>
            <w:r w:rsidRPr="00183C58">
              <w:rPr>
                <w:color w:val="000000"/>
                <w:sz w:val="24"/>
                <w:szCs w:val="24"/>
              </w:rPr>
              <w:t>-0.40%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交银施罗德持续成长主题混合型证券投资基金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941F9E"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03A44D5E" wp14:editId="5138B7E9">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30D47">
        <w:trPr>
          <w:jc w:val="center"/>
        </w:trPr>
        <w:tc>
          <w:tcPr>
            <w:tcW w:w="846" w:type="dxa"/>
            <w:vAlign w:val="center"/>
          </w:tcPr>
          <w:p w:rsidR="00730D47" w:rsidRDefault="005333E2">
            <w:pPr>
              <w:jc w:val="center"/>
            </w:pPr>
            <w:r>
              <w:rPr>
                <w:color w:val="000000"/>
                <w:sz w:val="24"/>
                <w:szCs w:val="24"/>
              </w:rPr>
              <w:t>何帅</w:t>
            </w:r>
          </w:p>
        </w:tc>
        <w:tc>
          <w:tcPr>
            <w:tcW w:w="845" w:type="dxa"/>
            <w:vAlign w:val="center"/>
          </w:tcPr>
          <w:p w:rsidR="00730D47" w:rsidRDefault="005333E2">
            <w:pPr>
              <w:jc w:val="center"/>
            </w:pPr>
            <w:r>
              <w:rPr>
                <w:color w:val="000000"/>
                <w:sz w:val="24"/>
                <w:szCs w:val="24"/>
              </w:rPr>
              <w:t>交银优势行业混合、交银</w:t>
            </w:r>
            <w:r>
              <w:rPr>
                <w:color w:val="000000"/>
                <w:sz w:val="24"/>
                <w:szCs w:val="24"/>
              </w:rPr>
              <w:lastRenderedPageBreak/>
              <w:t>阿尔法核心混合、交银持续成长主题混合的基金经理</w:t>
            </w:r>
          </w:p>
        </w:tc>
        <w:tc>
          <w:tcPr>
            <w:tcW w:w="1549" w:type="dxa"/>
            <w:vAlign w:val="center"/>
          </w:tcPr>
          <w:p w:rsidR="00730D47" w:rsidRDefault="005333E2">
            <w:pPr>
              <w:jc w:val="center"/>
            </w:pPr>
            <w:r>
              <w:rPr>
                <w:color w:val="000000"/>
                <w:sz w:val="24"/>
                <w:szCs w:val="24"/>
              </w:rPr>
              <w:lastRenderedPageBreak/>
              <w:t>2018-01-12</w:t>
            </w:r>
          </w:p>
        </w:tc>
        <w:tc>
          <w:tcPr>
            <w:tcW w:w="1548" w:type="dxa"/>
            <w:vAlign w:val="center"/>
          </w:tcPr>
          <w:p w:rsidR="00730D47" w:rsidRDefault="005333E2">
            <w:pPr>
              <w:jc w:val="center"/>
            </w:pPr>
            <w:r>
              <w:rPr>
                <w:color w:val="000000"/>
                <w:sz w:val="24"/>
                <w:szCs w:val="24"/>
              </w:rPr>
              <w:t>-</w:t>
            </w:r>
          </w:p>
        </w:tc>
        <w:tc>
          <w:tcPr>
            <w:tcW w:w="1407" w:type="dxa"/>
            <w:vAlign w:val="center"/>
          </w:tcPr>
          <w:p w:rsidR="00730D47" w:rsidRDefault="005333E2">
            <w:pPr>
              <w:jc w:val="center"/>
            </w:pPr>
            <w:r>
              <w:rPr>
                <w:color w:val="000000"/>
                <w:sz w:val="24"/>
                <w:szCs w:val="24"/>
              </w:rPr>
              <w:t>8</w:t>
            </w:r>
            <w:r>
              <w:rPr>
                <w:color w:val="000000"/>
                <w:sz w:val="24"/>
                <w:szCs w:val="24"/>
              </w:rPr>
              <w:t>年</w:t>
            </w:r>
          </w:p>
        </w:tc>
        <w:tc>
          <w:tcPr>
            <w:tcW w:w="2673" w:type="dxa"/>
            <w:vAlign w:val="center"/>
          </w:tcPr>
          <w:p w:rsidR="00730D47" w:rsidRDefault="005333E2">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w:t>
            </w:r>
            <w:r>
              <w:rPr>
                <w:color w:val="000000"/>
                <w:sz w:val="24"/>
                <w:szCs w:val="24"/>
              </w:rPr>
              <w:lastRenderedPageBreak/>
              <w:t>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30D47" w:rsidRDefault="005333E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30D47" w:rsidRDefault="005333E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30D47" w:rsidRDefault="005333E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30D47" w:rsidRDefault="005333E2">
      <w:pPr>
        <w:spacing w:before="29" w:line="288" w:lineRule="auto"/>
        <w:ind w:firstLineChars="200" w:firstLine="480"/>
        <w:rPr>
          <w:color w:val="000000"/>
          <w:sz w:val="24"/>
          <w:szCs w:val="24"/>
        </w:rPr>
      </w:pPr>
      <w:r>
        <w:rPr>
          <w:color w:val="000000"/>
          <w:sz w:val="24"/>
          <w:szCs w:val="24"/>
        </w:rPr>
        <w:t>2018</w:t>
      </w:r>
      <w:r>
        <w:rPr>
          <w:color w:val="000000"/>
          <w:sz w:val="24"/>
          <w:szCs w:val="24"/>
        </w:rPr>
        <w:t>年一季度上证指数下跌</w:t>
      </w:r>
      <w:r>
        <w:rPr>
          <w:color w:val="000000"/>
          <w:sz w:val="24"/>
          <w:szCs w:val="24"/>
        </w:rPr>
        <w:t>4.2%</w:t>
      </w:r>
      <w:r>
        <w:rPr>
          <w:color w:val="000000"/>
          <w:sz w:val="24"/>
          <w:szCs w:val="24"/>
        </w:rPr>
        <w:t>，创业板指数上涨</w:t>
      </w:r>
      <w:r>
        <w:rPr>
          <w:color w:val="000000"/>
          <w:sz w:val="24"/>
          <w:szCs w:val="24"/>
        </w:rPr>
        <w:t>8.4%</w:t>
      </w:r>
      <w:r>
        <w:rPr>
          <w:color w:val="000000"/>
          <w:sz w:val="24"/>
          <w:szCs w:val="24"/>
        </w:rPr>
        <w:t>，</w:t>
      </w:r>
      <w:r>
        <w:rPr>
          <w:color w:val="000000"/>
          <w:sz w:val="24"/>
          <w:szCs w:val="24"/>
        </w:rPr>
        <w:t>A</w:t>
      </w:r>
      <w:r>
        <w:rPr>
          <w:color w:val="000000"/>
          <w:sz w:val="24"/>
          <w:szCs w:val="24"/>
        </w:rPr>
        <w:t>股市场波动率明显加大。</w:t>
      </w:r>
    </w:p>
    <w:p w:rsidR="00730D47" w:rsidRDefault="005333E2">
      <w:pPr>
        <w:spacing w:before="29" w:line="288" w:lineRule="auto"/>
        <w:ind w:firstLineChars="200" w:firstLine="480"/>
        <w:rPr>
          <w:color w:val="000000"/>
          <w:sz w:val="24"/>
          <w:szCs w:val="24"/>
        </w:rPr>
      </w:pPr>
      <w:r>
        <w:rPr>
          <w:color w:val="000000"/>
          <w:sz w:val="24"/>
          <w:szCs w:val="24"/>
        </w:rPr>
        <w:t>本基金在一季度超额收益明显，主要归因于持有的公司短期股价表现较好，我们持有的公司的经营领域主要在行业软件服务、第三方检测服务、医疗健康服务、出版及广告行业等。</w:t>
      </w:r>
    </w:p>
    <w:p w:rsidR="00730D47" w:rsidRDefault="005333E2">
      <w:pPr>
        <w:spacing w:before="29" w:line="288" w:lineRule="auto"/>
        <w:ind w:firstLineChars="200" w:firstLine="480"/>
        <w:rPr>
          <w:color w:val="000000"/>
          <w:sz w:val="24"/>
          <w:szCs w:val="24"/>
        </w:rPr>
      </w:pPr>
      <w:r>
        <w:rPr>
          <w:color w:val="000000"/>
          <w:sz w:val="24"/>
          <w:szCs w:val="24"/>
        </w:rPr>
        <w:t>对于经济、利率及股票市场，我们目前都持中性态度，我们预计经济将较为稳健，而利率阶段性上升趋势可能减缓，股票市场在此环境下可能以震荡走势为主。从中长期的角度，我们不认为市场存在所谓</w:t>
      </w:r>
      <w:r>
        <w:rPr>
          <w:color w:val="000000"/>
          <w:sz w:val="24"/>
          <w:szCs w:val="24"/>
        </w:rPr>
        <w:t>“</w:t>
      </w:r>
      <w:r>
        <w:rPr>
          <w:color w:val="000000"/>
          <w:sz w:val="24"/>
          <w:szCs w:val="24"/>
        </w:rPr>
        <w:t>大小盘风格</w:t>
      </w:r>
      <w:r>
        <w:rPr>
          <w:color w:val="000000"/>
          <w:sz w:val="24"/>
          <w:szCs w:val="24"/>
        </w:rPr>
        <w:t>”</w:t>
      </w:r>
      <w:r>
        <w:rPr>
          <w:color w:val="000000"/>
          <w:sz w:val="24"/>
          <w:szCs w:val="24"/>
        </w:rPr>
        <w:t>，只存在质地优秀或者平庸的公司。不过目前我们发现经过两三年的调整，很多中小市值的公司更具投资吸引力，当前价格相对于公司合理的价值具有更高的预期收益率，所以短期我们认为所谓</w:t>
      </w:r>
      <w:r>
        <w:rPr>
          <w:color w:val="000000"/>
          <w:sz w:val="24"/>
          <w:szCs w:val="24"/>
        </w:rPr>
        <w:t>“</w:t>
      </w:r>
      <w:r>
        <w:rPr>
          <w:color w:val="000000"/>
          <w:sz w:val="24"/>
          <w:szCs w:val="24"/>
        </w:rPr>
        <w:t>成长股</w:t>
      </w:r>
      <w:r>
        <w:rPr>
          <w:color w:val="000000"/>
          <w:sz w:val="24"/>
          <w:szCs w:val="24"/>
        </w:rPr>
        <w:t>”</w:t>
      </w:r>
      <w:r>
        <w:rPr>
          <w:color w:val="000000"/>
          <w:sz w:val="24"/>
          <w:szCs w:val="24"/>
        </w:rPr>
        <w:t>或者中小市值的板块机会可能相对更好。</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我们希望通过深度研究，找到需求可持续增长的行业以及竞争力可持续拓宽的公司，以期获利于公司价值的可持续成长，并希望能够以此持续为持有人获得超额收益。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1.0625</w:t>
      </w:r>
      <w:r w:rsidRPr="00414345">
        <w:rPr>
          <w:color w:val="000000"/>
          <w:sz w:val="24"/>
          <w:szCs w:val="24"/>
        </w:rPr>
        <w:t>元，本报告期份额净值增长率为</w:t>
      </w:r>
      <w:r w:rsidR="000D003F" w:rsidRPr="00183C58">
        <w:rPr>
          <w:color w:val="000000"/>
          <w:sz w:val="24"/>
          <w:szCs w:val="24"/>
        </w:rPr>
        <w:t>6.2</w:t>
      </w:r>
      <w:r w:rsidR="000D003F" w:rsidRPr="00183C58">
        <w:rPr>
          <w:rFonts w:hint="eastAsia"/>
          <w:color w:val="000000"/>
          <w:sz w:val="24"/>
          <w:szCs w:val="24"/>
        </w:rPr>
        <w:t>5</w:t>
      </w:r>
      <w:r w:rsidR="000D003F" w:rsidRPr="00183C58">
        <w:rPr>
          <w:color w:val="000000"/>
          <w:sz w:val="24"/>
          <w:szCs w:val="24"/>
        </w:rPr>
        <w:t>%</w:t>
      </w:r>
      <w:r w:rsidRPr="00414345">
        <w:rPr>
          <w:color w:val="000000"/>
          <w:sz w:val="24"/>
          <w:szCs w:val="24"/>
        </w:rPr>
        <w:t>，同期业绩比较基准增长率为</w:t>
      </w:r>
      <w:r w:rsidRPr="00414345">
        <w:rPr>
          <w:color w:val="000000"/>
          <w:sz w:val="24"/>
          <w:szCs w:val="24"/>
        </w:rPr>
        <w:t>-5.01%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1,023,165,500.20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1,023,165,500.20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700,000,000.00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33.30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361,181,267.87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17.18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17,684,615.14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2,102,031,383.21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278,515,966.71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19,213,350.87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366,265,352.87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37,542,699.33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59,034,854.40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82,488,897.61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97,610,195.40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24,509,717.74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57,947,805.65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1,023,165,500.20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50.64</w:t>
            </w:r>
          </w:p>
        </w:tc>
      </w:tr>
    </w:tbl>
    <w:p w:rsidR="001C6DBE" w:rsidRDefault="001C6DB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bookmarkStart w:id="0" w:name="_GoBack"/>
      <w:bookmarkEnd w:id="0"/>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30D47">
        <w:trPr>
          <w:jc w:val="center"/>
        </w:trPr>
        <w:tc>
          <w:tcPr>
            <w:tcW w:w="855" w:type="dxa"/>
            <w:vAlign w:val="center"/>
          </w:tcPr>
          <w:p w:rsidR="00730D47" w:rsidRDefault="005333E2">
            <w:pPr>
              <w:jc w:val="center"/>
            </w:pPr>
            <w:r>
              <w:rPr>
                <w:color w:val="000000"/>
                <w:sz w:val="24"/>
                <w:szCs w:val="24"/>
              </w:rPr>
              <w:t>1</w:t>
            </w:r>
          </w:p>
        </w:tc>
        <w:tc>
          <w:tcPr>
            <w:tcW w:w="1334" w:type="dxa"/>
            <w:vAlign w:val="center"/>
          </w:tcPr>
          <w:p w:rsidR="00730D47" w:rsidRDefault="005333E2">
            <w:pPr>
              <w:jc w:val="center"/>
            </w:pPr>
            <w:r>
              <w:rPr>
                <w:color w:val="000000"/>
                <w:sz w:val="24"/>
                <w:szCs w:val="24"/>
              </w:rPr>
              <w:t>300365</w:t>
            </w:r>
          </w:p>
        </w:tc>
        <w:tc>
          <w:tcPr>
            <w:tcW w:w="1777" w:type="dxa"/>
            <w:vAlign w:val="center"/>
          </w:tcPr>
          <w:p w:rsidR="00730D47" w:rsidRDefault="005333E2">
            <w:pPr>
              <w:jc w:val="center"/>
            </w:pPr>
            <w:r>
              <w:rPr>
                <w:color w:val="000000"/>
                <w:sz w:val="24"/>
                <w:szCs w:val="24"/>
              </w:rPr>
              <w:t>恒华科技</w:t>
            </w:r>
          </w:p>
        </w:tc>
        <w:tc>
          <w:tcPr>
            <w:tcW w:w="1334" w:type="dxa"/>
            <w:vAlign w:val="center"/>
          </w:tcPr>
          <w:p w:rsidR="00730D47" w:rsidRDefault="005333E2">
            <w:pPr>
              <w:jc w:val="right"/>
            </w:pPr>
            <w:r>
              <w:rPr>
                <w:color w:val="000000"/>
                <w:sz w:val="24"/>
                <w:szCs w:val="24"/>
              </w:rPr>
              <w:t>2,718,888</w:t>
            </w:r>
          </w:p>
        </w:tc>
        <w:tc>
          <w:tcPr>
            <w:tcW w:w="1924" w:type="dxa"/>
            <w:vAlign w:val="center"/>
          </w:tcPr>
          <w:p w:rsidR="00730D47" w:rsidRDefault="005333E2">
            <w:pPr>
              <w:jc w:val="right"/>
            </w:pPr>
            <w:r>
              <w:rPr>
                <w:color w:val="000000"/>
                <w:sz w:val="24"/>
                <w:szCs w:val="24"/>
              </w:rPr>
              <w:t>122,322,771.12</w:t>
            </w:r>
          </w:p>
        </w:tc>
        <w:tc>
          <w:tcPr>
            <w:tcW w:w="1644" w:type="dxa"/>
            <w:vAlign w:val="center"/>
          </w:tcPr>
          <w:p w:rsidR="00730D47" w:rsidRDefault="005333E2">
            <w:pPr>
              <w:jc w:val="right"/>
            </w:pPr>
            <w:r>
              <w:rPr>
                <w:color w:val="000000"/>
                <w:sz w:val="24"/>
                <w:szCs w:val="24"/>
              </w:rPr>
              <w:t>6.05</w:t>
            </w:r>
          </w:p>
        </w:tc>
      </w:tr>
      <w:tr w:rsidR="00730D47">
        <w:trPr>
          <w:jc w:val="center"/>
        </w:trPr>
        <w:tc>
          <w:tcPr>
            <w:tcW w:w="855" w:type="dxa"/>
            <w:vAlign w:val="center"/>
          </w:tcPr>
          <w:p w:rsidR="00730D47" w:rsidRDefault="005333E2">
            <w:pPr>
              <w:jc w:val="center"/>
            </w:pPr>
            <w:r>
              <w:rPr>
                <w:color w:val="000000"/>
                <w:sz w:val="24"/>
                <w:szCs w:val="24"/>
              </w:rPr>
              <w:t>2</w:t>
            </w:r>
          </w:p>
        </w:tc>
        <w:tc>
          <w:tcPr>
            <w:tcW w:w="1334" w:type="dxa"/>
            <w:vAlign w:val="center"/>
          </w:tcPr>
          <w:p w:rsidR="00730D47" w:rsidRDefault="005333E2">
            <w:pPr>
              <w:jc w:val="center"/>
            </w:pPr>
            <w:r>
              <w:rPr>
                <w:color w:val="000000"/>
                <w:sz w:val="24"/>
                <w:szCs w:val="24"/>
              </w:rPr>
              <w:t>300188</w:t>
            </w:r>
          </w:p>
        </w:tc>
        <w:tc>
          <w:tcPr>
            <w:tcW w:w="1777" w:type="dxa"/>
            <w:vAlign w:val="center"/>
          </w:tcPr>
          <w:p w:rsidR="00730D47" w:rsidRDefault="005333E2">
            <w:pPr>
              <w:jc w:val="center"/>
            </w:pPr>
            <w:r>
              <w:rPr>
                <w:color w:val="000000"/>
                <w:sz w:val="24"/>
                <w:szCs w:val="24"/>
              </w:rPr>
              <w:t>美亚柏科</w:t>
            </w:r>
          </w:p>
        </w:tc>
        <w:tc>
          <w:tcPr>
            <w:tcW w:w="1334" w:type="dxa"/>
            <w:vAlign w:val="center"/>
          </w:tcPr>
          <w:p w:rsidR="00730D47" w:rsidRDefault="005333E2">
            <w:pPr>
              <w:jc w:val="right"/>
            </w:pPr>
            <w:r>
              <w:rPr>
                <w:color w:val="000000"/>
                <w:sz w:val="24"/>
                <w:szCs w:val="24"/>
              </w:rPr>
              <w:t>3,283,755</w:t>
            </w:r>
          </w:p>
        </w:tc>
        <w:tc>
          <w:tcPr>
            <w:tcW w:w="1924" w:type="dxa"/>
            <w:vAlign w:val="center"/>
          </w:tcPr>
          <w:p w:rsidR="00730D47" w:rsidRDefault="005333E2">
            <w:pPr>
              <w:jc w:val="right"/>
            </w:pPr>
            <w:r>
              <w:rPr>
                <w:color w:val="000000"/>
                <w:sz w:val="24"/>
                <w:szCs w:val="24"/>
              </w:rPr>
              <w:t>101,796,405.00</w:t>
            </w:r>
          </w:p>
        </w:tc>
        <w:tc>
          <w:tcPr>
            <w:tcW w:w="1644" w:type="dxa"/>
            <w:vAlign w:val="center"/>
          </w:tcPr>
          <w:p w:rsidR="00730D47" w:rsidRDefault="005333E2">
            <w:pPr>
              <w:jc w:val="right"/>
            </w:pPr>
            <w:r>
              <w:rPr>
                <w:color w:val="000000"/>
                <w:sz w:val="24"/>
                <w:szCs w:val="24"/>
              </w:rPr>
              <w:t>5.04</w:t>
            </w:r>
          </w:p>
        </w:tc>
      </w:tr>
      <w:tr w:rsidR="00730D47">
        <w:trPr>
          <w:jc w:val="center"/>
        </w:trPr>
        <w:tc>
          <w:tcPr>
            <w:tcW w:w="855" w:type="dxa"/>
            <w:vAlign w:val="center"/>
          </w:tcPr>
          <w:p w:rsidR="00730D47" w:rsidRDefault="005333E2">
            <w:pPr>
              <w:jc w:val="center"/>
            </w:pPr>
            <w:r>
              <w:rPr>
                <w:color w:val="000000"/>
                <w:sz w:val="24"/>
                <w:szCs w:val="24"/>
              </w:rPr>
              <w:t>3</w:t>
            </w:r>
          </w:p>
        </w:tc>
        <w:tc>
          <w:tcPr>
            <w:tcW w:w="1334" w:type="dxa"/>
            <w:vAlign w:val="center"/>
          </w:tcPr>
          <w:p w:rsidR="00730D47" w:rsidRDefault="005333E2">
            <w:pPr>
              <w:jc w:val="center"/>
            </w:pPr>
            <w:r>
              <w:rPr>
                <w:color w:val="000000"/>
                <w:sz w:val="24"/>
                <w:szCs w:val="24"/>
              </w:rPr>
              <w:t>300012</w:t>
            </w:r>
          </w:p>
        </w:tc>
        <w:tc>
          <w:tcPr>
            <w:tcW w:w="1777" w:type="dxa"/>
            <w:vAlign w:val="center"/>
          </w:tcPr>
          <w:p w:rsidR="00730D47" w:rsidRDefault="005333E2">
            <w:pPr>
              <w:jc w:val="center"/>
            </w:pPr>
            <w:r>
              <w:rPr>
                <w:color w:val="000000"/>
                <w:sz w:val="24"/>
                <w:szCs w:val="24"/>
              </w:rPr>
              <w:t>华测检测</w:t>
            </w:r>
          </w:p>
        </w:tc>
        <w:tc>
          <w:tcPr>
            <w:tcW w:w="1334" w:type="dxa"/>
            <w:vAlign w:val="center"/>
          </w:tcPr>
          <w:p w:rsidR="00730D47" w:rsidRDefault="005333E2">
            <w:pPr>
              <w:jc w:val="right"/>
            </w:pPr>
            <w:r>
              <w:rPr>
                <w:color w:val="000000"/>
                <w:sz w:val="24"/>
                <w:szCs w:val="24"/>
              </w:rPr>
              <w:t>19,139,254</w:t>
            </w:r>
          </w:p>
        </w:tc>
        <w:tc>
          <w:tcPr>
            <w:tcW w:w="1924" w:type="dxa"/>
            <w:vAlign w:val="center"/>
          </w:tcPr>
          <w:p w:rsidR="00730D47" w:rsidRDefault="005333E2">
            <w:pPr>
              <w:jc w:val="right"/>
            </w:pPr>
            <w:r>
              <w:rPr>
                <w:color w:val="000000"/>
                <w:sz w:val="24"/>
                <w:szCs w:val="24"/>
              </w:rPr>
              <w:t>97,610,195.40</w:t>
            </w:r>
          </w:p>
        </w:tc>
        <w:tc>
          <w:tcPr>
            <w:tcW w:w="1644" w:type="dxa"/>
            <w:vAlign w:val="center"/>
          </w:tcPr>
          <w:p w:rsidR="00730D47" w:rsidRDefault="005333E2">
            <w:pPr>
              <w:jc w:val="right"/>
            </w:pPr>
            <w:r>
              <w:rPr>
                <w:color w:val="000000"/>
                <w:sz w:val="24"/>
                <w:szCs w:val="24"/>
              </w:rPr>
              <w:t>4.83</w:t>
            </w:r>
          </w:p>
        </w:tc>
      </w:tr>
      <w:tr w:rsidR="00730D47">
        <w:trPr>
          <w:jc w:val="center"/>
        </w:trPr>
        <w:tc>
          <w:tcPr>
            <w:tcW w:w="855" w:type="dxa"/>
            <w:vAlign w:val="center"/>
          </w:tcPr>
          <w:p w:rsidR="00730D47" w:rsidRDefault="005333E2">
            <w:pPr>
              <w:jc w:val="center"/>
            </w:pPr>
            <w:r>
              <w:rPr>
                <w:color w:val="000000"/>
                <w:sz w:val="24"/>
                <w:szCs w:val="24"/>
              </w:rPr>
              <w:t>4</w:t>
            </w:r>
          </w:p>
        </w:tc>
        <w:tc>
          <w:tcPr>
            <w:tcW w:w="1334" w:type="dxa"/>
            <w:vAlign w:val="center"/>
          </w:tcPr>
          <w:p w:rsidR="00730D47" w:rsidRDefault="005333E2">
            <w:pPr>
              <w:jc w:val="center"/>
            </w:pPr>
            <w:r>
              <w:rPr>
                <w:color w:val="000000"/>
                <w:sz w:val="24"/>
                <w:szCs w:val="24"/>
              </w:rPr>
              <w:t>002027</w:t>
            </w:r>
          </w:p>
        </w:tc>
        <w:tc>
          <w:tcPr>
            <w:tcW w:w="1777" w:type="dxa"/>
            <w:vAlign w:val="center"/>
          </w:tcPr>
          <w:p w:rsidR="00730D47" w:rsidRDefault="005333E2">
            <w:pPr>
              <w:jc w:val="center"/>
            </w:pPr>
            <w:r>
              <w:rPr>
                <w:color w:val="000000"/>
                <w:sz w:val="24"/>
                <w:szCs w:val="24"/>
              </w:rPr>
              <w:t>分众传媒</w:t>
            </w:r>
          </w:p>
        </w:tc>
        <w:tc>
          <w:tcPr>
            <w:tcW w:w="1334" w:type="dxa"/>
            <w:vAlign w:val="center"/>
          </w:tcPr>
          <w:p w:rsidR="00730D47" w:rsidRDefault="005333E2">
            <w:pPr>
              <w:jc w:val="right"/>
            </w:pPr>
            <w:r>
              <w:rPr>
                <w:color w:val="000000"/>
                <w:sz w:val="24"/>
                <w:szCs w:val="24"/>
              </w:rPr>
              <w:t>6,399,449</w:t>
            </w:r>
          </w:p>
        </w:tc>
        <w:tc>
          <w:tcPr>
            <w:tcW w:w="1924" w:type="dxa"/>
            <w:vAlign w:val="center"/>
          </w:tcPr>
          <w:p w:rsidR="00730D47" w:rsidRDefault="005333E2">
            <w:pPr>
              <w:jc w:val="right"/>
            </w:pPr>
            <w:r>
              <w:rPr>
                <w:color w:val="000000"/>
                <w:sz w:val="24"/>
                <w:szCs w:val="24"/>
              </w:rPr>
              <w:t>82,488,897.61</w:t>
            </w:r>
          </w:p>
        </w:tc>
        <w:tc>
          <w:tcPr>
            <w:tcW w:w="1644" w:type="dxa"/>
            <w:vAlign w:val="center"/>
          </w:tcPr>
          <w:p w:rsidR="00730D47" w:rsidRDefault="005333E2">
            <w:pPr>
              <w:jc w:val="right"/>
            </w:pPr>
            <w:r>
              <w:rPr>
                <w:color w:val="000000"/>
                <w:sz w:val="24"/>
                <w:szCs w:val="24"/>
              </w:rPr>
              <w:t>4.08</w:t>
            </w:r>
          </w:p>
        </w:tc>
      </w:tr>
      <w:tr w:rsidR="00730D47">
        <w:trPr>
          <w:jc w:val="center"/>
        </w:trPr>
        <w:tc>
          <w:tcPr>
            <w:tcW w:w="855" w:type="dxa"/>
            <w:vAlign w:val="center"/>
          </w:tcPr>
          <w:p w:rsidR="00730D47" w:rsidRDefault="005333E2">
            <w:pPr>
              <w:jc w:val="center"/>
            </w:pPr>
            <w:r>
              <w:rPr>
                <w:color w:val="000000"/>
                <w:sz w:val="24"/>
                <w:szCs w:val="24"/>
              </w:rPr>
              <w:t>5</w:t>
            </w:r>
          </w:p>
        </w:tc>
        <w:tc>
          <w:tcPr>
            <w:tcW w:w="1334" w:type="dxa"/>
            <w:vAlign w:val="center"/>
          </w:tcPr>
          <w:p w:rsidR="00730D47" w:rsidRDefault="005333E2">
            <w:pPr>
              <w:jc w:val="center"/>
            </w:pPr>
            <w:r>
              <w:rPr>
                <w:color w:val="000000"/>
                <w:sz w:val="24"/>
                <w:szCs w:val="24"/>
              </w:rPr>
              <w:t>601155</w:t>
            </w:r>
          </w:p>
        </w:tc>
        <w:tc>
          <w:tcPr>
            <w:tcW w:w="1777" w:type="dxa"/>
            <w:vAlign w:val="center"/>
          </w:tcPr>
          <w:p w:rsidR="00730D47" w:rsidRDefault="005333E2">
            <w:pPr>
              <w:jc w:val="center"/>
            </w:pPr>
            <w:r>
              <w:rPr>
                <w:color w:val="000000"/>
                <w:sz w:val="24"/>
                <w:szCs w:val="24"/>
              </w:rPr>
              <w:t>新城控股</w:t>
            </w:r>
          </w:p>
        </w:tc>
        <w:tc>
          <w:tcPr>
            <w:tcW w:w="1334" w:type="dxa"/>
            <w:vAlign w:val="center"/>
          </w:tcPr>
          <w:p w:rsidR="00730D47" w:rsidRDefault="005333E2">
            <w:pPr>
              <w:jc w:val="right"/>
            </w:pPr>
            <w:r>
              <w:rPr>
                <w:color w:val="000000"/>
                <w:sz w:val="24"/>
                <w:szCs w:val="24"/>
              </w:rPr>
              <w:t>1,678,080</w:t>
            </w:r>
          </w:p>
        </w:tc>
        <w:tc>
          <w:tcPr>
            <w:tcW w:w="1924" w:type="dxa"/>
            <w:vAlign w:val="center"/>
          </w:tcPr>
          <w:p w:rsidR="00730D47" w:rsidRDefault="005333E2">
            <w:pPr>
              <w:jc w:val="right"/>
            </w:pPr>
            <w:r>
              <w:rPr>
                <w:color w:val="000000"/>
                <w:sz w:val="24"/>
                <w:szCs w:val="24"/>
              </w:rPr>
              <w:t>59,034,854.40</w:t>
            </w:r>
          </w:p>
        </w:tc>
        <w:tc>
          <w:tcPr>
            <w:tcW w:w="1644" w:type="dxa"/>
            <w:vAlign w:val="center"/>
          </w:tcPr>
          <w:p w:rsidR="00730D47" w:rsidRDefault="005333E2">
            <w:pPr>
              <w:jc w:val="right"/>
            </w:pPr>
            <w:r>
              <w:rPr>
                <w:color w:val="000000"/>
                <w:sz w:val="24"/>
                <w:szCs w:val="24"/>
              </w:rPr>
              <w:t>2.92</w:t>
            </w:r>
          </w:p>
        </w:tc>
      </w:tr>
      <w:tr w:rsidR="00730D47">
        <w:trPr>
          <w:jc w:val="center"/>
        </w:trPr>
        <w:tc>
          <w:tcPr>
            <w:tcW w:w="855" w:type="dxa"/>
            <w:vAlign w:val="center"/>
          </w:tcPr>
          <w:p w:rsidR="00730D47" w:rsidRDefault="005333E2">
            <w:pPr>
              <w:jc w:val="center"/>
            </w:pPr>
            <w:r>
              <w:rPr>
                <w:color w:val="000000"/>
                <w:sz w:val="24"/>
                <w:szCs w:val="24"/>
              </w:rPr>
              <w:t>6</w:t>
            </w:r>
          </w:p>
        </w:tc>
        <w:tc>
          <w:tcPr>
            <w:tcW w:w="1334" w:type="dxa"/>
            <w:vAlign w:val="center"/>
          </w:tcPr>
          <w:p w:rsidR="00730D47" w:rsidRDefault="005333E2">
            <w:pPr>
              <w:jc w:val="center"/>
            </w:pPr>
            <w:r>
              <w:rPr>
                <w:color w:val="000000"/>
                <w:sz w:val="24"/>
                <w:szCs w:val="24"/>
              </w:rPr>
              <w:t>603096</w:t>
            </w:r>
          </w:p>
        </w:tc>
        <w:tc>
          <w:tcPr>
            <w:tcW w:w="1777" w:type="dxa"/>
            <w:vAlign w:val="center"/>
          </w:tcPr>
          <w:p w:rsidR="00730D47" w:rsidRDefault="005333E2">
            <w:pPr>
              <w:jc w:val="center"/>
            </w:pPr>
            <w:r>
              <w:rPr>
                <w:color w:val="000000"/>
                <w:sz w:val="24"/>
                <w:szCs w:val="24"/>
              </w:rPr>
              <w:t>新经典</w:t>
            </w:r>
          </w:p>
        </w:tc>
        <w:tc>
          <w:tcPr>
            <w:tcW w:w="1334" w:type="dxa"/>
            <w:vAlign w:val="center"/>
          </w:tcPr>
          <w:p w:rsidR="00730D47" w:rsidRDefault="005333E2">
            <w:pPr>
              <w:jc w:val="right"/>
            </w:pPr>
            <w:r>
              <w:rPr>
                <w:color w:val="000000"/>
                <w:sz w:val="24"/>
                <w:szCs w:val="24"/>
              </w:rPr>
              <w:t>745,885</w:t>
            </w:r>
          </w:p>
        </w:tc>
        <w:tc>
          <w:tcPr>
            <w:tcW w:w="1924" w:type="dxa"/>
            <w:vAlign w:val="center"/>
          </w:tcPr>
          <w:p w:rsidR="00730D47" w:rsidRDefault="005333E2">
            <w:pPr>
              <w:jc w:val="right"/>
            </w:pPr>
            <w:r>
              <w:rPr>
                <w:color w:val="000000"/>
                <w:sz w:val="24"/>
                <w:szCs w:val="24"/>
              </w:rPr>
              <w:t>57,947,805.65</w:t>
            </w:r>
          </w:p>
        </w:tc>
        <w:tc>
          <w:tcPr>
            <w:tcW w:w="1644" w:type="dxa"/>
            <w:vAlign w:val="center"/>
          </w:tcPr>
          <w:p w:rsidR="00730D47" w:rsidRDefault="005333E2">
            <w:pPr>
              <w:jc w:val="right"/>
            </w:pPr>
            <w:r>
              <w:rPr>
                <w:color w:val="000000"/>
                <w:sz w:val="24"/>
                <w:szCs w:val="24"/>
              </w:rPr>
              <w:t>2.87</w:t>
            </w:r>
          </w:p>
        </w:tc>
      </w:tr>
      <w:tr w:rsidR="00730D47">
        <w:trPr>
          <w:jc w:val="center"/>
        </w:trPr>
        <w:tc>
          <w:tcPr>
            <w:tcW w:w="855" w:type="dxa"/>
            <w:vAlign w:val="center"/>
          </w:tcPr>
          <w:p w:rsidR="00730D47" w:rsidRDefault="005333E2">
            <w:pPr>
              <w:jc w:val="center"/>
            </w:pPr>
            <w:r>
              <w:rPr>
                <w:color w:val="000000"/>
                <w:sz w:val="24"/>
                <w:szCs w:val="24"/>
              </w:rPr>
              <w:t>7</w:t>
            </w:r>
          </w:p>
        </w:tc>
        <w:tc>
          <w:tcPr>
            <w:tcW w:w="1334" w:type="dxa"/>
            <w:vAlign w:val="center"/>
          </w:tcPr>
          <w:p w:rsidR="00730D47" w:rsidRDefault="005333E2">
            <w:pPr>
              <w:jc w:val="center"/>
            </w:pPr>
            <w:r>
              <w:rPr>
                <w:color w:val="000000"/>
                <w:sz w:val="24"/>
                <w:szCs w:val="24"/>
              </w:rPr>
              <w:t>601100</w:t>
            </w:r>
          </w:p>
        </w:tc>
        <w:tc>
          <w:tcPr>
            <w:tcW w:w="1777" w:type="dxa"/>
            <w:vAlign w:val="center"/>
          </w:tcPr>
          <w:p w:rsidR="00730D47" w:rsidRDefault="005333E2">
            <w:pPr>
              <w:jc w:val="center"/>
            </w:pPr>
            <w:r>
              <w:rPr>
                <w:color w:val="000000"/>
                <w:sz w:val="24"/>
                <w:szCs w:val="24"/>
              </w:rPr>
              <w:t>恒立液压</w:t>
            </w:r>
          </w:p>
        </w:tc>
        <w:tc>
          <w:tcPr>
            <w:tcW w:w="1334" w:type="dxa"/>
            <w:vAlign w:val="center"/>
          </w:tcPr>
          <w:p w:rsidR="00730D47" w:rsidRDefault="005333E2">
            <w:pPr>
              <w:jc w:val="right"/>
            </w:pPr>
            <w:r>
              <w:rPr>
                <w:color w:val="000000"/>
                <w:sz w:val="24"/>
                <w:szCs w:val="24"/>
              </w:rPr>
              <w:t>1,830,322</w:t>
            </w:r>
          </w:p>
        </w:tc>
        <w:tc>
          <w:tcPr>
            <w:tcW w:w="1924" w:type="dxa"/>
            <w:vAlign w:val="center"/>
          </w:tcPr>
          <w:p w:rsidR="00730D47" w:rsidRDefault="005333E2">
            <w:pPr>
              <w:jc w:val="right"/>
            </w:pPr>
            <w:r>
              <w:rPr>
                <w:color w:val="000000"/>
                <w:sz w:val="24"/>
                <w:szCs w:val="24"/>
              </w:rPr>
              <w:t>55,769,911.34</w:t>
            </w:r>
          </w:p>
        </w:tc>
        <w:tc>
          <w:tcPr>
            <w:tcW w:w="1644" w:type="dxa"/>
            <w:vAlign w:val="center"/>
          </w:tcPr>
          <w:p w:rsidR="00730D47" w:rsidRDefault="005333E2">
            <w:pPr>
              <w:jc w:val="right"/>
            </w:pPr>
            <w:r>
              <w:rPr>
                <w:color w:val="000000"/>
                <w:sz w:val="24"/>
                <w:szCs w:val="24"/>
              </w:rPr>
              <w:t>2.76</w:t>
            </w:r>
          </w:p>
        </w:tc>
      </w:tr>
      <w:tr w:rsidR="00730D47">
        <w:trPr>
          <w:jc w:val="center"/>
        </w:trPr>
        <w:tc>
          <w:tcPr>
            <w:tcW w:w="855" w:type="dxa"/>
            <w:vAlign w:val="center"/>
          </w:tcPr>
          <w:p w:rsidR="00730D47" w:rsidRDefault="005333E2">
            <w:pPr>
              <w:jc w:val="center"/>
            </w:pPr>
            <w:r>
              <w:rPr>
                <w:color w:val="000000"/>
                <w:sz w:val="24"/>
                <w:szCs w:val="24"/>
              </w:rPr>
              <w:t>8</w:t>
            </w:r>
          </w:p>
        </w:tc>
        <w:tc>
          <w:tcPr>
            <w:tcW w:w="1334" w:type="dxa"/>
            <w:vAlign w:val="center"/>
          </w:tcPr>
          <w:p w:rsidR="00730D47" w:rsidRDefault="005333E2">
            <w:pPr>
              <w:jc w:val="center"/>
            </w:pPr>
            <w:r>
              <w:rPr>
                <w:color w:val="000000"/>
                <w:sz w:val="24"/>
                <w:szCs w:val="24"/>
              </w:rPr>
              <w:t>002690</w:t>
            </w:r>
          </w:p>
        </w:tc>
        <w:tc>
          <w:tcPr>
            <w:tcW w:w="1777" w:type="dxa"/>
            <w:vAlign w:val="center"/>
          </w:tcPr>
          <w:p w:rsidR="00730D47" w:rsidRDefault="005333E2">
            <w:pPr>
              <w:jc w:val="center"/>
            </w:pPr>
            <w:r>
              <w:rPr>
                <w:color w:val="000000"/>
                <w:sz w:val="24"/>
                <w:szCs w:val="24"/>
              </w:rPr>
              <w:t>美亚光电</w:t>
            </w:r>
          </w:p>
        </w:tc>
        <w:tc>
          <w:tcPr>
            <w:tcW w:w="1334" w:type="dxa"/>
            <w:vAlign w:val="center"/>
          </w:tcPr>
          <w:p w:rsidR="00730D47" w:rsidRDefault="005333E2">
            <w:pPr>
              <w:jc w:val="right"/>
            </w:pPr>
            <w:r>
              <w:rPr>
                <w:color w:val="000000"/>
                <w:sz w:val="24"/>
                <w:szCs w:val="24"/>
              </w:rPr>
              <w:t>2,736,660</w:t>
            </w:r>
          </w:p>
        </w:tc>
        <w:tc>
          <w:tcPr>
            <w:tcW w:w="1924" w:type="dxa"/>
            <w:vAlign w:val="center"/>
          </w:tcPr>
          <w:p w:rsidR="00730D47" w:rsidRDefault="005333E2">
            <w:pPr>
              <w:jc w:val="right"/>
            </w:pPr>
            <w:r>
              <w:rPr>
                <w:color w:val="000000"/>
                <w:sz w:val="24"/>
                <w:szCs w:val="24"/>
              </w:rPr>
              <w:t>52,899,637.80</w:t>
            </w:r>
          </w:p>
        </w:tc>
        <w:tc>
          <w:tcPr>
            <w:tcW w:w="1644" w:type="dxa"/>
            <w:vAlign w:val="center"/>
          </w:tcPr>
          <w:p w:rsidR="00730D47" w:rsidRDefault="005333E2">
            <w:pPr>
              <w:jc w:val="right"/>
            </w:pPr>
            <w:r>
              <w:rPr>
                <w:color w:val="000000"/>
                <w:sz w:val="24"/>
                <w:szCs w:val="24"/>
              </w:rPr>
              <w:t>2.62</w:t>
            </w:r>
          </w:p>
        </w:tc>
      </w:tr>
      <w:tr w:rsidR="00730D47">
        <w:trPr>
          <w:jc w:val="center"/>
        </w:trPr>
        <w:tc>
          <w:tcPr>
            <w:tcW w:w="855" w:type="dxa"/>
            <w:vAlign w:val="center"/>
          </w:tcPr>
          <w:p w:rsidR="00730D47" w:rsidRDefault="005333E2">
            <w:pPr>
              <w:jc w:val="center"/>
            </w:pPr>
            <w:r>
              <w:rPr>
                <w:color w:val="000000"/>
                <w:sz w:val="24"/>
                <w:szCs w:val="24"/>
              </w:rPr>
              <w:t>9</w:t>
            </w:r>
          </w:p>
        </w:tc>
        <w:tc>
          <w:tcPr>
            <w:tcW w:w="1334" w:type="dxa"/>
            <w:vAlign w:val="center"/>
          </w:tcPr>
          <w:p w:rsidR="00730D47" w:rsidRDefault="005333E2">
            <w:pPr>
              <w:jc w:val="center"/>
            </w:pPr>
            <w:r>
              <w:rPr>
                <w:color w:val="000000"/>
                <w:sz w:val="24"/>
                <w:szCs w:val="24"/>
              </w:rPr>
              <w:t>300271</w:t>
            </w:r>
          </w:p>
        </w:tc>
        <w:tc>
          <w:tcPr>
            <w:tcW w:w="1777" w:type="dxa"/>
            <w:vAlign w:val="center"/>
          </w:tcPr>
          <w:p w:rsidR="00730D47" w:rsidRDefault="005333E2">
            <w:pPr>
              <w:jc w:val="center"/>
            </w:pPr>
            <w:r>
              <w:rPr>
                <w:color w:val="000000"/>
                <w:sz w:val="24"/>
                <w:szCs w:val="24"/>
              </w:rPr>
              <w:t>华宇软件</w:t>
            </w:r>
          </w:p>
        </w:tc>
        <w:tc>
          <w:tcPr>
            <w:tcW w:w="1334" w:type="dxa"/>
            <w:vAlign w:val="center"/>
          </w:tcPr>
          <w:p w:rsidR="00730D47" w:rsidRDefault="005333E2">
            <w:pPr>
              <w:jc w:val="right"/>
            </w:pPr>
            <w:r>
              <w:rPr>
                <w:color w:val="000000"/>
                <w:sz w:val="24"/>
                <w:szCs w:val="24"/>
              </w:rPr>
              <w:t>2,490,211</w:t>
            </w:r>
          </w:p>
        </w:tc>
        <w:tc>
          <w:tcPr>
            <w:tcW w:w="1924" w:type="dxa"/>
            <w:vAlign w:val="center"/>
          </w:tcPr>
          <w:p w:rsidR="00730D47" w:rsidRDefault="005333E2">
            <w:pPr>
              <w:jc w:val="right"/>
            </w:pPr>
            <w:r>
              <w:rPr>
                <w:color w:val="000000"/>
                <w:sz w:val="24"/>
                <w:szCs w:val="24"/>
              </w:rPr>
              <w:t>51,024,423.39</w:t>
            </w:r>
          </w:p>
        </w:tc>
        <w:tc>
          <w:tcPr>
            <w:tcW w:w="1644" w:type="dxa"/>
            <w:vAlign w:val="center"/>
          </w:tcPr>
          <w:p w:rsidR="00730D47" w:rsidRDefault="005333E2">
            <w:pPr>
              <w:jc w:val="right"/>
            </w:pPr>
            <w:r>
              <w:rPr>
                <w:color w:val="000000"/>
                <w:sz w:val="24"/>
                <w:szCs w:val="24"/>
              </w:rPr>
              <w:t>2.53</w:t>
            </w:r>
          </w:p>
        </w:tc>
      </w:tr>
      <w:tr w:rsidR="00730D47">
        <w:trPr>
          <w:jc w:val="center"/>
        </w:trPr>
        <w:tc>
          <w:tcPr>
            <w:tcW w:w="855" w:type="dxa"/>
            <w:vAlign w:val="center"/>
          </w:tcPr>
          <w:p w:rsidR="00730D47" w:rsidRDefault="005333E2">
            <w:pPr>
              <w:jc w:val="center"/>
            </w:pPr>
            <w:r>
              <w:rPr>
                <w:color w:val="000000"/>
                <w:sz w:val="24"/>
                <w:szCs w:val="24"/>
              </w:rPr>
              <w:t>10</w:t>
            </w:r>
          </w:p>
        </w:tc>
        <w:tc>
          <w:tcPr>
            <w:tcW w:w="1334" w:type="dxa"/>
            <w:vAlign w:val="center"/>
          </w:tcPr>
          <w:p w:rsidR="00730D47" w:rsidRDefault="005333E2">
            <w:pPr>
              <w:jc w:val="center"/>
            </w:pPr>
            <w:r>
              <w:rPr>
                <w:color w:val="000000"/>
                <w:sz w:val="24"/>
                <w:szCs w:val="24"/>
              </w:rPr>
              <w:t>300602</w:t>
            </w:r>
          </w:p>
        </w:tc>
        <w:tc>
          <w:tcPr>
            <w:tcW w:w="1777" w:type="dxa"/>
            <w:vAlign w:val="center"/>
          </w:tcPr>
          <w:p w:rsidR="00730D47" w:rsidRDefault="005333E2">
            <w:pPr>
              <w:jc w:val="center"/>
            </w:pPr>
            <w:r>
              <w:rPr>
                <w:color w:val="000000"/>
                <w:sz w:val="24"/>
                <w:szCs w:val="24"/>
              </w:rPr>
              <w:t>飞荣达</w:t>
            </w:r>
          </w:p>
        </w:tc>
        <w:tc>
          <w:tcPr>
            <w:tcW w:w="1334" w:type="dxa"/>
            <w:vAlign w:val="center"/>
          </w:tcPr>
          <w:p w:rsidR="00730D47" w:rsidRDefault="005333E2">
            <w:pPr>
              <w:jc w:val="right"/>
            </w:pPr>
            <w:r>
              <w:rPr>
                <w:color w:val="000000"/>
                <w:sz w:val="24"/>
                <w:szCs w:val="24"/>
              </w:rPr>
              <w:t>653,049</w:t>
            </w:r>
          </w:p>
        </w:tc>
        <w:tc>
          <w:tcPr>
            <w:tcW w:w="1924" w:type="dxa"/>
            <w:vAlign w:val="center"/>
          </w:tcPr>
          <w:p w:rsidR="00730D47" w:rsidRDefault="005333E2">
            <w:pPr>
              <w:jc w:val="right"/>
            </w:pPr>
            <w:r>
              <w:rPr>
                <w:color w:val="000000"/>
                <w:sz w:val="24"/>
                <w:szCs w:val="24"/>
              </w:rPr>
              <w:t>43,754,283.00</w:t>
            </w:r>
          </w:p>
        </w:tc>
        <w:tc>
          <w:tcPr>
            <w:tcW w:w="1644" w:type="dxa"/>
            <w:vAlign w:val="center"/>
          </w:tcPr>
          <w:p w:rsidR="00730D47" w:rsidRDefault="005333E2">
            <w:pPr>
              <w:jc w:val="right"/>
            </w:pPr>
            <w:r>
              <w:rPr>
                <w:color w:val="000000"/>
                <w:sz w:val="24"/>
                <w:szCs w:val="24"/>
              </w:rPr>
              <w:t>2.17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255,117.36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13,167,366.68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2,050,278.79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2,211,852.31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17,684,615.14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345F35" w:rsidRDefault="00345F35" w:rsidP="00345F35">
      <w:pPr>
        <w:adjustRightInd w:val="0"/>
        <w:snapToGrid w:val="0"/>
        <w:spacing w:beforeLines="50" w:before="156" w:line="360" w:lineRule="auto"/>
        <w:rPr>
          <w:rFonts w:eastAsiaTheme="minorEastAsia"/>
          <w:b/>
          <w:color w:val="000000" w:themeColor="text1"/>
          <w:kern w:val="0"/>
          <w:sz w:val="24"/>
          <w:szCs w:val="24"/>
        </w:rPr>
      </w:pPr>
      <w:r>
        <w:rPr>
          <w:rFonts w:eastAsiaTheme="minorEastAsia"/>
          <w:b/>
          <w:color w:val="000000" w:themeColor="text1"/>
          <w:kern w:val="0"/>
          <w:sz w:val="24"/>
          <w:szCs w:val="24"/>
        </w:rPr>
        <w:t xml:space="preserve">6.3 </w:t>
      </w:r>
      <w:r>
        <w:rPr>
          <w:rFonts w:eastAsiaTheme="minorEastAsia" w:hint="eastAsia"/>
          <w:b/>
          <w:color w:val="000000" w:themeColor="text1"/>
          <w:kern w:val="0"/>
          <w:sz w:val="24"/>
          <w:szCs w:val="24"/>
        </w:rPr>
        <w:t>本报告期持有的基金发生的重大影响事件</w:t>
      </w:r>
    </w:p>
    <w:p w:rsidR="00345F35" w:rsidRPr="00345F35" w:rsidRDefault="00345F35" w:rsidP="00345F35">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w:t>
            </w:r>
            <w:r w:rsidR="004061AC" w:rsidRPr="00414345">
              <w:rPr>
                <w:color w:val="000000"/>
                <w:kern w:val="0"/>
                <w:sz w:val="24"/>
                <w:szCs w:val="24"/>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2,089,207,529.50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15,237,585.55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基金合同生效日起至报告期期末</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202,819,405.47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1,901,625,709.58</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0E283F"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0E283F">
        <w:rPr>
          <w:rFonts w:asciiTheme="minorEastAsia" w:eastAsiaTheme="minorEastAsia" w:hAnsiTheme="minorEastAsia" w:hint="eastAsia"/>
          <w:color w:val="000000" w:themeColor="text1"/>
          <w:kern w:val="0"/>
          <w:sz w:val="24"/>
          <w:szCs w:val="24"/>
        </w:rPr>
        <w:t>§9</w:t>
      </w:r>
      <w:r w:rsidRPr="000E283F">
        <w:rPr>
          <w:rFonts w:asciiTheme="minorEastAsia" w:eastAsiaTheme="minorEastAsia" w:hAnsiTheme="minorEastAsia"/>
          <w:color w:val="000000" w:themeColor="text1"/>
          <w:kern w:val="0"/>
          <w:sz w:val="24"/>
          <w:szCs w:val="24"/>
        </w:rPr>
        <w:t xml:space="preserve">  </w:t>
      </w:r>
      <w:r w:rsidRPr="000E283F">
        <w:rPr>
          <w:rFonts w:asciiTheme="minorEastAsia" w:eastAsiaTheme="minorEastAsia" w:hAnsiTheme="minorEastAsia" w:hint="eastAsia"/>
          <w:color w:val="000000" w:themeColor="text1"/>
          <w:kern w:val="0"/>
          <w:sz w:val="24"/>
          <w:szCs w:val="24"/>
        </w:rPr>
        <w:t>影响投资者决策的其他重要信息</w:t>
      </w:r>
    </w:p>
    <w:p w:rsidR="003C50AD" w:rsidRPr="000E283F" w:rsidRDefault="003C50AD" w:rsidP="003C50AD">
      <w:pPr>
        <w:autoSpaceDE w:val="0"/>
        <w:autoSpaceDN w:val="0"/>
        <w:adjustRightInd w:val="0"/>
        <w:spacing w:line="360" w:lineRule="auto"/>
        <w:jc w:val="left"/>
        <w:rPr>
          <w:rFonts w:ascii="宋体" w:hAnsi="宋体"/>
          <w:b/>
          <w:bCs/>
          <w:color w:val="000000"/>
          <w:kern w:val="0"/>
          <w:sz w:val="24"/>
          <w:szCs w:val="24"/>
        </w:rPr>
      </w:pPr>
      <w:r w:rsidRPr="000E283F">
        <w:rPr>
          <w:rFonts w:ascii="宋体" w:hAnsi="宋体" w:hint="eastAsia"/>
          <w:b/>
          <w:bCs/>
          <w:color w:val="000000"/>
          <w:kern w:val="0"/>
          <w:sz w:val="24"/>
          <w:szCs w:val="24"/>
        </w:rPr>
        <w:t>9.1 影响投资者决策的其他重要信息</w:t>
      </w:r>
    </w:p>
    <w:p w:rsidR="003C50AD" w:rsidRPr="000E283F" w:rsidRDefault="003C50AD" w:rsidP="003C50AD">
      <w:pPr>
        <w:spacing w:line="360" w:lineRule="auto"/>
        <w:ind w:firstLineChars="200" w:firstLine="480"/>
        <w:rPr>
          <w:rFonts w:ascii="宋体" w:hAnsi="宋体"/>
          <w:color w:val="000000"/>
          <w:sz w:val="24"/>
          <w:szCs w:val="24"/>
        </w:rPr>
      </w:pPr>
      <w:r w:rsidRPr="000E283F">
        <w:rPr>
          <w:rFonts w:ascii="宋体" w:hAnsi="宋体"/>
          <w:color w:val="000000"/>
          <w:sz w:val="24"/>
          <w:szCs w:val="24"/>
        </w:rPr>
        <w:t>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30D47" w:rsidRDefault="005333E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、中国证监会准予交银施罗德持续成长主题混合型证券投资基金募集注册的文件；</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、《交银施罗德持续成长主题混合型证券投资基金基金合同》；</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、《交银施罗德持续成长主题混合型证券投资基金招募说明书》；</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、《交银施罗德持续成长主题混合型证券投资基金托管协议》；</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、关于申请募集注册交银施罗德持续成长主题混合型证券投资基金的法律意见书；</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30D47" w:rsidRDefault="005333E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、报告期内交银施罗德持续成长主题混合型证券投资基金在指定报刊上各项公告的原稿。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30D47" w:rsidRDefault="005333E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 xml:space="preserve">services@jysld.com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DC" w:rsidRDefault="000664DC" w:rsidP="00876D65">
      <w:r>
        <w:separator/>
      </w:r>
    </w:p>
  </w:endnote>
  <w:endnote w:type="continuationSeparator" w:id="0">
    <w:p w:rsidR="000664DC" w:rsidRDefault="000664D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1C6DBE">
      <w:rPr>
        <w:noProof/>
        <w:kern w:val="0"/>
        <w:szCs w:val="21"/>
      </w:rPr>
      <w:t>12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1C6DBE">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DC" w:rsidRDefault="000664DC" w:rsidP="00876D65">
      <w:r>
        <w:separator/>
      </w:r>
    </w:p>
  </w:footnote>
  <w:footnote w:type="continuationSeparator" w:id="0">
    <w:p w:rsidR="000664DC" w:rsidRDefault="000664D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交银施罗德持续成长主题混合型证券投资基金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0D54"/>
    <w:rsid w:val="00031EBB"/>
    <w:rsid w:val="00033B8D"/>
    <w:rsid w:val="0004308C"/>
    <w:rsid w:val="00043852"/>
    <w:rsid w:val="000450DD"/>
    <w:rsid w:val="000463DE"/>
    <w:rsid w:val="0006147E"/>
    <w:rsid w:val="000625ED"/>
    <w:rsid w:val="00064D40"/>
    <w:rsid w:val="000664DC"/>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03F"/>
    <w:rsid w:val="000D0E6C"/>
    <w:rsid w:val="000D11DE"/>
    <w:rsid w:val="000D3ED4"/>
    <w:rsid w:val="000E0DB4"/>
    <w:rsid w:val="000E283F"/>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5EA7"/>
    <w:rsid w:val="001761D2"/>
    <w:rsid w:val="00176C21"/>
    <w:rsid w:val="001830D7"/>
    <w:rsid w:val="00183C58"/>
    <w:rsid w:val="00185A34"/>
    <w:rsid w:val="001934F6"/>
    <w:rsid w:val="00196E6C"/>
    <w:rsid w:val="001A73E8"/>
    <w:rsid w:val="001B0A62"/>
    <w:rsid w:val="001B2F35"/>
    <w:rsid w:val="001B4DD6"/>
    <w:rsid w:val="001B5607"/>
    <w:rsid w:val="001C0993"/>
    <w:rsid w:val="001C6DBE"/>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F35"/>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33E2"/>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3FBF"/>
    <w:rsid w:val="005E475E"/>
    <w:rsid w:val="005F118D"/>
    <w:rsid w:val="005F3996"/>
    <w:rsid w:val="005F6AF6"/>
    <w:rsid w:val="005F6F5E"/>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1FD8"/>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0D47"/>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C66"/>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1F9E"/>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68CF"/>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3333"/>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2F61"/>
    <w:rsid w:val="00F45C47"/>
    <w:rsid w:val="00F51C4E"/>
    <w:rsid w:val="00F534A2"/>
    <w:rsid w:val="00F53B0E"/>
    <w:rsid w:val="00F54EAE"/>
    <w:rsid w:val="00F66A51"/>
    <w:rsid w:val="00F71057"/>
    <w:rsid w:val="00F71A4B"/>
    <w:rsid w:val="00F728CF"/>
    <w:rsid w:val="00F743D4"/>
    <w:rsid w:val="00F7453A"/>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253198038">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C0F5-CCF5-46FC-82F0-952747BE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12</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592</cp:revision>
  <dcterms:created xsi:type="dcterms:W3CDTF">2012-10-16T06:07:00Z</dcterms:created>
  <dcterms:modified xsi:type="dcterms:W3CDTF">2018-04-19T01:41:00Z</dcterms:modified>
</cp:coreProperties>
</file>