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B02FC" w:rsidRDefault="00AD12F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627,482,796.88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D12FB" w:rsidRPr="00414345" w:rsidTr="00AD12F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D12FB" w:rsidRPr="00414345" w:rsidTr="00AD12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5,308,185.34</w:t>
            </w:r>
          </w:p>
        </w:tc>
      </w:tr>
      <w:tr w:rsidR="00AD12FB" w:rsidRPr="00414345" w:rsidTr="00AD12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10,363,200.26</w:t>
            </w:r>
          </w:p>
        </w:tc>
      </w:tr>
      <w:tr w:rsidR="00AD12FB" w:rsidRPr="00414345" w:rsidTr="00AD12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0.0158</w:t>
            </w:r>
          </w:p>
        </w:tc>
      </w:tr>
      <w:tr w:rsidR="00AD12FB" w:rsidRPr="00414345" w:rsidTr="00AD12F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650,238,527.63</w:t>
            </w:r>
          </w:p>
        </w:tc>
      </w:tr>
      <w:tr w:rsidR="00AD12FB" w:rsidRPr="00414345" w:rsidTr="00AD12F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1.036</w:t>
            </w:r>
          </w:p>
        </w:tc>
      </w:tr>
    </w:tbl>
    <w:p w:rsidR="009B02FC" w:rsidRDefault="00AD12F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B02FC">
        <w:trPr>
          <w:jc w:val="center"/>
        </w:trPr>
        <w:tc>
          <w:tcPr>
            <w:tcW w:w="1701" w:type="dxa"/>
            <w:vAlign w:val="center"/>
          </w:tcPr>
          <w:p w:rsidR="009B02FC" w:rsidRDefault="00AD12FB">
            <w:pPr>
              <w:jc w:val="left"/>
            </w:pPr>
            <w:r>
              <w:rPr>
                <w:color w:val="000000"/>
                <w:sz w:val="24"/>
                <w:szCs w:val="24"/>
              </w:rPr>
              <w:t>过去三个月</w:t>
            </w:r>
          </w:p>
        </w:tc>
        <w:tc>
          <w:tcPr>
            <w:tcW w:w="1045" w:type="dxa"/>
            <w:vAlign w:val="center"/>
          </w:tcPr>
          <w:p w:rsidR="009B02FC" w:rsidRDefault="00AD12FB">
            <w:pPr>
              <w:jc w:val="center"/>
            </w:pPr>
            <w:r>
              <w:rPr>
                <w:color w:val="000000"/>
                <w:sz w:val="24"/>
                <w:szCs w:val="24"/>
              </w:rPr>
              <w:t>1.47%</w:t>
            </w:r>
          </w:p>
        </w:tc>
        <w:tc>
          <w:tcPr>
            <w:tcW w:w="1344" w:type="dxa"/>
            <w:vAlign w:val="center"/>
          </w:tcPr>
          <w:p w:rsidR="009B02FC" w:rsidRDefault="00AD12FB">
            <w:pPr>
              <w:jc w:val="center"/>
            </w:pPr>
            <w:r>
              <w:rPr>
                <w:color w:val="000000"/>
                <w:sz w:val="24"/>
                <w:szCs w:val="24"/>
              </w:rPr>
              <w:t>0.06%</w:t>
            </w:r>
          </w:p>
        </w:tc>
        <w:tc>
          <w:tcPr>
            <w:tcW w:w="1194" w:type="dxa"/>
            <w:vAlign w:val="center"/>
          </w:tcPr>
          <w:p w:rsidR="009B02FC" w:rsidRDefault="00AD12FB">
            <w:pPr>
              <w:jc w:val="center"/>
            </w:pPr>
            <w:r>
              <w:rPr>
                <w:color w:val="000000"/>
                <w:sz w:val="24"/>
                <w:szCs w:val="24"/>
              </w:rPr>
              <w:t>0.69%</w:t>
            </w:r>
          </w:p>
        </w:tc>
        <w:tc>
          <w:tcPr>
            <w:tcW w:w="1492" w:type="dxa"/>
            <w:vAlign w:val="center"/>
          </w:tcPr>
          <w:p w:rsidR="009B02FC" w:rsidRDefault="00AD12FB">
            <w:pPr>
              <w:jc w:val="center"/>
            </w:pPr>
            <w:r>
              <w:rPr>
                <w:color w:val="000000"/>
                <w:sz w:val="24"/>
                <w:szCs w:val="24"/>
              </w:rPr>
              <w:t>0.01%</w:t>
            </w:r>
          </w:p>
        </w:tc>
        <w:tc>
          <w:tcPr>
            <w:tcW w:w="1194" w:type="dxa"/>
            <w:vAlign w:val="center"/>
          </w:tcPr>
          <w:p w:rsidR="009B02FC" w:rsidRDefault="00AD12FB">
            <w:pPr>
              <w:jc w:val="center"/>
            </w:pPr>
            <w:r>
              <w:rPr>
                <w:color w:val="000000"/>
                <w:sz w:val="24"/>
                <w:szCs w:val="24"/>
              </w:rPr>
              <w:t>0.78%</w:t>
            </w:r>
          </w:p>
        </w:tc>
        <w:tc>
          <w:tcPr>
            <w:tcW w:w="898" w:type="dxa"/>
            <w:vAlign w:val="center"/>
          </w:tcPr>
          <w:p w:rsidR="009B02FC" w:rsidRDefault="00AD12FB">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B02FC">
        <w:trPr>
          <w:jc w:val="center"/>
        </w:trPr>
        <w:tc>
          <w:tcPr>
            <w:tcW w:w="846" w:type="dxa"/>
            <w:vAlign w:val="center"/>
          </w:tcPr>
          <w:p w:rsidR="009B02FC" w:rsidRDefault="00AD12FB">
            <w:pPr>
              <w:jc w:val="center"/>
            </w:pPr>
            <w:proofErr w:type="gramStart"/>
            <w:r>
              <w:rPr>
                <w:color w:val="000000"/>
                <w:sz w:val="24"/>
                <w:szCs w:val="24"/>
              </w:rPr>
              <w:t>于海颖</w:t>
            </w:r>
            <w:proofErr w:type="gramEnd"/>
          </w:p>
        </w:tc>
        <w:tc>
          <w:tcPr>
            <w:tcW w:w="845" w:type="dxa"/>
            <w:vAlign w:val="center"/>
          </w:tcPr>
          <w:p w:rsidR="009B02FC" w:rsidRDefault="00AD12FB">
            <w:pPr>
              <w:jc w:val="center"/>
            </w:pPr>
            <w:r>
              <w:rPr>
                <w:color w:val="000000"/>
                <w:sz w:val="24"/>
                <w:szCs w:val="24"/>
              </w:rPr>
              <w:t>交银增利债券、交</w:t>
            </w:r>
            <w:proofErr w:type="gramStart"/>
            <w:r>
              <w:rPr>
                <w:color w:val="000000"/>
                <w:sz w:val="24"/>
                <w:szCs w:val="24"/>
              </w:rPr>
              <w:t>银纯债</w:t>
            </w:r>
            <w:proofErr w:type="gramEnd"/>
            <w:r>
              <w:rPr>
                <w:color w:val="000000"/>
                <w:sz w:val="24"/>
                <w:szCs w:val="24"/>
              </w:rPr>
              <w:t>债券发起、交银荣祥保本混合、交银定期支付月月</w:t>
            </w:r>
            <w:r>
              <w:rPr>
                <w:color w:val="000000"/>
                <w:sz w:val="24"/>
                <w:szCs w:val="24"/>
              </w:rPr>
              <w:lastRenderedPageBreak/>
              <w:t>丰债券、交</w:t>
            </w:r>
            <w:proofErr w:type="gramStart"/>
            <w:r>
              <w:rPr>
                <w:color w:val="000000"/>
                <w:sz w:val="24"/>
                <w:szCs w:val="24"/>
              </w:rPr>
              <w:t>银增强</w:t>
            </w:r>
            <w:proofErr w:type="gramEnd"/>
            <w:r>
              <w:rPr>
                <w:color w:val="000000"/>
                <w:sz w:val="24"/>
                <w:szCs w:val="24"/>
              </w:rPr>
              <w:t>收益债券、交银强化回报债券、交银丰盈收益债券、交银丰硕收益债券、交银荣鑫保本混合、交银增利增强债券的基金经理，公司固定收益（公募）投资总监</w:t>
            </w:r>
          </w:p>
        </w:tc>
        <w:tc>
          <w:tcPr>
            <w:tcW w:w="1549" w:type="dxa"/>
            <w:vAlign w:val="center"/>
          </w:tcPr>
          <w:p w:rsidR="009B02FC" w:rsidRDefault="00AD12FB">
            <w:pPr>
              <w:jc w:val="center"/>
            </w:pPr>
            <w:r>
              <w:rPr>
                <w:color w:val="000000"/>
                <w:sz w:val="24"/>
                <w:szCs w:val="24"/>
              </w:rPr>
              <w:lastRenderedPageBreak/>
              <w:t>2017-06-10</w:t>
            </w:r>
          </w:p>
        </w:tc>
        <w:tc>
          <w:tcPr>
            <w:tcW w:w="1548" w:type="dxa"/>
            <w:vAlign w:val="center"/>
          </w:tcPr>
          <w:p w:rsidR="009B02FC" w:rsidRDefault="00AD12FB">
            <w:pPr>
              <w:jc w:val="center"/>
            </w:pPr>
            <w:r>
              <w:rPr>
                <w:color w:val="000000"/>
                <w:sz w:val="24"/>
                <w:szCs w:val="24"/>
              </w:rPr>
              <w:t>-</w:t>
            </w:r>
          </w:p>
        </w:tc>
        <w:tc>
          <w:tcPr>
            <w:tcW w:w="1407" w:type="dxa"/>
            <w:vAlign w:val="center"/>
          </w:tcPr>
          <w:p w:rsidR="009B02FC" w:rsidRDefault="00AD12FB">
            <w:pPr>
              <w:jc w:val="center"/>
            </w:pPr>
            <w:r>
              <w:rPr>
                <w:color w:val="000000"/>
                <w:sz w:val="24"/>
                <w:szCs w:val="24"/>
              </w:rPr>
              <w:t>12</w:t>
            </w:r>
            <w:r>
              <w:rPr>
                <w:color w:val="000000"/>
                <w:sz w:val="24"/>
                <w:szCs w:val="24"/>
              </w:rPr>
              <w:t>年</w:t>
            </w:r>
          </w:p>
        </w:tc>
        <w:tc>
          <w:tcPr>
            <w:tcW w:w="2673" w:type="dxa"/>
            <w:vAlign w:val="center"/>
          </w:tcPr>
          <w:p w:rsidR="009B02FC" w:rsidRDefault="00AD12FB">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szCs w:val="24"/>
              </w:rPr>
              <w:t>矿证券</w:t>
            </w:r>
            <w:proofErr w:type="gramEnd"/>
            <w:r>
              <w:rPr>
                <w:color w:val="000000"/>
                <w:sz w:val="24"/>
                <w:szCs w:val="24"/>
              </w:rPr>
              <w:t>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w:t>
            </w:r>
            <w:r>
              <w:rPr>
                <w:color w:val="000000"/>
                <w:sz w:val="24"/>
                <w:szCs w:val="24"/>
              </w:rPr>
              <w:lastRenderedPageBreak/>
              <w:t>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proofErr w:type="gramStart"/>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w:t>
            </w:r>
            <w:proofErr w:type="gramEnd"/>
            <w:r>
              <w:rPr>
                <w:color w:val="000000"/>
                <w:sz w:val="24"/>
                <w:szCs w:val="24"/>
              </w:rPr>
              <w:t>保本混合型证券投资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w:t>
            </w:r>
            <w:proofErr w:type="gramEnd"/>
            <w:r>
              <w:rPr>
                <w:color w:val="000000"/>
                <w:sz w:val="24"/>
                <w:szCs w:val="24"/>
              </w:rPr>
              <w:t>货币市场证券投资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w:t>
            </w:r>
            <w:proofErr w:type="gramStart"/>
            <w:r>
              <w:rPr>
                <w:color w:val="000000"/>
                <w:sz w:val="24"/>
                <w:szCs w:val="24"/>
              </w:rPr>
              <w:t>任银华纯债</w:t>
            </w:r>
            <w:proofErr w:type="gramEnd"/>
            <w:r>
              <w:rPr>
                <w:color w:val="000000"/>
                <w:sz w:val="24"/>
                <w:szCs w:val="24"/>
              </w:rPr>
              <w:t>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w:t>
            </w:r>
            <w:proofErr w:type="gramStart"/>
            <w:r>
              <w:rPr>
                <w:color w:val="000000"/>
                <w:sz w:val="24"/>
                <w:szCs w:val="24"/>
              </w:rPr>
              <w:t>任银华交易</w:t>
            </w:r>
            <w:proofErr w:type="gramEnd"/>
            <w:r>
              <w:rPr>
                <w:color w:val="000000"/>
                <w:sz w:val="24"/>
                <w:szCs w:val="24"/>
              </w:rPr>
              <w:t>型货币市场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信用四季红债券型证券投资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信用季季红债券型证券投资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B02FC" w:rsidRDefault="00AD12F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B02FC" w:rsidRDefault="00AD12F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B02FC" w:rsidRDefault="00AD12F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B02FC" w:rsidRDefault="00AD12FB">
      <w:pPr>
        <w:spacing w:before="29" w:line="288" w:lineRule="auto"/>
        <w:ind w:firstLineChars="200" w:firstLine="480"/>
        <w:rPr>
          <w:color w:val="000000"/>
          <w:sz w:val="24"/>
          <w:szCs w:val="24"/>
        </w:rPr>
      </w:pPr>
      <w:r>
        <w:rPr>
          <w:color w:val="000000"/>
          <w:sz w:val="24"/>
          <w:szCs w:val="24"/>
        </w:rPr>
        <w:t>今年以来，债券市场经历了一波收益率先上后下的行情。年初在流动性紧张等因素的综合影响下，关键年期</w:t>
      </w:r>
      <w:r>
        <w:rPr>
          <w:color w:val="000000"/>
          <w:sz w:val="24"/>
          <w:szCs w:val="24"/>
        </w:rPr>
        <w:t>10</w:t>
      </w:r>
      <w:r>
        <w:rPr>
          <w:color w:val="000000"/>
          <w:sz w:val="24"/>
          <w:szCs w:val="24"/>
        </w:rPr>
        <w:t>年期</w:t>
      </w:r>
      <w:proofErr w:type="gramStart"/>
      <w:r>
        <w:rPr>
          <w:color w:val="000000"/>
          <w:sz w:val="24"/>
          <w:szCs w:val="24"/>
        </w:rPr>
        <w:t>国开债收益率</w:t>
      </w:r>
      <w:proofErr w:type="gramEnd"/>
      <w:r>
        <w:rPr>
          <w:color w:val="000000"/>
          <w:sz w:val="24"/>
          <w:szCs w:val="24"/>
        </w:rPr>
        <w:t>上行约</w:t>
      </w:r>
      <w:r>
        <w:rPr>
          <w:color w:val="000000"/>
          <w:sz w:val="24"/>
          <w:szCs w:val="24"/>
        </w:rPr>
        <w:t>30BP</w:t>
      </w:r>
      <w:r>
        <w:rPr>
          <w:color w:val="000000"/>
          <w:sz w:val="24"/>
          <w:szCs w:val="24"/>
        </w:rPr>
        <w:t>至年内</w:t>
      </w:r>
      <w:r>
        <w:rPr>
          <w:color w:val="000000"/>
          <w:sz w:val="24"/>
          <w:szCs w:val="24"/>
        </w:rPr>
        <w:t>5.12%</w:t>
      </w:r>
      <w:r>
        <w:rPr>
          <w:color w:val="000000"/>
          <w:sz w:val="24"/>
          <w:szCs w:val="24"/>
        </w:rPr>
        <w:t>的高点，随着基本面和资金面预期的修复，收益率出现较大幅度的下行，截至</w:t>
      </w:r>
      <w:proofErr w:type="gramStart"/>
      <w:r>
        <w:rPr>
          <w:color w:val="000000"/>
          <w:sz w:val="24"/>
          <w:szCs w:val="24"/>
        </w:rPr>
        <w:t>一</w:t>
      </w:r>
      <w:proofErr w:type="gramEnd"/>
      <w:r>
        <w:rPr>
          <w:color w:val="000000"/>
          <w:sz w:val="24"/>
          <w:szCs w:val="24"/>
        </w:rPr>
        <w:t>季末，</w:t>
      </w:r>
      <w:r>
        <w:rPr>
          <w:color w:val="000000"/>
          <w:sz w:val="24"/>
          <w:szCs w:val="24"/>
        </w:rPr>
        <w:t>10</w:t>
      </w:r>
      <w:r>
        <w:rPr>
          <w:color w:val="000000"/>
          <w:sz w:val="24"/>
          <w:szCs w:val="24"/>
        </w:rPr>
        <w:t>年期</w:t>
      </w:r>
      <w:proofErr w:type="gramStart"/>
      <w:r>
        <w:rPr>
          <w:color w:val="000000"/>
          <w:sz w:val="24"/>
          <w:szCs w:val="24"/>
        </w:rPr>
        <w:t>国开债的</w:t>
      </w:r>
      <w:proofErr w:type="gramEnd"/>
      <w:r>
        <w:rPr>
          <w:color w:val="000000"/>
          <w:sz w:val="24"/>
          <w:szCs w:val="24"/>
        </w:rPr>
        <w:t>收益率下行至</w:t>
      </w:r>
      <w:r>
        <w:rPr>
          <w:color w:val="000000"/>
          <w:sz w:val="24"/>
          <w:szCs w:val="24"/>
        </w:rPr>
        <w:t>4.7%</w:t>
      </w:r>
      <w:r>
        <w:rPr>
          <w:color w:val="000000"/>
          <w:sz w:val="24"/>
          <w:szCs w:val="24"/>
        </w:rPr>
        <w:t>左右，较</w:t>
      </w:r>
      <w:r>
        <w:rPr>
          <w:color w:val="000000"/>
          <w:sz w:val="24"/>
          <w:szCs w:val="24"/>
        </w:rPr>
        <w:t>2017</w:t>
      </w:r>
      <w:r>
        <w:rPr>
          <w:color w:val="000000"/>
          <w:sz w:val="24"/>
          <w:szCs w:val="24"/>
        </w:rPr>
        <w:t>年年末下行了约</w:t>
      </w:r>
      <w:r>
        <w:rPr>
          <w:color w:val="000000"/>
          <w:sz w:val="24"/>
          <w:szCs w:val="24"/>
        </w:rPr>
        <w:t>18BP</w:t>
      </w:r>
      <w:r>
        <w:rPr>
          <w:color w:val="000000"/>
          <w:sz w:val="24"/>
          <w:szCs w:val="24"/>
        </w:rPr>
        <w:t>。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szCs w:val="24"/>
        </w:rPr>
        <w:t>5BP</w:t>
      </w:r>
      <w:r>
        <w:rPr>
          <w:color w:val="000000"/>
          <w:sz w:val="24"/>
          <w:szCs w:val="24"/>
        </w:rPr>
        <w:t>，上调幅度符合市场预期。在以上因素的综合影响下，整体债券市场情绪明显恢复。</w:t>
      </w:r>
    </w:p>
    <w:p w:rsidR="009B02FC" w:rsidRDefault="00AD12FB">
      <w:pPr>
        <w:spacing w:before="29" w:line="288" w:lineRule="auto"/>
        <w:ind w:firstLineChars="200" w:firstLine="480"/>
        <w:rPr>
          <w:color w:val="000000"/>
          <w:sz w:val="24"/>
          <w:szCs w:val="24"/>
        </w:rPr>
      </w:pPr>
      <w:r>
        <w:rPr>
          <w:color w:val="000000"/>
          <w:sz w:val="24"/>
          <w:szCs w:val="24"/>
        </w:rPr>
        <w:t>权益市场方面，地产产业链及油气产业链等大盘蓝</w:t>
      </w:r>
      <w:proofErr w:type="gramStart"/>
      <w:r>
        <w:rPr>
          <w:color w:val="000000"/>
          <w:sz w:val="24"/>
          <w:szCs w:val="24"/>
        </w:rPr>
        <w:t>筹板块</w:t>
      </w:r>
      <w:proofErr w:type="gramEnd"/>
      <w:r>
        <w:rPr>
          <w:color w:val="000000"/>
          <w:sz w:val="24"/>
          <w:szCs w:val="24"/>
        </w:rPr>
        <w:t>引领市场近一个月左右的</w:t>
      </w:r>
      <w:r>
        <w:rPr>
          <w:color w:val="000000"/>
          <w:sz w:val="24"/>
          <w:szCs w:val="24"/>
        </w:rPr>
        <w:lastRenderedPageBreak/>
        <w:t>上涨行情，随着美股调整以及市场对地产政策的担忧，蓝</w:t>
      </w:r>
      <w:proofErr w:type="gramStart"/>
      <w:r>
        <w:rPr>
          <w:color w:val="000000"/>
          <w:sz w:val="24"/>
          <w:szCs w:val="24"/>
        </w:rPr>
        <w:t>筹板块</w:t>
      </w:r>
      <w:proofErr w:type="gramEnd"/>
      <w:r>
        <w:rPr>
          <w:color w:val="000000"/>
          <w:sz w:val="24"/>
          <w:szCs w:val="24"/>
        </w:rPr>
        <w:t>回调，以计算机软件、集成电路板块为代表的成长板块接棒蓝</w:t>
      </w:r>
      <w:proofErr w:type="gramStart"/>
      <w:r>
        <w:rPr>
          <w:color w:val="000000"/>
          <w:sz w:val="24"/>
          <w:szCs w:val="24"/>
        </w:rPr>
        <w:t>筹成为</w:t>
      </w:r>
      <w:proofErr w:type="gramEnd"/>
      <w:r>
        <w:rPr>
          <w:color w:val="000000"/>
          <w:sz w:val="24"/>
          <w:szCs w:val="24"/>
        </w:rPr>
        <w:t>市场上行的新动力。</w:t>
      </w:r>
    </w:p>
    <w:p w:rsidR="009B02FC" w:rsidRDefault="00AD12FB">
      <w:pPr>
        <w:spacing w:before="29" w:line="288" w:lineRule="auto"/>
        <w:ind w:firstLineChars="200" w:firstLine="480"/>
        <w:rPr>
          <w:color w:val="000000"/>
          <w:sz w:val="24"/>
          <w:szCs w:val="24"/>
        </w:rPr>
      </w:pPr>
      <w:r>
        <w:rPr>
          <w:color w:val="000000"/>
          <w:sz w:val="24"/>
          <w:szCs w:val="24"/>
        </w:rPr>
        <w:t>本报告期内，本基金继续在</w:t>
      </w:r>
      <w:r>
        <w:rPr>
          <w:color w:val="000000"/>
          <w:sz w:val="24"/>
          <w:szCs w:val="24"/>
        </w:rPr>
        <w:t>CPPI</w:t>
      </w:r>
      <w:r>
        <w:rPr>
          <w:color w:val="000000"/>
          <w:sz w:val="24"/>
          <w:szCs w:val="24"/>
        </w:rPr>
        <w:t>策略的基础上积累安全垫操作，同时利用收益率较高的时点，在春节前后拉长组合久期，主要操作为在保本周期范围内将</w:t>
      </w:r>
      <w:proofErr w:type="gramStart"/>
      <w:r>
        <w:rPr>
          <w:color w:val="000000"/>
          <w:sz w:val="24"/>
          <w:szCs w:val="24"/>
        </w:rPr>
        <w:t>短久期</w:t>
      </w:r>
      <w:proofErr w:type="gramEnd"/>
      <w:r>
        <w:rPr>
          <w:color w:val="000000"/>
          <w:sz w:val="24"/>
          <w:szCs w:val="24"/>
        </w:rPr>
        <w:t>存单置换成稍</w:t>
      </w:r>
      <w:proofErr w:type="gramStart"/>
      <w:r>
        <w:rPr>
          <w:color w:val="000000"/>
          <w:sz w:val="24"/>
          <w:szCs w:val="24"/>
        </w:rPr>
        <w:t>长久期高收益</w:t>
      </w:r>
      <w:proofErr w:type="gramEnd"/>
      <w:r>
        <w:rPr>
          <w:color w:val="000000"/>
          <w:sz w:val="24"/>
          <w:szCs w:val="24"/>
        </w:rPr>
        <w:t>稳健资产，提升组合静态收益。权益方面，组合以低</w:t>
      </w:r>
      <w:proofErr w:type="gramStart"/>
      <w:r>
        <w:rPr>
          <w:color w:val="000000"/>
          <w:sz w:val="24"/>
          <w:szCs w:val="24"/>
        </w:rPr>
        <w:t>仓位</w:t>
      </w:r>
      <w:proofErr w:type="gramEnd"/>
      <w:r>
        <w:rPr>
          <w:color w:val="000000"/>
          <w:sz w:val="24"/>
          <w:szCs w:val="24"/>
        </w:rPr>
        <w:t>基本避开了权益市场二月初的调整，而二月下半月在安全</w:t>
      </w:r>
      <w:proofErr w:type="gramStart"/>
      <w:r>
        <w:rPr>
          <w:color w:val="000000"/>
          <w:sz w:val="24"/>
          <w:szCs w:val="24"/>
        </w:rPr>
        <w:t>垫允许</w:t>
      </w:r>
      <w:proofErr w:type="gramEnd"/>
      <w:r>
        <w:rPr>
          <w:color w:val="000000"/>
          <w:sz w:val="24"/>
          <w:szCs w:val="24"/>
        </w:rPr>
        <w:t>的范围内，组合适当提高了转</w:t>
      </w:r>
      <w:proofErr w:type="gramStart"/>
      <w:r>
        <w:rPr>
          <w:color w:val="000000"/>
          <w:sz w:val="24"/>
          <w:szCs w:val="24"/>
        </w:rPr>
        <w:t>债资产</w:t>
      </w:r>
      <w:proofErr w:type="gramEnd"/>
      <w:r>
        <w:rPr>
          <w:color w:val="000000"/>
          <w:sz w:val="24"/>
          <w:szCs w:val="24"/>
        </w:rPr>
        <w:t>的配置比例。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我们对债市呈谨慎乐观看法。表外融资的收紧及环保力度加强将继续令经济基本面缓步承压，流动性总体较去年改善，但监管政策的落地及海外利率上行可能会对债市构成阶段性扰动，债券供给逐步放量也对债市收益率下行形成压力。保本组合在一季度通过</w:t>
      </w:r>
      <w:proofErr w:type="gramStart"/>
      <w:r w:rsidRPr="00414345">
        <w:rPr>
          <w:color w:val="000000"/>
          <w:sz w:val="24"/>
          <w:szCs w:val="24"/>
        </w:rPr>
        <w:t>拉升久期的</w:t>
      </w:r>
      <w:proofErr w:type="gramEnd"/>
      <w:r w:rsidRPr="00414345">
        <w:rPr>
          <w:color w:val="000000"/>
          <w:sz w:val="24"/>
          <w:szCs w:val="24"/>
        </w:rPr>
        <w:t>方式阶段性完成</w:t>
      </w:r>
      <w:proofErr w:type="gramStart"/>
      <w:r w:rsidRPr="00414345">
        <w:rPr>
          <w:color w:val="000000"/>
          <w:sz w:val="24"/>
          <w:szCs w:val="24"/>
        </w:rPr>
        <w:t>了久期匹配</w:t>
      </w:r>
      <w:proofErr w:type="gramEnd"/>
      <w:r w:rsidRPr="00414345">
        <w:rPr>
          <w:color w:val="000000"/>
          <w:sz w:val="24"/>
          <w:szCs w:val="24"/>
        </w:rPr>
        <w:t>工作，未来将根据市场情况动态调整组合配置。权益方面，组合将继续根据景气度精选个</w:t>
      </w:r>
      <w:proofErr w:type="gramStart"/>
      <w:r w:rsidRPr="00414345">
        <w:rPr>
          <w:color w:val="000000"/>
          <w:sz w:val="24"/>
          <w:szCs w:val="24"/>
        </w:rPr>
        <w:t>券</w:t>
      </w:r>
      <w:proofErr w:type="gramEnd"/>
      <w:r w:rsidRPr="00414345">
        <w:rPr>
          <w:color w:val="000000"/>
          <w:sz w:val="24"/>
          <w:szCs w:val="24"/>
        </w:rPr>
        <w:t>，计划逐步增加转债和权益资产的配置。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1.036</w:t>
      </w:r>
      <w:r w:rsidRPr="00414345">
        <w:rPr>
          <w:color w:val="000000"/>
          <w:sz w:val="24"/>
          <w:szCs w:val="24"/>
        </w:rPr>
        <w:t>元，本报告期份额净值增长率为</w:t>
      </w:r>
      <w:r w:rsidRPr="00414345">
        <w:rPr>
          <w:color w:val="000000"/>
          <w:sz w:val="24"/>
          <w:szCs w:val="24"/>
        </w:rPr>
        <w:t>1.47%</w:t>
      </w:r>
      <w:r w:rsidRPr="00414345">
        <w:rPr>
          <w:color w:val="000000"/>
          <w:sz w:val="24"/>
          <w:szCs w:val="24"/>
        </w:rPr>
        <w:t>，同期业绩比较基准增长率为</w:t>
      </w:r>
      <w:r w:rsidRPr="00414345">
        <w:rPr>
          <w:color w:val="000000"/>
          <w:sz w:val="24"/>
          <w:szCs w:val="24"/>
        </w:rPr>
        <w:t>0.69%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1,011,002,140.48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1,011,002,140.48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6,521,627.21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0.63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14,498,010.56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1,032,021,778.25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67,928,600.00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67,928,600.00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132,460,500.00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120,443,000.00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18.52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12,503,040.48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677,667,000.00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104.22</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1,011,002,140.48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155.48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B02FC">
        <w:trPr>
          <w:jc w:val="center"/>
        </w:trPr>
        <w:tc>
          <w:tcPr>
            <w:tcW w:w="850" w:type="dxa"/>
            <w:vAlign w:val="center"/>
          </w:tcPr>
          <w:p w:rsidR="009B02FC" w:rsidRDefault="00AD12FB">
            <w:pPr>
              <w:jc w:val="center"/>
            </w:pPr>
            <w:r>
              <w:rPr>
                <w:color w:val="000000"/>
                <w:sz w:val="24"/>
                <w:szCs w:val="24"/>
              </w:rPr>
              <w:t>1</w:t>
            </w:r>
          </w:p>
        </w:tc>
        <w:tc>
          <w:tcPr>
            <w:tcW w:w="1475" w:type="dxa"/>
            <w:vAlign w:val="center"/>
          </w:tcPr>
          <w:p w:rsidR="009B02FC" w:rsidRDefault="00AD12FB">
            <w:pPr>
              <w:jc w:val="center"/>
            </w:pPr>
            <w:r>
              <w:rPr>
                <w:color w:val="000000"/>
                <w:sz w:val="24"/>
                <w:szCs w:val="24"/>
              </w:rPr>
              <w:t>111814038</w:t>
            </w:r>
          </w:p>
        </w:tc>
        <w:tc>
          <w:tcPr>
            <w:tcW w:w="1769" w:type="dxa"/>
            <w:vAlign w:val="center"/>
          </w:tcPr>
          <w:p w:rsidR="009B02FC" w:rsidRDefault="00AD12FB">
            <w:pPr>
              <w:jc w:val="center"/>
            </w:pPr>
            <w:r>
              <w:rPr>
                <w:color w:val="000000"/>
                <w:sz w:val="24"/>
                <w:szCs w:val="24"/>
              </w:rPr>
              <w:t>18</w:t>
            </w:r>
            <w:r>
              <w:rPr>
                <w:color w:val="000000"/>
                <w:sz w:val="24"/>
                <w:szCs w:val="24"/>
              </w:rPr>
              <w:t>江苏银行</w:t>
            </w:r>
            <w:r>
              <w:rPr>
                <w:color w:val="000000"/>
                <w:sz w:val="24"/>
                <w:szCs w:val="24"/>
              </w:rPr>
              <w:t>CD038</w:t>
            </w:r>
          </w:p>
        </w:tc>
        <w:tc>
          <w:tcPr>
            <w:tcW w:w="1387" w:type="dxa"/>
            <w:vAlign w:val="center"/>
          </w:tcPr>
          <w:p w:rsidR="009B02FC" w:rsidRDefault="00AD12FB">
            <w:pPr>
              <w:jc w:val="right"/>
            </w:pPr>
            <w:r>
              <w:rPr>
                <w:color w:val="000000"/>
                <w:sz w:val="24"/>
                <w:szCs w:val="24"/>
              </w:rPr>
              <w:t>1,000,000</w:t>
            </w:r>
          </w:p>
        </w:tc>
        <w:tc>
          <w:tcPr>
            <w:tcW w:w="2150" w:type="dxa"/>
            <w:vAlign w:val="center"/>
          </w:tcPr>
          <w:p w:rsidR="009B02FC" w:rsidRDefault="00AD12FB">
            <w:pPr>
              <w:jc w:val="right"/>
            </w:pPr>
            <w:r>
              <w:rPr>
                <w:color w:val="000000"/>
                <w:sz w:val="24"/>
                <w:szCs w:val="24"/>
              </w:rPr>
              <w:t>95,460,000.00</w:t>
            </w:r>
          </w:p>
        </w:tc>
        <w:tc>
          <w:tcPr>
            <w:tcW w:w="1237" w:type="dxa"/>
            <w:vAlign w:val="center"/>
          </w:tcPr>
          <w:p w:rsidR="009B02FC" w:rsidRDefault="00AD12FB">
            <w:pPr>
              <w:jc w:val="right"/>
            </w:pPr>
            <w:r>
              <w:rPr>
                <w:color w:val="000000"/>
                <w:sz w:val="24"/>
                <w:szCs w:val="24"/>
              </w:rPr>
              <w:t>14.68</w:t>
            </w:r>
          </w:p>
        </w:tc>
      </w:tr>
      <w:tr w:rsidR="009B02FC">
        <w:trPr>
          <w:jc w:val="center"/>
        </w:trPr>
        <w:tc>
          <w:tcPr>
            <w:tcW w:w="850" w:type="dxa"/>
            <w:vAlign w:val="center"/>
          </w:tcPr>
          <w:p w:rsidR="009B02FC" w:rsidRDefault="00AD12FB">
            <w:pPr>
              <w:jc w:val="center"/>
            </w:pPr>
            <w:r>
              <w:rPr>
                <w:color w:val="000000"/>
                <w:sz w:val="24"/>
                <w:szCs w:val="24"/>
              </w:rPr>
              <w:t>2</w:t>
            </w:r>
          </w:p>
        </w:tc>
        <w:tc>
          <w:tcPr>
            <w:tcW w:w="1475" w:type="dxa"/>
            <w:vAlign w:val="center"/>
          </w:tcPr>
          <w:p w:rsidR="009B02FC" w:rsidRDefault="00AD12FB">
            <w:pPr>
              <w:jc w:val="center"/>
            </w:pPr>
            <w:r>
              <w:rPr>
                <w:color w:val="000000"/>
                <w:sz w:val="24"/>
                <w:szCs w:val="24"/>
              </w:rPr>
              <w:t>111892033</w:t>
            </w:r>
          </w:p>
        </w:tc>
        <w:tc>
          <w:tcPr>
            <w:tcW w:w="1769" w:type="dxa"/>
            <w:vAlign w:val="center"/>
          </w:tcPr>
          <w:p w:rsidR="009B02FC" w:rsidRDefault="00AD12FB">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9B02FC" w:rsidRDefault="00AD12FB">
            <w:pPr>
              <w:jc w:val="right"/>
            </w:pPr>
            <w:r>
              <w:rPr>
                <w:color w:val="000000"/>
                <w:sz w:val="24"/>
                <w:szCs w:val="24"/>
              </w:rPr>
              <w:t>1,000,000</w:t>
            </w:r>
          </w:p>
        </w:tc>
        <w:tc>
          <w:tcPr>
            <w:tcW w:w="2150" w:type="dxa"/>
            <w:vAlign w:val="center"/>
          </w:tcPr>
          <w:p w:rsidR="009B02FC" w:rsidRDefault="00AD12FB">
            <w:pPr>
              <w:jc w:val="right"/>
            </w:pPr>
            <w:r>
              <w:rPr>
                <w:color w:val="000000"/>
                <w:sz w:val="24"/>
                <w:szCs w:val="24"/>
              </w:rPr>
              <w:t>95,400,000.00</w:t>
            </w:r>
          </w:p>
        </w:tc>
        <w:tc>
          <w:tcPr>
            <w:tcW w:w="1237" w:type="dxa"/>
            <w:vAlign w:val="center"/>
          </w:tcPr>
          <w:p w:rsidR="009B02FC" w:rsidRDefault="00AD12FB">
            <w:pPr>
              <w:jc w:val="right"/>
            </w:pPr>
            <w:r>
              <w:rPr>
                <w:color w:val="000000"/>
                <w:sz w:val="24"/>
                <w:szCs w:val="24"/>
              </w:rPr>
              <w:t>14.67</w:t>
            </w:r>
          </w:p>
        </w:tc>
      </w:tr>
      <w:tr w:rsidR="009B02FC">
        <w:trPr>
          <w:jc w:val="center"/>
        </w:trPr>
        <w:tc>
          <w:tcPr>
            <w:tcW w:w="850" w:type="dxa"/>
            <w:vAlign w:val="center"/>
          </w:tcPr>
          <w:p w:rsidR="009B02FC" w:rsidRDefault="00AD12FB">
            <w:pPr>
              <w:jc w:val="center"/>
            </w:pPr>
            <w:r>
              <w:rPr>
                <w:color w:val="000000"/>
                <w:sz w:val="24"/>
                <w:szCs w:val="24"/>
              </w:rPr>
              <w:t>3</w:t>
            </w:r>
          </w:p>
        </w:tc>
        <w:tc>
          <w:tcPr>
            <w:tcW w:w="1475" w:type="dxa"/>
            <w:vAlign w:val="center"/>
          </w:tcPr>
          <w:p w:rsidR="009B02FC" w:rsidRDefault="00AD12FB">
            <w:pPr>
              <w:jc w:val="center"/>
            </w:pPr>
            <w:r>
              <w:rPr>
                <w:color w:val="000000"/>
                <w:sz w:val="24"/>
                <w:szCs w:val="24"/>
              </w:rPr>
              <w:t>111892919</w:t>
            </w:r>
          </w:p>
        </w:tc>
        <w:tc>
          <w:tcPr>
            <w:tcW w:w="1769" w:type="dxa"/>
            <w:vAlign w:val="center"/>
          </w:tcPr>
          <w:p w:rsidR="009B02FC" w:rsidRDefault="00AD12FB">
            <w:pPr>
              <w:jc w:val="center"/>
            </w:pPr>
            <w:r>
              <w:rPr>
                <w:color w:val="000000"/>
                <w:sz w:val="24"/>
                <w:szCs w:val="24"/>
              </w:rPr>
              <w:t>18</w:t>
            </w:r>
            <w:r>
              <w:rPr>
                <w:color w:val="000000"/>
                <w:sz w:val="24"/>
                <w:szCs w:val="24"/>
              </w:rPr>
              <w:t>杭州银行</w:t>
            </w:r>
            <w:r>
              <w:rPr>
                <w:color w:val="000000"/>
                <w:sz w:val="24"/>
                <w:szCs w:val="24"/>
              </w:rPr>
              <w:t>CD009</w:t>
            </w:r>
          </w:p>
        </w:tc>
        <w:tc>
          <w:tcPr>
            <w:tcW w:w="1387" w:type="dxa"/>
            <w:vAlign w:val="center"/>
          </w:tcPr>
          <w:p w:rsidR="009B02FC" w:rsidRDefault="00AD12FB">
            <w:pPr>
              <w:jc w:val="right"/>
            </w:pPr>
            <w:r>
              <w:rPr>
                <w:color w:val="000000"/>
                <w:sz w:val="24"/>
                <w:szCs w:val="24"/>
              </w:rPr>
              <w:t>1,000,000</w:t>
            </w:r>
          </w:p>
        </w:tc>
        <w:tc>
          <w:tcPr>
            <w:tcW w:w="2150" w:type="dxa"/>
            <w:vAlign w:val="center"/>
          </w:tcPr>
          <w:p w:rsidR="009B02FC" w:rsidRDefault="00AD12FB">
            <w:pPr>
              <w:jc w:val="right"/>
            </w:pPr>
            <w:r>
              <w:rPr>
                <w:color w:val="000000"/>
                <w:sz w:val="24"/>
                <w:szCs w:val="24"/>
              </w:rPr>
              <w:t>95,400,000.00</w:t>
            </w:r>
          </w:p>
        </w:tc>
        <w:tc>
          <w:tcPr>
            <w:tcW w:w="1237" w:type="dxa"/>
            <w:vAlign w:val="center"/>
          </w:tcPr>
          <w:p w:rsidR="009B02FC" w:rsidRDefault="00AD12FB">
            <w:pPr>
              <w:jc w:val="right"/>
            </w:pPr>
            <w:r>
              <w:rPr>
                <w:color w:val="000000"/>
                <w:sz w:val="24"/>
                <w:szCs w:val="24"/>
              </w:rPr>
              <w:t>14.67</w:t>
            </w:r>
          </w:p>
        </w:tc>
      </w:tr>
      <w:tr w:rsidR="009B02FC">
        <w:trPr>
          <w:jc w:val="center"/>
        </w:trPr>
        <w:tc>
          <w:tcPr>
            <w:tcW w:w="850" w:type="dxa"/>
            <w:vAlign w:val="center"/>
          </w:tcPr>
          <w:p w:rsidR="009B02FC" w:rsidRDefault="00AD12FB">
            <w:pPr>
              <w:jc w:val="center"/>
            </w:pPr>
            <w:r>
              <w:rPr>
                <w:color w:val="000000"/>
                <w:sz w:val="24"/>
                <w:szCs w:val="24"/>
              </w:rPr>
              <w:t>4</w:t>
            </w:r>
          </w:p>
        </w:tc>
        <w:tc>
          <w:tcPr>
            <w:tcW w:w="1475" w:type="dxa"/>
            <w:vAlign w:val="center"/>
          </w:tcPr>
          <w:p w:rsidR="009B02FC" w:rsidRDefault="00AD12FB">
            <w:pPr>
              <w:jc w:val="center"/>
            </w:pPr>
            <w:r>
              <w:rPr>
                <w:color w:val="000000"/>
                <w:sz w:val="24"/>
                <w:szCs w:val="24"/>
              </w:rPr>
              <w:t>111892819</w:t>
            </w:r>
          </w:p>
        </w:tc>
        <w:tc>
          <w:tcPr>
            <w:tcW w:w="1769" w:type="dxa"/>
            <w:vAlign w:val="center"/>
          </w:tcPr>
          <w:p w:rsidR="009B02FC" w:rsidRDefault="00AD12FB">
            <w:pPr>
              <w:jc w:val="center"/>
            </w:pPr>
            <w:r>
              <w:rPr>
                <w:color w:val="000000"/>
                <w:sz w:val="24"/>
                <w:szCs w:val="24"/>
              </w:rPr>
              <w:t>18</w:t>
            </w:r>
            <w:r>
              <w:rPr>
                <w:color w:val="000000"/>
                <w:sz w:val="24"/>
                <w:szCs w:val="24"/>
              </w:rPr>
              <w:t>徽商银行</w:t>
            </w:r>
            <w:r>
              <w:rPr>
                <w:color w:val="000000"/>
                <w:sz w:val="24"/>
                <w:szCs w:val="24"/>
              </w:rPr>
              <w:t>CD033</w:t>
            </w:r>
          </w:p>
        </w:tc>
        <w:tc>
          <w:tcPr>
            <w:tcW w:w="1387" w:type="dxa"/>
            <w:vAlign w:val="center"/>
          </w:tcPr>
          <w:p w:rsidR="009B02FC" w:rsidRDefault="00AD12FB">
            <w:pPr>
              <w:jc w:val="right"/>
            </w:pPr>
            <w:r>
              <w:rPr>
                <w:color w:val="000000"/>
                <w:sz w:val="24"/>
                <w:szCs w:val="24"/>
              </w:rPr>
              <w:t>1,000,000</w:t>
            </w:r>
          </w:p>
        </w:tc>
        <w:tc>
          <w:tcPr>
            <w:tcW w:w="2150" w:type="dxa"/>
            <w:vAlign w:val="center"/>
          </w:tcPr>
          <w:p w:rsidR="009B02FC" w:rsidRDefault="00AD12FB">
            <w:pPr>
              <w:jc w:val="right"/>
            </w:pPr>
            <w:r>
              <w:rPr>
                <w:color w:val="000000"/>
                <w:sz w:val="24"/>
                <w:szCs w:val="24"/>
              </w:rPr>
              <w:t>95,400,000.00</w:t>
            </w:r>
          </w:p>
        </w:tc>
        <w:tc>
          <w:tcPr>
            <w:tcW w:w="1237" w:type="dxa"/>
            <w:vAlign w:val="center"/>
          </w:tcPr>
          <w:p w:rsidR="009B02FC" w:rsidRDefault="00AD12FB">
            <w:pPr>
              <w:jc w:val="right"/>
            </w:pPr>
            <w:r>
              <w:rPr>
                <w:color w:val="000000"/>
                <w:sz w:val="24"/>
                <w:szCs w:val="24"/>
              </w:rPr>
              <w:t>14.67</w:t>
            </w:r>
          </w:p>
        </w:tc>
      </w:tr>
      <w:tr w:rsidR="009B02FC">
        <w:trPr>
          <w:jc w:val="center"/>
        </w:trPr>
        <w:tc>
          <w:tcPr>
            <w:tcW w:w="850" w:type="dxa"/>
            <w:vAlign w:val="center"/>
          </w:tcPr>
          <w:p w:rsidR="009B02FC" w:rsidRDefault="00AD12FB">
            <w:pPr>
              <w:jc w:val="center"/>
            </w:pPr>
            <w:r>
              <w:rPr>
                <w:color w:val="000000"/>
                <w:sz w:val="24"/>
                <w:szCs w:val="24"/>
              </w:rPr>
              <w:t>5</w:t>
            </w:r>
          </w:p>
        </w:tc>
        <w:tc>
          <w:tcPr>
            <w:tcW w:w="1475" w:type="dxa"/>
            <w:vAlign w:val="center"/>
          </w:tcPr>
          <w:p w:rsidR="009B02FC" w:rsidRDefault="00AD12FB">
            <w:pPr>
              <w:jc w:val="center"/>
            </w:pPr>
            <w:r>
              <w:rPr>
                <w:color w:val="000000"/>
                <w:sz w:val="24"/>
                <w:szCs w:val="24"/>
              </w:rPr>
              <w:t>101452005</w:t>
            </w:r>
          </w:p>
        </w:tc>
        <w:tc>
          <w:tcPr>
            <w:tcW w:w="1769" w:type="dxa"/>
            <w:vAlign w:val="center"/>
          </w:tcPr>
          <w:p w:rsidR="009B02FC" w:rsidRDefault="00AD12FB">
            <w:pPr>
              <w:jc w:val="center"/>
            </w:pPr>
            <w:r>
              <w:rPr>
                <w:color w:val="000000"/>
                <w:sz w:val="24"/>
                <w:szCs w:val="24"/>
              </w:rPr>
              <w:t>14</w:t>
            </w:r>
            <w:r>
              <w:rPr>
                <w:color w:val="000000"/>
                <w:sz w:val="24"/>
                <w:szCs w:val="24"/>
              </w:rPr>
              <w:t>华能集</w:t>
            </w:r>
            <w:r>
              <w:rPr>
                <w:color w:val="000000"/>
                <w:sz w:val="24"/>
                <w:szCs w:val="24"/>
              </w:rPr>
              <w:t>MTN002</w:t>
            </w:r>
          </w:p>
        </w:tc>
        <w:tc>
          <w:tcPr>
            <w:tcW w:w="1387" w:type="dxa"/>
            <w:vAlign w:val="center"/>
          </w:tcPr>
          <w:p w:rsidR="009B02FC" w:rsidRDefault="00AD12FB">
            <w:pPr>
              <w:jc w:val="right"/>
            </w:pPr>
            <w:r>
              <w:rPr>
                <w:color w:val="000000"/>
                <w:sz w:val="24"/>
                <w:szCs w:val="24"/>
              </w:rPr>
              <w:t>500,000</w:t>
            </w:r>
          </w:p>
        </w:tc>
        <w:tc>
          <w:tcPr>
            <w:tcW w:w="2150" w:type="dxa"/>
            <w:vAlign w:val="center"/>
          </w:tcPr>
          <w:p w:rsidR="009B02FC" w:rsidRDefault="00AD12FB">
            <w:pPr>
              <w:jc w:val="right"/>
            </w:pPr>
            <w:r>
              <w:rPr>
                <w:color w:val="000000"/>
                <w:sz w:val="24"/>
                <w:szCs w:val="24"/>
              </w:rPr>
              <w:t>50,490,000.00</w:t>
            </w:r>
          </w:p>
        </w:tc>
        <w:tc>
          <w:tcPr>
            <w:tcW w:w="1237" w:type="dxa"/>
            <w:vAlign w:val="center"/>
          </w:tcPr>
          <w:p w:rsidR="009B02FC" w:rsidRDefault="00AD12FB">
            <w:pPr>
              <w:jc w:val="right"/>
            </w:pPr>
            <w:r>
              <w:rPr>
                <w:color w:val="000000"/>
                <w:sz w:val="24"/>
                <w:szCs w:val="24"/>
              </w:rPr>
              <w:t>7.76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391.61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3,905,972.54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10,591,646.41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14,498,010.56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9B02FC">
        <w:trPr>
          <w:jc w:val="center"/>
        </w:trPr>
        <w:tc>
          <w:tcPr>
            <w:tcW w:w="1883" w:type="dxa"/>
            <w:vAlign w:val="center"/>
          </w:tcPr>
          <w:p w:rsidR="009B02FC" w:rsidRDefault="00AD12FB">
            <w:pPr>
              <w:jc w:val="center"/>
            </w:pPr>
            <w:r>
              <w:rPr>
                <w:color w:val="000000"/>
                <w:sz w:val="24"/>
                <w:szCs w:val="24"/>
              </w:rPr>
              <w:t>1</w:t>
            </w:r>
          </w:p>
        </w:tc>
        <w:tc>
          <w:tcPr>
            <w:tcW w:w="1801" w:type="dxa"/>
            <w:vAlign w:val="center"/>
          </w:tcPr>
          <w:p w:rsidR="009B02FC" w:rsidRDefault="00AD12FB">
            <w:pPr>
              <w:jc w:val="center"/>
            </w:pPr>
            <w:r>
              <w:rPr>
                <w:color w:val="000000"/>
                <w:sz w:val="24"/>
                <w:szCs w:val="24"/>
              </w:rPr>
              <w:t>113011</w:t>
            </w:r>
          </w:p>
        </w:tc>
        <w:tc>
          <w:tcPr>
            <w:tcW w:w="1727" w:type="dxa"/>
            <w:vAlign w:val="center"/>
          </w:tcPr>
          <w:p w:rsidR="009B02FC" w:rsidRDefault="00AD12FB">
            <w:pPr>
              <w:jc w:val="center"/>
            </w:pPr>
            <w:r>
              <w:rPr>
                <w:color w:val="000000"/>
                <w:sz w:val="24"/>
                <w:szCs w:val="24"/>
              </w:rPr>
              <w:t>光大转债</w:t>
            </w:r>
          </w:p>
        </w:tc>
        <w:tc>
          <w:tcPr>
            <w:tcW w:w="1768" w:type="dxa"/>
            <w:vAlign w:val="center"/>
          </w:tcPr>
          <w:p w:rsidR="009B02FC" w:rsidRDefault="00AD12FB">
            <w:pPr>
              <w:jc w:val="right"/>
            </w:pPr>
            <w:r>
              <w:rPr>
                <w:color w:val="000000"/>
                <w:sz w:val="24"/>
                <w:szCs w:val="24"/>
              </w:rPr>
              <w:t>6,995,875.20</w:t>
            </w:r>
          </w:p>
        </w:tc>
        <w:tc>
          <w:tcPr>
            <w:tcW w:w="1689" w:type="dxa"/>
            <w:vAlign w:val="center"/>
          </w:tcPr>
          <w:p w:rsidR="009B02FC" w:rsidRDefault="00AD12FB">
            <w:pPr>
              <w:jc w:val="right"/>
            </w:pPr>
            <w:r>
              <w:rPr>
                <w:color w:val="000000"/>
                <w:sz w:val="24"/>
                <w:szCs w:val="24"/>
              </w:rPr>
              <w:t>1.08</w:t>
            </w:r>
          </w:p>
        </w:tc>
      </w:tr>
      <w:tr w:rsidR="009B02FC">
        <w:trPr>
          <w:jc w:val="center"/>
        </w:trPr>
        <w:tc>
          <w:tcPr>
            <w:tcW w:w="1883" w:type="dxa"/>
            <w:vAlign w:val="center"/>
          </w:tcPr>
          <w:p w:rsidR="009B02FC" w:rsidRDefault="00AD12FB">
            <w:pPr>
              <w:jc w:val="center"/>
            </w:pPr>
            <w:r>
              <w:rPr>
                <w:color w:val="000000"/>
                <w:sz w:val="24"/>
                <w:szCs w:val="24"/>
              </w:rPr>
              <w:t>2</w:t>
            </w:r>
          </w:p>
        </w:tc>
        <w:tc>
          <w:tcPr>
            <w:tcW w:w="1801" w:type="dxa"/>
            <w:vAlign w:val="center"/>
          </w:tcPr>
          <w:p w:rsidR="009B02FC" w:rsidRDefault="00AD12FB">
            <w:pPr>
              <w:jc w:val="center"/>
            </w:pPr>
            <w:r>
              <w:rPr>
                <w:color w:val="000000"/>
                <w:sz w:val="24"/>
                <w:szCs w:val="24"/>
              </w:rPr>
              <w:t>128015</w:t>
            </w:r>
          </w:p>
        </w:tc>
        <w:tc>
          <w:tcPr>
            <w:tcW w:w="1727" w:type="dxa"/>
            <w:vAlign w:val="center"/>
          </w:tcPr>
          <w:p w:rsidR="009B02FC" w:rsidRDefault="00AD12FB">
            <w:pPr>
              <w:jc w:val="center"/>
            </w:pPr>
            <w:proofErr w:type="gramStart"/>
            <w:r>
              <w:rPr>
                <w:color w:val="000000"/>
                <w:sz w:val="24"/>
                <w:szCs w:val="24"/>
              </w:rPr>
              <w:t>久其转</w:t>
            </w:r>
            <w:proofErr w:type="gramEnd"/>
            <w:r>
              <w:rPr>
                <w:color w:val="000000"/>
                <w:sz w:val="24"/>
                <w:szCs w:val="24"/>
              </w:rPr>
              <w:t>债</w:t>
            </w:r>
          </w:p>
        </w:tc>
        <w:tc>
          <w:tcPr>
            <w:tcW w:w="1768" w:type="dxa"/>
            <w:vAlign w:val="center"/>
          </w:tcPr>
          <w:p w:rsidR="009B02FC" w:rsidRDefault="00AD12FB">
            <w:pPr>
              <w:jc w:val="right"/>
            </w:pPr>
            <w:r>
              <w:rPr>
                <w:color w:val="000000"/>
                <w:sz w:val="24"/>
                <w:szCs w:val="24"/>
              </w:rPr>
              <w:t>1,092,600.00</w:t>
            </w:r>
          </w:p>
        </w:tc>
        <w:tc>
          <w:tcPr>
            <w:tcW w:w="1689" w:type="dxa"/>
            <w:vAlign w:val="center"/>
          </w:tcPr>
          <w:p w:rsidR="009B02FC" w:rsidRDefault="00AD12FB">
            <w:pPr>
              <w:jc w:val="right"/>
            </w:pPr>
            <w:r>
              <w:rPr>
                <w:color w:val="000000"/>
                <w:sz w:val="24"/>
                <w:szCs w:val="24"/>
              </w:rPr>
              <w:t>0.17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AD12FB" w:rsidRPr="00E778DC" w:rsidRDefault="00AD12FB" w:rsidP="00AD12FB">
      <w:pPr>
        <w:autoSpaceDE w:val="0"/>
        <w:autoSpaceDN w:val="0"/>
        <w:adjustRightInd w:val="0"/>
        <w:spacing w:before="29"/>
        <w:jc w:val="left"/>
        <w:rPr>
          <w:color w:val="000000"/>
          <w:kern w:val="0"/>
          <w:sz w:val="24"/>
        </w:rPr>
      </w:pPr>
      <w:r w:rsidRPr="00634EB4">
        <w:rPr>
          <w:rFonts w:hint="eastAsia"/>
          <w:color w:val="000000"/>
          <w:kern w:val="0"/>
          <w:sz w:val="24"/>
        </w:rPr>
        <w:t>1</w:t>
      </w:r>
      <w:r w:rsidRPr="00634EB4">
        <w:rPr>
          <w:rFonts w:hint="eastAsia"/>
          <w:color w:val="000000"/>
          <w:kern w:val="0"/>
          <w:sz w:val="24"/>
        </w:rPr>
        <w:t>、本基金本报告期末未持有处于交换期的可交换债券。</w:t>
      </w:r>
    </w:p>
    <w:p w:rsidR="00AD12FB" w:rsidRDefault="00AD12FB" w:rsidP="00AD12FB">
      <w:pPr>
        <w:autoSpaceDE w:val="0"/>
        <w:autoSpaceDN w:val="0"/>
        <w:adjustRightInd w:val="0"/>
        <w:spacing w:before="29"/>
        <w:jc w:val="left"/>
        <w:rPr>
          <w:b/>
          <w:color w:val="000000"/>
          <w:kern w:val="0"/>
          <w:sz w:val="24"/>
        </w:rPr>
      </w:pPr>
      <w:r w:rsidRPr="00E778DC">
        <w:rPr>
          <w:rFonts w:hint="eastAsia"/>
          <w:color w:val="000000"/>
          <w:kern w:val="0"/>
          <w:sz w:val="24"/>
        </w:rPr>
        <w:t>2</w:t>
      </w:r>
      <w:r w:rsidRPr="00E778DC">
        <w:rPr>
          <w:rFonts w:hint="eastAsia"/>
          <w:color w:val="000000"/>
          <w:kern w:val="0"/>
          <w:sz w:val="24"/>
        </w:rPr>
        <w:t>、由于四舍五入的原因，分项之和与合计项之间可能存在尾差。</w:t>
      </w:r>
    </w:p>
    <w:p w:rsidR="006B2FF6" w:rsidRPr="00AD12FB"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23408F" w:rsidRPr="0023408F" w:rsidRDefault="0023408F" w:rsidP="0023408F">
      <w:pPr>
        <w:adjustRightInd w:val="0"/>
        <w:snapToGrid w:val="0"/>
        <w:spacing w:beforeLines="50" w:before="156" w:line="360" w:lineRule="auto"/>
        <w:rPr>
          <w:rFonts w:eastAsiaTheme="minorEastAsia" w:hint="eastAsia"/>
          <w:b/>
          <w:color w:val="000000" w:themeColor="text1"/>
          <w:kern w:val="0"/>
          <w:sz w:val="24"/>
          <w:szCs w:val="24"/>
        </w:rPr>
      </w:pPr>
      <w:r w:rsidRPr="0023408F">
        <w:rPr>
          <w:rFonts w:eastAsiaTheme="minorEastAsia" w:hint="eastAsia"/>
          <w:b/>
          <w:color w:val="000000" w:themeColor="text1"/>
          <w:kern w:val="0"/>
          <w:sz w:val="24"/>
          <w:szCs w:val="24"/>
        </w:rPr>
        <w:lastRenderedPageBreak/>
        <w:t xml:space="preserve">6.3 </w:t>
      </w:r>
      <w:r w:rsidRPr="0023408F">
        <w:rPr>
          <w:rFonts w:eastAsiaTheme="minorEastAsia" w:hint="eastAsia"/>
          <w:b/>
          <w:color w:val="000000" w:themeColor="text1"/>
          <w:kern w:val="0"/>
          <w:sz w:val="24"/>
          <w:szCs w:val="24"/>
        </w:rPr>
        <w:t>本报告期持有的基金发生的重大影响事件</w:t>
      </w:r>
    </w:p>
    <w:p w:rsidR="0023408F" w:rsidRPr="00575270" w:rsidRDefault="0023408F" w:rsidP="0023408F">
      <w:pPr>
        <w:autoSpaceDE w:val="0"/>
        <w:autoSpaceDN w:val="0"/>
        <w:adjustRightInd w:val="0"/>
        <w:spacing w:line="360" w:lineRule="auto"/>
        <w:ind w:firstLineChars="200" w:firstLine="480"/>
        <w:jc w:val="left"/>
        <w:rPr>
          <w:rFonts w:eastAsiaTheme="minorEastAsia" w:hint="eastAsia"/>
          <w:color w:val="000000" w:themeColor="text1"/>
          <w:sz w:val="24"/>
          <w:szCs w:val="24"/>
        </w:rPr>
      </w:pPr>
      <w:r w:rsidRPr="0023408F">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689,816,851.23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39,981.57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62,374,035.92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627,482,796.88</w:t>
            </w:r>
          </w:p>
        </w:tc>
      </w:tr>
    </w:tbl>
    <w:p w:rsidR="009B02FC" w:rsidRDefault="00AD12F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B02FC">
        <w:tc>
          <w:tcPr>
            <w:tcW w:w="993" w:type="dxa"/>
            <w:vMerge w:val="restart"/>
          </w:tcPr>
          <w:p w:rsidR="009B02FC" w:rsidRDefault="009B02FC"/>
          <w:p w:rsidR="009B02FC" w:rsidRDefault="00AD12FB">
            <w:r>
              <w:rPr>
                <w:rFonts w:ascii="宋体" w:hAnsi="宋体" w:hint="eastAsia"/>
                <w:bCs/>
                <w:color w:val="000000"/>
                <w:kern w:val="0"/>
              </w:rPr>
              <w:t>机构</w:t>
            </w:r>
          </w:p>
        </w:tc>
        <w:tc>
          <w:tcPr>
            <w:tcW w:w="992" w:type="dxa"/>
            <w:vAlign w:val="center"/>
          </w:tcPr>
          <w:p w:rsidR="009B02FC" w:rsidRDefault="00AD12FB">
            <w:pPr>
              <w:jc w:val="center"/>
            </w:pPr>
            <w:r>
              <w:rPr>
                <w:rFonts w:ascii="宋体" w:hAnsi="宋体"/>
                <w:color w:val="000000"/>
                <w:kern w:val="0"/>
              </w:rPr>
              <w:t>1</w:t>
            </w:r>
          </w:p>
        </w:tc>
        <w:tc>
          <w:tcPr>
            <w:tcW w:w="1843" w:type="dxa"/>
            <w:vAlign w:val="center"/>
          </w:tcPr>
          <w:p w:rsidR="009B02FC" w:rsidRDefault="00AD12FB">
            <w:pPr>
              <w:jc w:val="center"/>
            </w:pPr>
            <w:r>
              <w:rPr>
                <w:rFonts w:ascii="宋体" w:hAnsi="宋体"/>
                <w:color w:val="000000"/>
                <w:kern w:val="0"/>
              </w:rPr>
              <w:t>2018/1/1-2018/3/31</w:t>
            </w:r>
          </w:p>
        </w:tc>
        <w:tc>
          <w:tcPr>
            <w:tcW w:w="851" w:type="dxa"/>
            <w:vAlign w:val="center"/>
          </w:tcPr>
          <w:p w:rsidR="009B02FC" w:rsidRDefault="00AD12FB">
            <w:pPr>
              <w:jc w:val="center"/>
            </w:pPr>
            <w:r>
              <w:rPr>
                <w:rFonts w:ascii="宋体" w:hAnsi="宋体"/>
                <w:color w:val="000000"/>
                <w:kern w:val="0"/>
              </w:rPr>
              <w:t>200,017,000.00</w:t>
            </w:r>
          </w:p>
        </w:tc>
        <w:tc>
          <w:tcPr>
            <w:tcW w:w="850" w:type="dxa"/>
            <w:vAlign w:val="center"/>
          </w:tcPr>
          <w:p w:rsidR="009B02FC" w:rsidRDefault="00AD12FB">
            <w:pPr>
              <w:jc w:val="center"/>
            </w:pPr>
            <w:r>
              <w:rPr>
                <w:rFonts w:ascii="宋体" w:hAnsi="宋体"/>
                <w:color w:val="000000"/>
                <w:kern w:val="0"/>
              </w:rPr>
              <w:t>-</w:t>
            </w:r>
          </w:p>
        </w:tc>
        <w:tc>
          <w:tcPr>
            <w:tcW w:w="1134" w:type="dxa"/>
            <w:vAlign w:val="center"/>
          </w:tcPr>
          <w:p w:rsidR="009B02FC" w:rsidRDefault="00AD12FB">
            <w:pPr>
              <w:jc w:val="center"/>
            </w:pPr>
            <w:r>
              <w:rPr>
                <w:rFonts w:ascii="宋体" w:hAnsi="宋体"/>
                <w:color w:val="000000"/>
                <w:kern w:val="0"/>
              </w:rPr>
              <w:t>-</w:t>
            </w:r>
          </w:p>
        </w:tc>
        <w:tc>
          <w:tcPr>
            <w:tcW w:w="1419" w:type="dxa"/>
            <w:vAlign w:val="center"/>
          </w:tcPr>
          <w:p w:rsidR="009B02FC" w:rsidRDefault="00AD12FB">
            <w:pPr>
              <w:jc w:val="center"/>
            </w:pPr>
            <w:r>
              <w:rPr>
                <w:rFonts w:ascii="宋体" w:hAnsi="宋体"/>
                <w:color w:val="000000"/>
                <w:kern w:val="0"/>
              </w:rPr>
              <w:t>200,017,000.00</w:t>
            </w:r>
          </w:p>
        </w:tc>
        <w:tc>
          <w:tcPr>
            <w:tcW w:w="1130" w:type="dxa"/>
            <w:vAlign w:val="center"/>
          </w:tcPr>
          <w:p w:rsidR="009B02FC" w:rsidRDefault="00AD12FB">
            <w:pPr>
              <w:jc w:val="center"/>
            </w:pPr>
            <w:r>
              <w:rPr>
                <w:rFonts w:ascii="宋体" w:hAnsi="宋体"/>
                <w:color w:val="000000"/>
                <w:kern w:val="0"/>
              </w:rPr>
              <w:t>31.88%</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w:t>
            </w:r>
            <w:r w:rsidRPr="004F4D27">
              <w:rPr>
                <w:rFonts w:ascii="宋体" w:hAnsi="宋体" w:hint="eastAsia"/>
                <w:kern w:val="0"/>
              </w:rPr>
              <w:lastRenderedPageBreak/>
              <w:t>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lastRenderedPageBreak/>
        <w:t>9.2 影响投资者决策的其他重要信息</w:t>
      </w:r>
    </w:p>
    <w:p w:rsidR="009B02FC" w:rsidRPr="00541BDD" w:rsidRDefault="00AD12FB" w:rsidP="00541BDD">
      <w:pPr>
        <w:spacing w:before="29" w:line="288" w:lineRule="auto"/>
        <w:ind w:firstLineChars="200" w:firstLine="480"/>
        <w:rPr>
          <w:color w:val="000000"/>
          <w:sz w:val="24"/>
          <w:szCs w:val="24"/>
        </w:rPr>
      </w:pPr>
      <w:r w:rsidRPr="00541BDD">
        <w:rPr>
          <w:color w:val="000000"/>
          <w:sz w:val="24"/>
          <w:szCs w:val="24"/>
        </w:rPr>
        <w:t>1</w:t>
      </w:r>
      <w:r w:rsidRPr="00541BDD">
        <w:rPr>
          <w:color w:val="000000"/>
          <w:sz w:val="24"/>
          <w:szCs w:val="24"/>
        </w:rPr>
        <w:t>、根据财政部和国家税务总局于</w:t>
      </w:r>
      <w:r w:rsidRPr="00541BDD">
        <w:rPr>
          <w:color w:val="000000"/>
          <w:sz w:val="24"/>
          <w:szCs w:val="24"/>
        </w:rPr>
        <w:t>2016</w:t>
      </w:r>
      <w:r w:rsidRPr="00541BDD">
        <w:rPr>
          <w:color w:val="000000"/>
          <w:sz w:val="24"/>
          <w:szCs w:val="24"/>
        </w:rPr>
        <w:t>年</w:t>
      </w:r>
      <w:r w:rsidRPr="00541BDD">
        <w:rPr>
          <w:color w:val="000000"/>
          <w:sz w:val="24"/>
          <w:szCs w:val="24"/>
        </w:rPr>
        <w:t>12</w:t>
      </w:r>
      <w:r w:rsidRPr="00541BDD">
        <w:rPr>
          <w:color w:val="000000"/>
          <w:sz w:val="24"/>
          <w:szCs w:val="24"/>
        </w:rPr>
        <w:t>月</w:t>
      </w:r>
      <w:r w:rsidRPr="00541BDD">
        <w:rPr>
          <w:color w:val="000000"/>
          <w:sz w:val="24"/>
          <w:szCs w:val="24"/>
        </w:rPr>
        <w:t>21</w:t>
      </w:r>
      <w:r w:rsidRPr="00541BDD">
        <w:rPr>
          <w:color w:val="000000"/>
          <w:sz w:val="24"/>
          <w:szCs w:val="24"/>
        </w:rPr>
        <w:t>日联合发布的《关于明确金融、房地产开发、教育辅助服务等增值税政策的通知》（财税</w:t>
      </w:r>
      <w:r w:rsidRPr="00541BDD">
        <w:rPr>
          <w:color w:val="000000"/>
          <w:sz w:val="24"/>
          <w:szCs w:val="24"/>
        </w:rPr>
        <w:t>[2016]140</w:t>
      </w:r>
      <w:r w:rsidRPr="00541BDD">
        <w:rPr>
          <w:color w:val="000000"/>
          <w:sz w:val="24"/>
          <w:szCs w:val="24"/>
        </w:rPr>
        <w:t>号）以及于</w:t>
      </w:r>
      <w:r w:rsidRPr="00541BDD">
        <w:rPr>
          <w:color w:val="000000"/>
          <w:sz w:val="24"/>
          <w:szCs w:val="24"/>
        </w:rPr>
        <w:t>2017</w:t>
      </w:r>
      <w:r w:rsidRPr="00541BDD">
        <w:rPr>
          <w:color w:val="000000"/>
          <w:sz w:val="24"/>
          <w:szCs w:val="24"/>
        </w:rPr>
        <w:t>年</w:t>
      </w:r>
      <w:r w:rsidRPr="00541BDD">
        <w:rPr>
          <w:color w:val="000000"/>
          <w:sz w:val="24"/>
          <w:szCs w:val="24"/>
        </w:rPr>
        <w:t>6</w:t>
      </w:r>
      <w:r w:rsidRPr="00541BDD">
        <w:rPr>
          <w:color w:val="000000"/>
          <w:sz w:val="24"/>
          <w:szCs w:val="24"/>
        </w:rPr>
        <w:t>月</w:t>
      </w:r>
      <w:r w:rsidRPr="00541BDD">
        <w:rPr>
          <w:color w:val="000000"/>
          <w:sz w:val="24"/>
          <w:szCs w:val="24"/>
        </w:rPr>
        <w:t>30</w:t>
      </w:r>
      <w:r w:rsidRPr="00541BDD">
        <w:rPr>
          <w:color w:val="000000"/>
          <w:sz w:val="24"/>
          <w:szCs w:val="24"/>
        </w:rPr>
        <w:t>日联合发布的《财政部、税</w:t>
      </w:r>
      <w:bookmarkStart w:id="0" w:name="_GoBack"/>
      <w:bookmarkEnd w:id="0"/>
      <w:r w:rsidRPr="00541BDD">
        <w:rPr>
          <w:color w:val="000000"/>
          <w:sz w:val="24"/>
          <w:szCs w:val="24"/>
        </w:rPr>
        <w:t>务总局关于资管产品增值税有关问题的通知》（财税</w:t>
      </w:r>
      <w:r w:rsidRPr="00541BDD">
        <w:rPr>
          <w:color w:val="000000"/>
          <w:sz w:val="24"/>
          <w:szCs w:val="24"/>
        </w:rPr>
        <w:t>[2017]56</w:t>
      </w:r>
      <w:r w:rsidRPr="00541BDD">
        <w:rPr>
          <w:color w:val="000000"/>
          <w:sz w:val="24"/>
          <w:szCs w:val="24"/>
        </w:rPr>
        <w:t>号）等规定，自</w:t>
      </w:r>
      <w:r w:rsidRPr="00541BDD">
        <w:rPr>
          <w:color w:val="000000"/>
          <w:sz w:val="24"/>
          <w:szCs w:val="24"/>
        </w:rPr>
        <w:t>2018</w:t>
      </w:r>
      <w:r w:rsidRPr="00541BDD">
        <w:rPr>
          <w:color w:val="000000"/>
          <w:sz w:val="24"/>
          <w:szCs w:val="24"/>
        </w:rPr>
        <w:t>年</w:t>
      </w:r>
      <w:r w:rsidRPr="00541BDD">
        <w:rPr>
          <w:color w:val="000000"/>
          <w:sz w:val="24"/>
          <w:szCs w:val="24"/>
        </w:rPr>
        <w:t>1</w:t>
      </w:r>
      <w:r w:rsidRPr="00541BDD">
        <w:rPr>
          <w:color w:val="000000"/>
          <w:sz w:val="24"/>
          <w:szCs w:val="24"/>
        </w:rPr>
        <w:t>月</w:t>
      </w:r>
      <w:r w:rsidRPr="00541BDD">
        <w:rPr>
          <w:color w:val="000000"/>
          <w:sz w:val="24"/>
          <w:szCs w:val="24"/>
        </w:rPr>
        <w:t>1</w:t>
      </w:r>
      <w:r w:rsidRPr="00541BDD">
        <w:rPr>
          <w:color w:val="000000"/>
          <w:sz w:val="24"/>
          <w:szCs w:val="24"/>
        </w:rPr>
        <w:t>日（含）起，基金管理人运营公开募集证券投资基金（以下简称</w:t>
      </w:r>
      <w:r w:rsidRPr="00541BDD">
        <w:rPr>
          <w:color w:val="000000"/>
          <w:sz w:val="24"/>
          <w:szCs w:val="24"/>
        </w:rPr>
        <w:t>“</w:t>
      </w:r>
      <w:r w:rsidRPr="00541BDD">
        <w:rPr>
          <w:color w:val="000000"/>
          <w:sz w:val="24"/>
          <w:szCs w:val="24"/>
        </w:rPr>
        <w:t>基金</w:t>
      </w:r>
      <w:r w:rsidRPr="00541BDD">
        <w:rPr>
          <w:color w:val="000000"/>
          <w:sz w:val="24"/>
          <w:szCs w:val="24"/>
        </w:rPr>
        <w:t>”</w:t>
      </w:r>
      <w:r w:rsidRPr="00541BDD">
        <w:rPr>
          <w:color w:val="000000"/>
          <w:sz w:val="24"/>
          <w:szCs w:val="24"/>
        </w:rPr>
        <w:t>）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proofErr w:type="gramStart"/>
      <w:r w:rsidRPr="00541BDD">
        <w:rPr>
          <w:color w:val="000000"/>
          <w:sz w:val="24"/>
          <w:szCs w:val="24"/>
        </w:rPr>
        <w:t>作出</w:t>
      </w:r>
      <w:proofErr w:type="gramEnd"/>
      <w:r w:rsidRPr="00541BDD">
        <w:rPr>
          <w:color w:val="000000"/>
          <w:sz w:val="24"/>
          <w:szCs w:val="24"/>
        </w:rPr>
        <w:t>补充规定的，基金管理人将及时根据所涉及的税收政策</w:t>
      </w:r>
      <w:proofErr w:type="gramStart"/>
      <w:r w:rsidRPr="00541BDD">
        <w:rPr>
          <w:color w:val="000000"/>
          <w:sz w:val="24"/>
          <w:szCs w:val="24"/>
        </w:rPr>
        <w:t>作出</w:t>
      </w:r>
      <w:proofErr w:type="gramEnd"/>
      <w:r w:rsidRPr="00541BDD">
        <w:rPr>
          <w:color w:val="000000"/>
          <w:sz w:val="24"/>
          <w:szCs w:val="24"/>
        </w:rPr>
        <w:t>相应调整，切实履行基金管理人的职责。</w:t>
      </w:r>
    </w:p>
    <w:p w:rsidR="003C50AD" w:rsidRPr="00541BDD" w:rsidRDefault="003C50AD" w:rsidP="00541BDD">
      <w:pPr>
        <w:spacing w:before="29" w:line="288" w:lineRule="auto"/>
        <w:ind w:firstLineChars="200" w:firstLine="480"/>
        <w:rPr>
          <w:color w:val="000000"/>
          <w:sz w:val="24"/>
          <w:szCs w:val="24"/>
        </w:rPr>
      </w:pPr>
      <w:r w:rsidRPr="00541BDD">
        <w:rPr>
          <w:color w:val="000000"/>
          <w:sz w:val="24"/>
          <w:szCs w:val="24"/>
        </w:rPr>
        <w:t>2</w:t>
      </w:r>
      <w:r w:rsidRPr="00541BDD">
        <w:rPr>
          <w:color w:val="000000"/>
          <w:sz w:val="24"/>
          <w:szCs w:val="24"/>
        </w:rPr>
        <w:t>、根据《公开募集开放式证券投资基金流动性风险管理规定》的有关规定及相关监管要求，经与基金托管人协商一致并报监管机构备案，基金管理人对本</w:t>
      </w:r>
      <w:proofErr w:type="gramStart"/>
      <w:r w:rsidRPr="00541BDD">
        <w:rPr>
          <w:color w:val="000000"/>
          <w:sz w:val="24"/>
          <w:szCs w:val="24"/>
        </w:rPr>
        <w:t>基金基金</w:t>
      </w:r>
      <w:proofErr w:type="gramEnd"/>
      <w:r w:rsidRPr="00541BDD">
        <w:rPr>
          <w:color w:val="000000"/>
          <w:sz w:val="24"/>
          <w:szCs w:val="24"/>
        </w:rPr>
        <w:t>合同等法律文件作相应修改。请投资者关注基金合同中</w:t>
      </w:r>
      <w:r w:rsidRPr="00541BDD">
        <w:rPr>
          <w:color w:val="000000"/>
          <w:sz w:val="24"/>
          <w:szCs w:val="24"/>
        </w:rPr>
        <w:t>“</w:t>
      </w:r>
      <w:r w:rsidRPr="00541BDD">
        <w:rPr>
          <w:color w:val="000000"/>
          <w:sz w:val="24"/>
          <w:szCs w:val="24"/>
        </w:rPr>
        <w:t>对持续持有期少于</w:t>
      </w:r>
      <w:r w:rsidRPr="00541BDD">
        <w:rPr>
          <w:color w:val="000000"/>
          <w:sz w:val="24"/>
          <w:szCs w:val="24"/>
        </w:rPr>
        <w:t>7</w:t>
      </w:r>
      <w:r w:rsidRPr="00541BDD">
        <w:rPr>
          <w:color w:val="000000"/>
          <w:sz w:val="24"/>
          <w:szCs w:val="24"/>
        </w:rPr>
        <w:t>日的基金份额持有人收取不低于</w:t>
      </w:r>
      <w:r w:rsidRPr="00541BDD">
        <w:rPr>
          <w:color w:val="000000"/>
          <w:sz w:val="24"/>
          <w:szCs w:val="24"/>
        </w:rPr>
        <w:t>1.5%</w:t>
      </w:r>
      <w:r w:rsidRPr="00541BDD">
        <w:rPr>
          <w:color w:val="000000"/>
          <w:sz w:val="24"/>
          <w:szCs w:val="24"/>
        </w:rPr>
        <w:t>的赎回费并全额计入基金财产</w:t>
      </w:r>
      <w:r w:rsidRPr="00541BDD">
        <w:rPr>
          <w:color w:val="000000"/>
          <w:sz w:val="24"/>
          <w:szCs w:val="24"/>
        </w:rPr>
        <w:t>”</w:t>
      </w:r>
      <w:r w:rsidRPr="00541BDD">
        <w:rPr>
          <w:color w:val="000000"/>
          <w:sz w:val="24"/>
          <w:szCs w:val="24"/>
        </w:rPr>
        <w:t>的条款已于</w:t>
      </w:r>
      <w:r w:rsidRPr="00541BDD">
        <w:rPr>
          <w:color w:val="000000"/>
          <w:sz w:val="24"/>
          <w:szCs w:val="24"/>
        </w:rPr>
        <w:t>2018</w:t>
      </w:r>
      <w:r w:rsidRPr="00541BDD">
        <w:rPr>
          <w:color w:val="000000"/>
          <w:sz w:val="24"/>
          <w:szCs w:val="24"/>
        </w:rPr>
        <w:t>年</w:t>
      </w:r>
      <w:r w:rsidRPr="00541BDD">
        <w:rPr>
          <w:color w:val="000000"/>
          <w:sz w:val="24"/>
          <w:szCs w:val="24"/>
        </w:rPr>
        <w:t>3</w:t>
      </w:r>
      <w:r w:rsidRPr="00541BDD">
        <w:rPr>
          <w:color w:val="000000"/>
          <w:sz w:val="24"/>
          <w:szCs w:val="24"/>
        </w:rPr>
        <w:t>月</w:t>
      </w:r>
      <w:r w:rsidRPr="00541BDD">
        <w:rPr>
          <w:color w:val="000000"/>
          <w:sz w:val="24"/>
          <w:szCs w:val="24"/>
        </w:rPr>
        <w:t>31</w:t>
      </w:r>
      <w:r w:rsidRPr="00541BDD">
        <w:rPr>
          <w:color w:val="000000"/>
          <w:sz w:val="24"/>
          <w:szCs w:val="24"/>
        </w:rPr>
        <w:t>日起正式实施。欲知详情请查阅本基金管理人于</w:t>
      </w:r>
      <w:r w:rsidRPr="00541BDD">
        <w:rPr>
          <w:color w:val="000000"/>
          <w:sz w:val="24"/>
          <w:szCs w:val="24"/>
        </w:rPr>
        <w:t>2018</w:t>
      </w:r>
      <w:r w:rsidRPr="00541BDD">
        <w:rPr>
          <w:color w:val="000000"/>
          <w:sz w:val="24"/>
          <w:szCs w:val="24"/>
        </w:rPr>
        <w:t>年</w:t>
      </w:r>
      <w:r w:rsidRPr="00541BDD">
        <w:rPr>
          <w:color w:val="000000"/>
          <w:sz w:val="24"/>
          <w:szCs w:val="24"/>
        </w:rPr>
        <w:t>3</w:t>
      </w:r>
      <w:r w:rsidRPr="00541BDD">
        <w:rPr>
          <w:color w:val="000000"/>
          <w:sz w:val="24"/>
          <w:szCs w:val="24"/>
        </w:rPr>
        <w:t>月</w:t>
      </w:r>
      <w:r w:rsidRPr="00541BDD">
        <w:rPr>
          <w:color w:val="000000"/>
          <w:sz w:val="24"/>
          <w:szCs w:val="24"/>
        </w:rPr>
        <w:t>22</w:t>
      </w:r>
      <w:r w:rsidRPr="00541BDD">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B02FC" w:rsidRDefault="00AD12F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9B02FC" w:rsidRDefault="00AD12F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B02FC" w:rsidRDefault="00AD12F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C53" w:rsidRDefault="00315C53" w:rsidP="00876D65">
      <w:r>
        <w:separator/>
      </w:r>
    </w:p>
  </w:endnote>
  <w:endnote w:type="continuationSeparator" w:id="0">
    <w:p w:rsidR="00315C53" w:rsidRDefault="00315C5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541BDD">
      <w:rPr>
        <w:noProof/>
        <w:kern w:val="0"/>
        <w:szCs w:val="21"/>
      </w:rPr>
      <w:t>13</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541BDD">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C53" w:rsidRDefault="00315C53" w:rsidP="00876D65">
      <w:r>
        <w:separator/>
      </w:r>
    </w:p>
  </w:footnote>
  <w:footnote w:type="continuationSeparator" w:id="0">
    <w:p w:rsidR="00315C53" w:rsidRDefault="00315C5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交银施罗德荣鑫保本混合型证券投资基金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3408F"/>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C53"/>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1BDD"/>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02FC"/>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12FB"/>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799E-AA2F-4A71-A418-D2361A2A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13</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2018-04-18T10:12:00Z</dcterms:modified>
</cp:coreProperties>
</file>