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F" w:rsidRPr="000E4C40" w:rsidRDefault="00902E3F" w:rsidP="00281564">
      <w:pPr>
        <w:autoSpaceDE w:val="0"/>
        <w:autoSpaceDN w:val="0"/>
        <w:adjustRightInd w:val="0"/>
        <w:spacing w:before="29" w:line="288" w:lineRule="auto"/>
        <w:jc w:val="left"/>
        <w:rPr>
          <w:color w:val="000000"/>
          <w:kern w:val="0"/>
          <w:sz w:val="24"/>
        </w:rPr>
      </w:pPr>
    </w:p>
    <w:p w:rsidR="002B45A4" w:rsidRPr="000E4C40" w:rsidRDefault="002B45A4" w:rsidP="00281564">
      <w:pPr>
        <w:autoSpaceDE w:val="0"/>
        <w:autoSpaceDN w:val="0"/>
        <w:adjustRightInd w:val="0"/>
        <w:spacing w:before="29" w:line="288" w:lineRule="auto"/>
        <w:jc w:val="left"/>
        <w:rPr>
          <w:color w:val="000000"/>
          <w:kern w:val="0"/>
          <w:sz w:val="24"/>
        </w:rPr>
      </w:pPr>
    </w:p>
    <w:p w:rsidR="00575970" w:rsidRPr="000E4C40" w:rsidRDefault="00575970" w:rsidP="00281564">
      <w:pPr>
        <w:autoSpaceDE w:val="0"/>
        <w:autoSpaceDN w:val="0"/>
        <w:adjustRightInd w:val="0"/>
        <w:spacing w:before="29" w:line="288" w:lineRule="auto"/>
        <w:jc w:val="left"/>
        <w:rPr>
          <w:color w:val="000000"/>
          <w:kern w:val="0"/>
          <w:sz w:val="24"/>
        </w:rPr>
      </w:pPr>
    </w:p>
    <w:p w:rsidR="00B60E27" w:rsidRPr="000E4C40" w:rsidRDefault="00B60E27" w:rsidP="00281564">
      <w:pPr>
        <w:autoSpaceDE w:val="0"/>
        <w:autoSpaceDN w:val="0"/>
        <w:adjustRightInd w:val="0"/>
        <w:spacing w:before="29" w:line="288" w:lineRule="auto"/>
        <w:jc w:val="left"/>
        <w:rPr>
          <w:color w:val="000000"/>
          <w:kern w:val="0"/>
          <w:sz w:val="24"/>
        </w:rPr>
      </w:pPr>
    </w:p>
    <w:p w:rsidR="00B60E27" w:rsidRPr="001E1B20" w:rsidRDefault="00B60E27" w:rsidP="00281564">
      <w:pPr>
        <w:spacing w:before="29" w:line="288" w:lineRule="auto"/>
        <w:jc w:val="center"/>
        <w:rPr>
          <w:b/>
          <w:sz w:val="36"/>
          <w:szCs w:val="36"/>
        </w:rPr>
      </w:pPr>
      <w:r w:rsidRPr="001E1B20">
        <w:rPr>
          <w:b/>
          <w:sz w:val="36"/>
          <w:szCs w:val="36"/>
        </w:rPr>
        <w:t>交银施罗德理财</w:t>
      </w:r>
      <w:r w:rsidRPr="001E1B20">
        <w:rPr>
          <w:b/>
          <w:sz w:val="36"/>
          <w:szCs w:val="36"/>
        </w:rPr>
        <w:t>60</w:t>
      </w:r>
      <w:r w:rsidRPr="001E1B20">
        <w:rPr>
          <w:b/>
          <w:sz w:val="36"/>
          <w:szCs w:val="36"/>
        </w:rPr>
        <w:t>天债券型证券投资基金</w:t>
      </w:r>
    </w:p>
    <w:p w:rsidR="00B60E27" w:rsidRPr="001E1B20" w:rsidRDefault="00B60E27" w:rsidP="00281564">
      <w:pPr>
        <w:spacing w:before="29" w:line="288" w:lineRule="auto"/>
        <w:jc w:val="center"/>
        <w:rPr>
          <w:b/>
          <w:sz w:val="36"/>
          <w:szCs w:val="36"/>
        </w:rPr>
      </w:pPr>
      <w:r w:rsidRPr="001E1B20">
        <w:rPr>
          <w:b/>
          <w:sz w:val="36"/>
          <w:szCs w:val="36"/>
        </w:rPr>
        <w:t>2018</w:t>
      </w:r>
      <w:r w:rsidRPr="001E1B20">
        <w:rPr>
          <w:b/>
          <w:sz w:val="36"/>
          <w:szCs w:val="36"/>
        </w:rPr>
        <w:t>年第</w:t>
      </w:r>
      <w:r w:rsidRPr="001E1B20">
        <w:rPr>
          <w:b/>
          <w:sz w:val="36"/>
          <w:szCs w:val="36"/>
        </w:rPr>
        <w:t>1</w:t>
      </w:r>
      <w:r w:rsidRPr="001E1B20">
        <w:rPr>
          <w:b/>
          <w:sz w:val="36"/>
          <w:szCs w:val="36"/>
        </w:rPr>
        <w:t>季度报告</w:t>
      </w:r>
    </w:p>
    <w:p w:rsidR="002B45A4" w:rsidRPr="001E1B20" w:rsidRDefault="00D87D00" w:rsidP="00281564">
      <w:pPr>
        <w:spacing w:before="29" w:line="288" w:lineRule="auto"/>
        <w:jc w:val="center"/>
        <w:rPr>
          <w:b/>
          <w:sz w:val="36"/>
          <w:szCs w:val="36"/>
        </w:rPr>
      </w:pPr>
      <w:r w:rsidRPr="001E1B20">
        <w:rPr>
          <w:b/>
          <w:sz w:val="36"/>
          <w:szCs w:val="36"/>
        </w:rPr>
        <w:t>2018</w:t>
      </w:r>
      <w:r w:rsidRPr="001E1B20">
        <w:rPr>
          <w:b/>
          <w:sz w:val="36"/>
          <w:szCs w:val="36"/>
        </w:rPr>
        <w:t>年</w:t>
      </w:r>
      <w:r w:rsidRPr="001E1B20">
        <w:rPr>
          <w:b/>
          <w:sz w:val="36"/>
          <w:szCs w:val="36"/>
        </w:rPr>
        <w:t>3</w:t>
      </w:r>
      <w:r w:rsidRPr="001E1B20">
        <w:rPr>
          <w:b/>
          <w:sz w:val="36"/>
          <w:szCs w:val="36"/>
        </w:rPr>
        <w:t>月</w:t>
      </w:r>
      <w:r w:rsidRPr="001E1B20">
        <w:rPr>
          <w:b/>
          <w:sz w:val="36"/>
          <w:szCs w:val="36"/>
        </w:rPr>
        <w:t>31</w:t>
      </w:r>
      <w:r w:rsidRPr="001E1B20">
        <w:rPr>
          <w:b/>
          <w:sz w:val="36"/>
          <w:szCs w:val="36"/>
        </w:rPr>
        <w:t>日</w:t>
      </w: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jc w:val="center"/>
        <w:rPr>
          <w:b/>
          <w:color w:val="000000"/>
          <w:sz w:val="24"/>
        </w:rPr>
      </w:pPr>
    </w:p>
    <w:p w:rsidR="002B45A4" w:rsidRPr="000E4C40" w:rsidRDefault="002B45A4" w:rsidP="00281564">
      <w:pPr>
        <w:spacing w:before="29" w:line="288" w:lineRule="auto"/>
        <w:rPr>
          <w:color w:val="000000"/>
          <w:sz w:val="24"/>
        </w:rPr>
      </w:pP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基金管理人：</w:t>
      </w:r>
      <w:r w:rsidRPr="001E1B20">
        <w:rPr>
          <w:b/>
          <w:color w:val="000000"/>
          <w:sz w:val="24"/>
        </w:rPr>
        <w:t>交银施罗德基金管理有限公司</w:t>
      </w:r>
    </w:p>
    <w:p w:rsidR="00585084" w:rsidRPr="001E1B20" w:rsidRDefault="00F77131" w:rsidP="00281564">
      <w:pPr>
        <w:spacing w:before="29" w:line="288" w:lineRule="auto"/>
        <w:ind w:firstLineChars="900" w:firstLine="2168"/>
        <w:rPr>
          <w:b/>
          <w:color w:val="000000"/>
          <w:sz w:val="24"/>
        </w:rPr>
      </w:pPr>
      <w:r w:rsidRPr="001E1B20">
        <w:rPr>
          <w:rFonts w:hAnsi="宋体"/>
          <w:b/>
          <w:color w:val="000000"/>
          <w:sz w:val="24"/>
        </w:rPr>
        <w:t>基金托管人：</w:t>
      </w:r>
      <w:r w:rsidRPr="001E1B20">
        <w:rPr>
          <w:b/>
          <w:color w:val="000000"/>
          <w:sz w:val="24"/>
        </w:rPr>
        <w:t>中国建设银行股份有限公司</w:t>
      </w:r>
    </w:p>
    <w:p w:rsidR="00902E3F" w:rsidRPr="001E1B20" w:rsidRDefault="00F77131" w:rsidP="00281564">
      <w:pPr>
        <w:spacing w:before="29" w:line="288" w:lineRule="auto"/>
        <w:ind w:firstLineChars="900" w:firstLine="2168"/>
        <w:rPr>
          <w:b/>
          <w:color w:val="000000"/>
          <w:sz w:val="24"/>
        </w:rPr>
        <w:sectPr w:rsidR="00902E3F" w:rsidRPr="001E1B20" w:rsidSect="00841EB4">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noEndnote/>
          <w:titlePg/>
          <w:docGrid w:linePitch="286"/>
        </w:sectPr>
      </w:pPr>
      <w:r w:rsidRPr="001E1B20">
        <w:rPr>
          <w:rFonts w:hAnsi="宋体"/>
          <w:b/>
          <w:color w:val="000000"/>
          <w:sz w:val="24"/>
        </w:rPr>
        <w:t>报告送出日期：</w:t>
      </w:r>
      <w:r w:rsidR="00EF56FA" w:rsidRPr="001E1B20">
        <w:rPr>
          <w:b/>
          <w:color w:val="000000"/>
          <w:sz w:val="24"/>
        </w:rPr>
        <w:t>二〇一八年四月二十一日</w:t>
      </w:r>
    </w:p>
    <w:p w:rsidR="00902E3F" w:rsidRPr="000E4C40" w:rsidRDefault="00902E3F" w:rsidP="00841EB4">
      <w:pPr>
        <w:pStyle w:val="1"/>
        <w:spacing w:beforeLines="100" w:before="312" w:afterLines="100" w:after="312" w:line="288" w:lineRule="auto"/>
        <w:jc w:val="center"/>
        <w:rPr>
          <w:b w:val="0"/>
          <w:color w:val="000000"/>
          <w:kern w:val="0"/>
          <w:sz w:val="24"/>
          <w:szCs w:val="24"/>
        </w:rPr>
      </w:pPr>
      <w:r w:rsidRPr="000E4C40">
        <w:rPr>
          <w:color w:val="000000"/>
          <w:kern w:val="0"/>
          <w:sz w:val="24"/>
          <w:szCs w:val="24"/>
        </w:rPr>
        <w:lastRenderedPageBreak/>
        <w:t xml:space="preserve">§1  </w:t>
      </w:r>
      <w:r w:rsidRPr="000E4C40">
        <w:rPr>
          <w:rFonts w:hAnsi="宋体"/>
          <w:color w:val="000000"/>
          <w:kern w:val="0"/>
          <w:sz w:val="24"/>
          <w:szCs w:val="24"/>
        </w:rPr>
        <w:t>重要提示</w:t>
      </w:r>
    </w:p>
    <w:p w:rsidR="000B6423" w:rsidRDefault="00C13119">
      <w:pPr>
        <w:adjustRightInd w:val="0"/>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0B6423" w:rsidRDefault="00C13119">
      <w:pPr>
        <w:adjustRightInd w:val="0"/>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2018</w:t>
      </w:r>
      <w:r>
        <w:rPr>
          <w:color w:val="000000"/>
          <w:sz w:val="24"/>
        </w:rPr>
        <w:t>年</w:t>
      </w:r>
      <w:r>
        <w:rPr>
          <w:color w:val="000000"/>
          <w:sz w:val="24"/>
        </w:rPr>
        <w:t>4</w:t>
      </w:r>
      <w:r>
        <w:rPr>
          <w:color w:val="000000"/>
          <w:sz w:val="24"/>
        </w:rPr>
        <w:t>月</w:t>
      </w:r>
      <w:r>
        <w:rPr>
          <w:color w:val="000000"/>
          <w:sz w:val="24"/>
        </w:rPr>
        <w:t>20</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0B6423" w:rsidRDefault="00C13119">
      <w:pPr>
        <w:adjustRightInd w:val="0"/>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0B6423" w:rsidRDefault="00C13119">
      <w:pPr>
        <w:adjustRightInd w:val="0"/>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0B6423" w:rsidRDefault="00C13119">
      <w:pPr>
        <w:adjustRightInd w:val="0"/>
        <w:spacing w:before="29" w:line="288" w:lineRule="auto"/>
        <w:ind w:firstLineChars="200" w:firstLine="480"/>
        <w:rPr>
          <w:color w:val="000000"/>
          <w:sz w:val="24"/>
        </w:rPr>
      </w:pPr>
      <w:r>
        <w:rPr>
          <w:color w:val="000000"/>
          <w:sz w:val="24"/>
        </w:rPr>
        <w:t>本报告中财务资料未经审计。</w:t>
      </w:r>
    </w:p>
    <w:p w:rsidR="00186667" w:rsidRPr="000E4C40" w:rsidRDefault="00A805BC" w:rsidP="00281564">
      <w:pPr>
        <w:adjustRightInd w:val="0"/>
        <w:spacing w:before="29" w:line="288" w:lineRule="auto"/>
        <w:ind w:firstLineChars="200" w:firstLine="480"/>
        <w:rPr>
          <w:color w:val="000000"/>
          <w:sz w:val="24"/>
        </w:rPr>
      </w:pPr>
      <w:r w:rsidRPr="000E4C40">
        <w:rPr>
          <w:color w:val="000000"/>
          <w:sz w:val="24"/>
        </w:rPr>
        <w:t>本报告期自</w:t>
      </w:r>
      <w:r w:rsidRPr="000E4C40">
        <w:rPr>
          <w:color w:val="000000"/>
          <w:sz w:val="24"/>
        </w:rPr>
        <w:t>2018</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日起至</w:t>
      </w:r>
      <w:r w:rsidRPr="000E4C40">
        <w:rPr>
          <w:color w:val="000000"/>
          <w:sz w:val="24"/>
        </w:rPr>
        <w:t>3</w:t>
      </w:r>
      <w:r w:rsidRPr="000E4C40">
        <w:rPr>
          <w:color w:val="000000"/>
          <w:sz w:val="24"/>
        </w:rPr>
        <w:t>月</w:t>
      </w:r>
      <w:r w:rsidRPr="000E4C40">
        <w:rPr>
          <w:color w:val="000000"/>
          <w:sz w:val="24"/>
        </w:rPr>
        <w:t>31</w:t>
      </w:r>
      <w:r w:rsidRPr="000E4C40">
        <w:rPr>
          <w:color w:val="000000"/>
          <w:sz w:val="24"/>
        </w:rPr>
        <w:t>日止。</w:t>
      </w:r>
    </w:p>
    <w:p w:rsidR="00DF2D90" w:rsidRPr="000E4C40" w:rsidRDefault="00DF2D90" w:rsidP="00281564">
      <w:pPr>
        <w:adjustRightInd w:val="0"/>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§2  </w:t>
      </w:r>
      <w:r w:rsidRPr="000E4C40">
        <w:rPr>
          <w:rFonts w:hAnsi="宋体"/>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2923"/>
      </w:tblGrid>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kern w:val="0"/>
                <w:sz w:val="24"/>
              </w:rPr>
              <w:t>基金简称</w:t>
            </w:r>
          </w:p>
        </w:tc>
        <w:tc>
          <w:tcPr>
            <w:tcW w:w="5845" w:type="dxa"/>
            <w:gridSpan w:val="2"/>
            <w:vAlign w:val="center"/>
          </w:tcPr>
          <w:p w:rsidR="00A805BC" w:rsidRPr="000E4C40" w:rsidRDefault="00A805BC" w:rsidP="00281564">
            <w:pPr>
              <w:adjustRightInd w:val="0"/>
              <w:spacing w:before="29" w:line="288" w:lineRule="auto"/>
              <w:ind w:left="17"/>
              <w:jc w:val="left"/>
              <w:rPr>
                <w:color w:val="000000"/>
                <w:kern w:val="0"/>
                <w:sz w:val="24"/>
              </w:rPr>
            </w:pPr>
            <w:r w:rsidRPr="000E4C40">
              <w:rPr>
                <w:color w:val="000000"/>
                <w:kern w:val="0"/>
                <w:sz w:val="24"/>
              </w:rPr>
              <w:t>交银理财</w:t>
            </w:r>
            <w:r w:rsidRPr="000E4C40">
              <w:rPr>
                <w:color w:val="000000"/>
                <w:kern w:val="0"/>
                <w:sz w:val="24"/>
              </w:rPr>
              <w:t>60</w:t>
            </w:r>
            <w:r w:rsidRPr="000E4C40">
              <w:rPr>
                <w:color w:val="000000"/>
                <w:kern w:val="0"/>
                <w:sz w:val="24"/>
              </w:rPr>
              <w:t>天债券</w:t>
            </w:r>
          </w:p>
        </w:tc>
      </w:tr>
      <w:tr w:rsidR="00D06255" w:rsidRPr="000E4C40" w:rsidTr="00EA4C82">
        <w:trPr>
          <w:jc w:val="center"/>
        </w:trPr>
        <w:tc>
          <w:tcPr>
            <w:tcW w:w="3023" w:type="dxa"/>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kern w:val="0"/>
                <w:sz w:val="24"/>
              </w:rPr>
            </w:pPr>
            <w:r w:rsidRPr="000E4C40">
              <w:rPr>
                <w:rFonts w:hAnsi="宋体"/>
                <w:kern w:val="0"/>
                <w:sz w:val="24"/>
              </w:rPr>
              <w:t>基金主代码</w:t>
            </w:r>
          </w:p>
        </w:tc>
        <w:tc>
          <w:tcPr>
            <w:tcW w:w="5845" w:type="dxa"/>
            <w:gridSpan w:val="2"/>
            <w:tcBorders>
              <w:top w:val="single" w:sz="4" w:space="0" w:color="auto"/>
              <w:left w:val="single" w:sz="4" w:space="0" w:color="auto"/>
              <w:bottom w:val="single" w:sz="4" w:space="0" w:color="auto"/>
              <w:right w:val="single" w:sz="4" w:space="0" w:color="auto"/>
            </w:tcBorders>
            <w:vAlign w:val="center"/>
            <w:hideMark/>
          </w:tcPr>
          <w:p w:rsidR="00D06255" w:rsidRPr="000E4C40" w:rsidRDefault="00D06255" w:rsidP="00281564">
            <w:pPr>
              <w:adjustRightInd w:val="0"/>
              <w:spacing w:before="29" w:line="288" w:lineRule="auto"/>
              <w:ind w:left="17"/>
              <w:jc w:val="left"/>
              <w:rPr>
                <w:color w:val="000000"/>
                <w:kern w:val="0"/>
                <w:sz w:val="24"/>
              </w:rPr>
            </w:pPr>
            <w:r w:rsidRPr="000E4C40">
              <w:rPr>
                <w:color w:val="000000"/>
                <w:kern w:val="0"/>
                <w:sz w:val="24"/>
              </w:rPr>
              <w:t>519721</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基金运作方式</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契约型开放式</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基金合同生效日</w:t>
            </w:r>
          </w:p>
        </w:tc>
        <w:tc>
          <w:tcPr>
            <w:tcW w:w="5845" w:type="dxa"/>
            <w:gridSpan w:val="2"/>
            <w:vAlign w:val="center"/>
          </w:tcPr>
          <w:p w:rsidR="00A805BC" w:rsidRPr="000E4C40" w:rsidRDefault="002507FE" w:rsidP="00281564">
            <w:pPr>
              <w:adjustRightInd w:val="0"/>
              <w:spacing w:before="29" w:line="288" w:lineRule="auto"/>
              <w:ind w:left="17"/>
              <w:jc w:val="left"/>
              <w:rPr>
                <w:color w:val="000000"/>
                <w:sz w:val="24"/>
              </w:rPr>
            </w:pPr>
            <w:r w:rsidRPr="000E4C40">
              <w:rPr>
                <w:color w:val="000000"/>
                <w:kern w:val="0"/>
                <w:sz w:val="24"/>
              </w:rPr>
              <w:t>2013</w:t>
            </w:r>
            <w:r w:rsidRPr="000E4C40">
              <w:rPr>
                <w:color w:val="000000"/>
                <w:kern w:val="0"/>
                <w:sz w:val="24"/>
              </w:rPr>
              <w:t>年</w:t>
            </w:r>
            <w:r w:rsidRPr="000E4C40">
              <w:rPr>
                <w:color w:val="000000"/>
                <w:kern w:val="0"/>
                <w:sz w:val="24"/>
              </w:rPr>
              <w:t>3</w:t>
            </w:r>
            <w:r w:rsidRPr="000E4C40">
              <w:rPr>
                <w:color w:val="000000"/>
                <w:kern w:val="0"/>
                <w:sz w:val="24"/>
              </w:rPr>
              <w:t>月</w:t>
            </w:r>
            <w:r w:rsidRPr="000E4C40">
              <w:rPr>
                <w:color w:val="000000"/>
                <w:kern w:val="0"/>
                <w:sz w:val="24"/>
              </w:rPr>
              <w:t>13</w:t>
            </w:r>
            <w:r w:rsidRPr="000E4C40">
              <w:rPr>
                <w:color w:val="000000"/>
                <w:kern w:val="0"/>
                <w:sz w:val="24"/>
              </w:rPr>
              <w:t>日</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报告期末基金份额总额</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15,935,941,795.87</w:t>
            </w:r>
            <w:r w:rsidR="00C2005E" w:rsidRPr="000E4C40">
              <w:rPr>
                <w:rFonts w:hAnsi="宋体"/>
                <w:color w:val="000000"/>
                <w:kern w:val="0"/>
                <w:sz w:val="24"/>
              </w:rPr>
              <w:t>份</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投资目标</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本基金在追求本金安全、保持资产流动性的基础上，努力追求绝对收益，为基金份额持有人谋求资产的稳定增值。</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投资策略</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本基金在保持组合流动性的前提下，结合对国内外宏观经济运行、金融市场运行、资金流动格局、货币市场收益率曲线形态等各方面的分析，合理安排组合期限结构，积极选择投资工具，采取主动性的投资策略和精细化的操作手法。</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业绩比较基准</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人民币七天通知存款税后利率</w:t>
            </w:r>
          </w:p>
        </w:tc>
      </w:tr>
      <w:tr w:rsidR="00A01505" w:rsidRPr="000E4C40" w:rsidTr="00EA4C82">
        <w:trPr>
          <w:jc w:val="center"/>
        </w:trPr>
        <w:tc>
          <w:tcPr>
            <w:tcW w:w="3023" w:type="dxa"/>
            <w:vAlign w:val="center"/>
          </w:tcPr>
          <w:p w:rsidR="00A01505" w:rsidRPr="000E4C40" w:rsidRDefault="00A01505" w:rsidP="00281564">
            <w:pPr>
              <w:adjustRightInd w:val="0"/>
              <w:spacing w:before="29" w:line="288" w:lineRule="auto"/>
              <w:ind w:left="17"/>
              <w:jc w:val="left"/>
              <w:rPr>
                <w:kern w:val="0"/>
                <w:sz w:val="24"/>
              </w:rPr>
            </w:pPr>
            <w:r w:rsidRPr="000E4C40">
              <w:rPr>
                <w:rFonts w:hAnsi="宋体"/>
                <w:kern w:val="0"/>
                <w:sz w:val="24"/>
              </w:rPr>
              <w:t>风险收益特征</w:t>
            </w:r>
          </w:p>
        </w:tc>
        <w:tc>
          <w:tcPr>
            <w:tcW w:w="5845" w:type="dxa"/>
            <w:gridSpan w:val="2"/>
            <w:vAlign w:val="center"/>
          </w:tcPr>
          <w:p w:rsidR="00A01505" w:rsidRPr="000E4C40" w:rsidRDefault="00A01505" w:rsidP="00281564">
            <w:pPr>
              <w:adjustRightInd w:val="0"/>
              <w:spacing w:before="29" w:line="288" w:lineRule="auto"/>
              <w:ind w:left="17"/>
              <w:jc w:val="left"/>
              <w:rPr>
                <w:color w:val="000000"/>
                <w:kern w:val="0"/>
                <w:sz w:val="24"/>
              </w:rPr>
            </w:pPr>
            <w:r w:rsidRPr="000E4C40">
              <w:rPr>
                <w:color w:val="000000"/>
                <w:kern w:val="0"/>
                <w:sz w:val="24"/>
              </w:rPr>
              <w:t>本基金属于短期理财债券型证券投资基金，长期风险收益水平低于股票型基金、混合型基金及普通债券型</w:t>
            </w:r>
            <w:r w:rsidRPr="000E4C40">
              <w:rPr>
                <w:color w:val="000000"/>
                <w:kern w:val="0"/>
                <w:sz w:val="24"/>
              </w:rPr>
              <w:lastRenderedPageBreak/>
              <w:t>基金，高于货币市场型证券投资基金。</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lastRenderedPageBreak/>
              <w:t>基金管理人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交银施罗德基金管理有限公司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sz w:val="24"/>
              </w:rPr>
            </w:pPr>
            <w:r w:rsidRPr="000E4C40">
              <w:rPr>
                <w:rFonts w:hAnsi="宋体"/>
                <w:kern w:val="0"/>
                <w:sz w:val="24"/>
              </w:rPr>
              <w:t>基金托管人</w:t>
            </w:r>
          </w:p>
        </w:tc>
        <w:tc>
          <w:tcPr>
            <w:tcW w:w="5845" w:type="dxa"/>
            <w:gridSpan w:val="2"/>
            <w:vAlign w:val="center"/>
          </w:tcPr>
          <w:p w:rsidR="00A805BC" w:rsidRPr="000E4C40" w:rsidRDefault="00A805BC" w:rsidP="00281564">
            <w:pPr>
              <w:adjustRightInd w:val="0"/>
              <w:spacing w:before="29" w:line="288" w:lineRule="auto"/>
              <w:ind w:left="17"/>
              <w:jc w:val="left"/>
              <w:rPr>
                <w:color w:val="000000"/>
                <w:sz w:val="24"/>
              </w:rPr>
            </w:pPr>
            <w:r w:rsidRPr="000E4C40">
              <w:rPr>
                <w:color w:val="000000"/>
                <w:kern w:val="0"/>
                <w:sz w:val="24"/>
              </w:rPr>
              <w:t>中国建设银行股份有限公司</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kern w:val="0"/>
                <w:sz w:val="24"/>
              </w:rPr>
            </w:pPr>
            <w:r w:rsidRPr="000E4C40">
              <w:rPr>
                <w:rFonts w:hAnsi="宋体"/>
                <w:color w:val="000000"/>
                <w:sz w:val="24"/>
              </w:rPr>
              <w:t>下属两级基金的基金简称</w:t>
            </w:r>
          </w:p>
        </w:tc>
        <w:tc>
          <w:tcPr>
            <w:tcW w:w="2922"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60</w:t>
            </w:r>
            <w:r w:rsidRPr="000E4C40">
              <w:rPr>
                <w:sz w:val="24"/>
              </w:rPr>
              <w:t>天债券</w:t>
            </w:r>
            <w:r w:rsidRPr="000E4C40">
              <w:rPr>
                <w:sz w:val="24"/>
              </w:rPr>
              <w:t>A</w:t>
            </w:r>
          </w:p>
        </w:tc>
        <w:tc>
          <w:tcPr>
            <w:tcW w:w="2923" w:type="dxa"/>
            <w:vAlign w:val="center"/>
          </w:tcPr>
          <w:p w:rsidR="00A805BC" w:rsidRPr="000E4C40" w:rsidRDefault="00A805BC" w:rsidP="00281564">
            <w:pPr>
              <w:spacing w:before="29" w:line="288" w:lineRule="auto"/>
              <w:jc w:val="left"/>
              <w:rPr>
                <w:sz w:val="24"/>
              </w:rPr>
            </w:pPr>
            <w:r w:rsidRPr="000E4C40">
              <w:rPr>
                <w:sz w:val="24"/>
              </w:rPr>
              <w:t>交银理财</w:t>
            </w:r>
            <w:r w:rsidRPr="000E4C40">
              <w:rPr>
                <w:sz w:val="24"/>
              </w:rPr>
              <w:t>60</w:t>
            </w:r>
            <w:r w:rsidRPr="000E4C40">
              <w:rPr>
                <w:sz w:val="24"/>
              </w:rPr>
              <w:t>天债券</w:t>
            </w:r>
            <w:r w:rsidRPr="000E4C40">
              <w:rPr>
                <w:sz w:val="24"/>
              </w:rPr>
              <w:t>B</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下属两级基金的交易代码</w:t>
            </w:r>
          </w:p>
        </w:tc>
        <w:tc>
          <w:tcPr>
            <w:tcW w:w="2922" w:type="dxa"/>
            <w:vAlign w:val="center"/>
          </w:tcPr>
          <w:p w:rsidR="00A805BC" w:rsidRPr="000E4C40" w:rsidRDefault="00A805BC" w:rsidP="00281564">
            <w:pPr>
              <w:spacing w:before="29" w:line="288" w:lineRule="auto"/>
              <w:jc w:val="left"/>
              <w:rPr>
                <w:sz w:val="24"/>
              </w:rPr>
            </w:pPr>
            <w:r w:rsidRPr="000E4C40">
              <w:rPr>
                <w:sz w:val="24"/>
              </w:rPr>
              <w:t>519721</w:t>
            </w:r>
          </w:p>
        </w:tc>
        <w:tc>
          <w:tcPr>
            <w:tcW w:w="2923" w:type="dxa"/>
            <w:vAlign w:val="center"/>
          </w:tcPr>
          <w:p w:rsidR="00A805BC" w:rsidRPr="000E4C40" w:rsidRDefault="00A805BC" w:rsidP="00281564">
            <w:pPr>
              <w:spacing w:before="29" w:line="288" w:lineRule="auto"/>
              <w:jc w:val="left"/>
              <w:rPr>
                <w:sz w:val="24"/>
              </w:rPr>
            </w:pPr>
            <w:r w:rsidRPr="000E4C40">
              <w:rPr>
                <w:sz w:val="24"/>
              </w:rPr>
              <w:t>519722</w:t>
            </w:r>
          </w:p>
        </w:tc>
      </w:tr>
      <w:tr w:rsidR="00A805BC" w:rsidRPr="000E4C40" w:rsidTr="00EA4C82">
        <w:trPr>
          <w:jc w:val="center"/>
        </w:trPr>
        <w:tc>
          <w:tcPr>
            <w:tcW w:w="3023" w:type="dxa"/>
            <w:vAlign w:val="center"/>
          </w:tcPr>
          <w:p w:rsidR="00A805BC" w:rsidRPr="000E4C40" w:rsidRDefault="00A805BC" w:rsidP="00281564">
            <w:pPr>
              <w:adjustRightInd w:val="0"/>
              <w:spacing w:before="29" w:line="288" w:lineRule="auto"/>
              <w:ind w:left="17"/>
              <w:jc w:val="left"/>
              <w:rPr>
                <w:color w:val="000000"/>
                <w:sz w:val="24"/>
              </w:rPr>
            </w:pPr>
            <w:r w:rsidRPr="000E4C40">
              <w:rPr>
                <w:rFonts w:hAnsi="宋体"/>
                <w:color w:val="000000"/>
                <w:sz w:val="24"/>
              </w:rPr>
              <w:t>报告期末下属两级基金的份额总额</w:t>
            </w:r>
          </w:p>
        </w:tc>
        <w:tc>
          <w:tcPr>
            <w:tcW w:w="2922" w:type="dxa"/>
            <w:vAlign w:val="center"/>
          </w:tcPr>
          <w:p w:rsidR="00A805BC" w:rsidRPr="000E4C40" w:rsidRDefault="00A805BC" w:rsidP="00281564">
            <w:pPr>
              <w:spacing w:before="29" w:line="288" w:lineRule="auto"/>
              <w:jc w:val="left"/>
              <w:rPr>
                <w:sz w:val="24"/>
              </w:rPr>
            </w:pPr>
            <w:r w:rsidRPr="000E4C40">
              <w:rPr>
                <w:sz w:val="24"/>
              </w:rPr>
              <w:t>5,510,991.30</w:t>
            </w:r>
            <w:r w:rsidR="00764CF7" w:rsidRPr="000E4C40">
              <w:rPr>
                <w:rFonts w:hAnsi="宋体"/>
                <w:sz w:val="24"/>
              </w:rPr>
              <w:t>份</w:t>
            </w:r>
          </w:p>
        </w:tc>
        <w:tc>
          <w:tcPr>
            <w:tcW w:w="2923" w:type="dxa"/>
            <w:vAlign w:val="center"/>
          </w:tcPr>
          <w:p w:rsidR="00A805BC" w:rsidRPr="000E4C40" w:rsidRDefault="00A805BC" w:rsidP="00281564">
            <w:pPr>
              <w:spacing w:before="29" w:line="288" w:lineRule="auto"/>
              <w:jc w:val="left"/>
              <w:rPr>
                <w:sz w:val="24"/>
              </w:rPr>
            </w:pPr>
            <w:r w:rsidRPr="000E4C40">
              <w:rPr>
                <w:sz w:val="24"/>
              </w:rPr>
              <w:t>15,930,430,804.57</w:t>
            </w:r>
            <w:r w:rsidR="004A6E66" w:rsidRPr="000E4C40">
              <w:rPr>
                <w:rFonts w:hAnsi="宋体"/>
                <w:sz w:val="24"/>
              </w:rPr>
              <w:t>份</w:t>
            </w:r>
          </w:p>
        </w:tc>
      </w:tr>
    </w:tbl>
    <w:p w:rsidR="00DF2D90" w:rsidRPr="000E4C40" w:rsidRDefault="00DF2D90" w:rsidP="00281564">
      <w:pPr>
        <w:autoSpaceDE w:val="0"/>
        <w:autoSpaceDN w:val="0"/>
        <w:adjustRightInd w:val="0"/>
        <w:spacing w:before="29" w:line="288" w:lineRule="auto"/>
        <w:jc w:val="left"/>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§3  </w:t>
      </w:r>
      <w:r w:rsidRPr="000E4C40">
        <w:rPr>
          <w:rFonts w:hAnsi="宋体"/>
          <w:color w:val="000000"/>
          <w:kern w:val="0"/>
          <w:sz w:val="24"/>
          <w:szCs w:val="24"/>
        </w:rPr>
        <w:t>主要财务指标和基金净值表现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3.1 </w:t>
      </w:r>
      <w:r w:rsidRPr="000E4C40">
        <w:rPr>
          <w:rFonts w:hAnsi="宋体"/>
          <w:b/>
          <w:color w:val="000000"/>
          <w:kern w:val="0"/>
          <w:sz w:val="24"/>
        </w:rPr>
        <w:t>主要财务指标</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F31380" w:rsidRPr="000E4C40" w:rsidTr="00AD2F16">
        <w:trPr>
          <w:jc w:val="center"/>
        </w:trPr>
        <w:tc>
          <w:tcPr>
            <w:tcW w:w="3402" w:type="dxa"/>
            <w:vMerge w:val="restart"/>
            <w:vAlign w:val="center"/>
          </w:tcPr>
          <w:p w:rsidR="00F31380" w:rsidRPr="000E4C40" w:rsidRDefault="00F31380" w:rsidP="00281564">
            <w:pPr>
              <w:adjustRightInd w:val="0"/>
              <w:spacing w:before="29" w:line="288" w:lineRule="auto"/>
              <w:ind w:left="17"/>
              <w:jc w:val="center"/>
              <w:rPr>
                <w:kern w:val="0"/>
                <w:sz w:val="24"/>
              </w:rPr>
            </w:pPr>
            <w:r w:rsidRPr="000E4C40">
              <w:rPr>
                <w:rFonts w:hAnsi="宋体"/>
                <w:kern w:val="0"/>
                <w:sz w:val="24"/>
              </w:rPr>
              <w:t>主要财务指标</w:t>
            </w:r>
          </w:p>
        </w:tc>
        <w:tc>
          <w:tcPr>
            <w:tcW w:w="4962" w:type="dxa"/>
            <w:gridSpan w:val="2"/>
            <w:vAlign w:val="center"/>
          </w:tcPr>
          <w:p w:rsidR="00F31380" w:rsidRPr="000E4C40" w:rsidRDefault="00F31380" w:rsidP="00281564">
            <w:pPr>
              <w:adjustRightInd w:val="0"/>
              <w:spacing w:before="29" w:line="288" w:lineRule="auto"/>
              <w:ind w:left="17"/>
              <w:jc w:val="center"/>
              <w:rPr>
                <w:color w:val="000000"/>
                <w:sz w:val="24"/>
              </w:rPr>
            </w:pPr>
            <w:r w:rsidRPr="000E4C40">
              <w:rPr>
                <w:rFonts w:hAnsi="宋体"/>
                <w:color w:val="000000"/>
                <w:sz w:val="24"/>
              </w:rPr>
              <w:t>报告期</w:t>
            </w:r>
            <w:r w:rsidRPr="000E4C40">
              <w:rPr>
                <w:color w:val="000000"/>
                <w:sz w:val="24"/>
              </w:rPr>
              <w:t>(2018</w:t>
            </w:r>
            <w:r w:rsidRPr="000E4C40">
              <w:rPr>
                <w:color w:val="000000"/>
                <w:sz w:val="24"/>
              </w:rPr>
              <w:t>年</w:t>
            </w:r>
            <w:r w:rsidRPr="000E4C40">
              <w:rPr>
                <w:color w:val="000000"/>
                <w:sz w:val="24"/>
              </w:rPr>
              <w:t>1</w:t>
            </w:r>
            <w:r w:rsidRPr="000E4C40">
              <w:rPr>
                <w:color w:val="000000"/>
                <w:sz w:val="24"/>
              </w:rPr>
              <w:t>月</w:t>
            </w:r>
            <w:r w:rsidRPr="000E4C40">
              <w:rPr>
                <w:color w:val="000000"/>
                <w:sz w:val="24"/>
              </w:rPr>
              <w:t>1</w:t>
            </w:r>
            <w:r w:rsidRPr="000E4C40">
              <w:rPr>
                <w:color w:val="000000"/>
                <w:sz w:val="24"/>
              </w:rPr>
              <w:t>日</w:t>
            </w:r>
            <w:r w:rsidRPr="000E4C40">
              <w:rPr>
                <w:color w:val="000000"/>
                <w:sz w:val="24"/>
              </w:rPr>
              <w:t>-2018</w:t>
            </w:r>
            <w:r w:rsidRPr="000E4C40">
              <w:rPr>
                <w:color w:val="000000"/>
                <w:sz w:val="24"/>
              </w:rPr>
              <w:t>年</w:t>
            </w:r>
            <w:r w:rsidRPr="000E4C40">
              <w:rPr>
                <w:color w:val="000000"/>
                <w:sz w:val="24"/>
              </w:rPr>
              <w:t>3</w:t>
            </w:r>
            <w:r w:rsidRPr="000E4C40">
              <w:rPr>
                <w:color w:val="000000"/>
                <w:sz w:val="24"/>
              </w:rPr>
              <w:t>月</w:t>
            </w:r>
            <w:r w:rsidRPr="000E4C40">
              <w:rPr>
                <w:color w:val="000000"/>
                <w:sz w:val="24"/>
              </w:rPr>
              <w:t>31</w:t>
            </w:r>
            <w:r w:rsidRPr="000E4C40">
              <w:rPr>
                <w:color w:val="000000"/>
                <w:sz w:val="24"/>
              </w:rPr>
              <w:t>日</w:t>
            </w:r>
            <w:r w:rsidRPr="000E4C40">
              <w:rPr>
                <w:color w:val="000000"/>
                <w:sz w:val="24"/>
              </w:rPr>
              <w:t>)</w:t>
            </w:r>
          </w:p>
        </w:tc>
      </w:tr>
      <w:tr w:rsidR="00F31380" w:rsidRPr="000E4C40" w:rsidTr="00AD2F16">
        <w:trPr>
          <w:jc w:val="center"/>
        </w:trPr>
        <w:tc>
          <w:tcPr>
            <w:tcW w:w="3402" w:type="dxa"/>
            <w:vMerge/>
            <w:vAlign w:val="center"/>
          </w:tcPr>
          <w:p w:rsidR="00F31380" w:rsidRPr="000E4C40" w:rsidRDefault="00F31380" w:rsidP="00281564">
            <w:pPr>
              <w:adjustRightInd w:val="0"/>
              <w:spacing w:before="29" w:line="288" w:lineRule="auto"/>
              <w:ind w:left="17"/>
              <w:jc w:val="center"/>
              <w:rPr>
                <w:kern w:val="0"/>
                <w:sz w:val="24"/>
              </w:rPr>
            </w:pP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60</w:t>
            </w:r>
            <w:r w:rsidRPr="000E4C40">
              <w:rPr>
                <w:sz w:val="24"/>
              </w:rPr>
              <w:t>天债券</w:t>
            </w:r>
            <w:r w:rsidRPr="000E4C40">
              <w:rPr>
                <w:sz w:val="24"/>
              </w:rPr>
              <w:t>A</w:t>
            </w:r>
          </w:p>
        </w:tc>
        <w:tc>
          <w:tcPr>
            <w:tcW w:w="2481" w:type="dxa"/>
            <w:vAlign w:val="center"/>
          </w:tcPr>
          <w:p w:rsidR="00F31380" w:rsidRPr="000E4C40" w:rsidRDefault="00F31380" w:rsidP="00281564">
            <w:pPr>
              <w:adjustRightInd w:val="0"/>
              <w:spacing w:before="29" w:line="288" w:lineRule="auto"/>
              <w:ind w:left="17"/>
              <w:jc w:val="center"/>
              <w:rPr>
                <w:color w:val="000000"/>
                <w:sz w:val="24"/>
              </w:rPr>
            </w:pPr>
            <w:r w:rsidRPr="000E4C40">
              <w:rPr>
                <w:sz w:val="24"/>
              </w:rPr>
              <w:t>交银理财</w:t>
            </w:r>
            <w:r w:rsidRPr="000E4C40">
              <w:rPr>
                <w:sz w:val="24"/>
              </w:rPr>
              <w:t>60</w:t>
            </w:r>
            <w:r w:rsidRPr="000E4C40">
              <w:rPr>
                <w:sz w:val="24"/>
              </w:rPr>
              <w:t>天债券</w:t>
            </w:r>
            <w:r w:rsidRPr="000E4C40">
              <w:rPr>
                <w:sz w:val="24"/>
              </w:rPr>
              <w:t>B</w:t>
            </w:r>
          </w:p>
        </w:tc>
      </w:tr>
      <w:tr w:rsidR="00E8309D" w:rsidRPr="000E4C40" w:rsidTr="00AD2F16">
        <w:trPr>
          <w:trHeight w:val="840"/>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1</w:t>
            </w:r>
            <w:r w:rsidRPr="000E4C40">
              <w:rPr>
                <w:rFonts w:hAnsi="宋体"/>
                <w:kern w:val="0"/>
                <w:sz w:val="24"/>
              </w:rPr>
              <w:t>．</w:t>
            </w:r>
            <w:r w:rsidR="00E8309D" w:rsidRPr="000E4C40">
              <w:rPr>
                <w:rFonts w:hAnsi="宋体"/>
                <w:kern w:val="0"/>
                <w:sz w:val="24"/>
              </w:rPr>
              <w:t>本期已实现收益</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100,438.78</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124,959,921.51</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2</w:t>
            </w:r>
            <w:r w:rsidRPr="000E4C40">
              <w:rPr>
                <w:rFonts w:hAnsi="宋体"/>
                <w:kern w:val="0"/>
                <w:sz w:val="24"/>
              </w:rPr>
              <w:t>．</w:t>
            </w:r>
            <w:r w:rsidR="00E8309D" w:rsidRPr="000E4C40">
              <w:rPr>
                <w:rFonts w:hAnsi="宋体"/>
                <w:kern w:val="0"/>
                <w:sz w:val="24"/>
              </w:rPr>
              <w:t>本期利润</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100,438.78</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124,959,921.51</w:t>
            </w:r>
          </w:p>
        </w:tc>
      </w:tr>
      <w:tr w:rsidR="00E8309D" w:rsidRPr="000E4C40" w:rsidTr="00AD2F16">
        <w:trPr>
          <w:jc w:val="center"/>
        </w:trPr>
        <w:tc>
          <w:tcPr>
            <w:tcW w:w="3402" w:type="dxa"/>
            <w:vAlign w:val="center"/>
          </w:tcPr>
          <w:p w:rsidR="00E8309D" w:rsidRPr="000E4C40" w:rsidRDefault="0012707C" w:rsidP="00281564">
            <w:pPr>
              <w:adjustRightInd w:val="0"/>
              <w:spacing w:before="29" w:line="288" w:lineRule="auto"/>
              <w:ind w:left="17"/>
              <w:rPr>
                <w:kern w:val="0"/>
                <w:sz w:val="24"/>
              </w:rPr>
            </w:pPr>
            <w:r w:rsidRPr="000E4C40">
              <w:rPr>
                <w:kern w:val="0"/>
                <w:sz w:val="24"/>
              </w:rPr>
              <w:t>3</w:t>
            </w:r>
            <w:r w:rsidRPr="000E4C40">
              <w:rPr>
                <w:rFonts w:hAnsi="宋体"/>
                <w:kern w:val="0"/>
                <w:sz w:val="24"/>
              </w:rPr>
              <w:t>．</w:t>
            </w:r>
            <w:r w:rsidR="00E8309D" w:rsidRPr="000E4C40">
              <w:rPr>
                <w:rFonts w:hAnsi="宋体"/>
                <w:kern w:val="0"/>
                <w:sz w:val="24"/>
              </w:rPr>
              <w:t>期末基金资产净值</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5,510,991.30</w:t>
            </w:r>
          </w:p>
        </w:tc>
        <w:tc>
          <w:tcPr>
            <w:tcW w:w="2481" w:type="dxa"/>
            <w:vAlign w:val="center"/>
          </w:tcPr>
          <w:p w:rsidR="00E8309D" w:rsidRPr="000E4C40" w:rsidRDefault="00E8309D" w:rsidP="00281564">
            <w:pPr>
              <w:adjustRightInd w:val="0"/>
              <w:spacing w:before="29" w:line="288" w:lineRule="auto"/>
              <w:ind w:left="17"/>
              <w:jc w:val="right"/>
              <w:rPr>
                <w:color w:val="000000"/>
                <w:sz w:val="24"/>
              </w:rPr>
            </w:pPr>
            <w:r w:rsidRPr="000E4C40">
              <w:rPr>
                <w:color w:val="000000"/>
                <w:sz w:val="24"/>
              </w:rPr>
              <w:t>15,930,430,804.57</w:t>
            </w:r>
          </w:p>
        </w:tc>
      </w:tr>
    </w:tbl>
    <w:p w:rsidR="000B6423" w:rsidRDefault="00C13119">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、自合同生效日起，本基金实行销售服务费分类收费方式，分设两类基金份额：</w:t>
      </w:r>
      <w:r>
        <w:rPr>
          <w:color w:val="000000"/>
          <w:sz w:val="24"/>
        </w:rPr>
        <w:t>A</w:t>
      </w:r>
      <w:r>
        <w:rPr>
          <w:color w:val="000000"/>
          <w:sz w:val="24"/>
        </w:rPr>
        <w:t>类基金份额和</w:t>
      </w:r>
      <w:r>
        <w:rPr>
          <w:color w:val="000000"/>
          <w:sz w:val="24"/>
        </w:rPr>
        <w:t>B</w:t>
      </w:r>
      <w:r>
        <w:rPr>
          <w:color w:val="000000"/>
          <w:sz w:val="24"/>
        </w:rPr>
        <w:t>类基金份额。</w:t>
      </w:r>
      <w:r>
        <w:rPr>
          <w:color w:val="000000"/>
          <w:sz w:val="24"/>
        </w:rPr>
        <w:t>A</w:t>
      </w:r>
      <w:r>
        <w:rPr>
          <w:color w:val="000000"/>
          <w:sz w:val="24"/>
        </w:rPr>
        <w:t>类基金份额与</w:t>
      </w:r>
      <w:r>
        <w:rPr>
          <w:color w:val="000000"/>
          <w:sz w:val="24"/>
        </w:rPr>
        <w:t>B</w:t>
      </w:r>
      <w:r>
        <w:rPr>
          <w:color w:val="000000"/>
          <w:sz w:val="24"/>
        </w:rPr>
        <w:t>类基金份额的管理费、托管费相同，</w:t>
      </w:r>
      <w:r>
        <w:rPr>
          <w:color w:val="000000"/>
          <w:sz w:val="24"/>
        </w:rPr>
        <w:t>A</w:t>
      </w:r>
      <w:r>
        <w:rPr>
          <w:color w:val="000000"/>
          <w:sz w:val="24"/>
        </w:rPr>
        <w:t>类基金份额按照</w:t>
      </w:r>
      <w:r>
        <w:rPr>
          <w:color w:val="000000"/>
          <w:sz w:val="24"/>
        </w:rPr>
        <w:t>0.30%</w:t>
      </w:r>
      <w:r>
        <w:rPr>
          <w:color w:val="000000"/>
          <w:sz w:val="24"/>
        </w:rPr>
        <w:t>的年费率计提销售服务费，</w:t>
      </w:r>
      <w:r>
        <w:rPr>
          <w:color w:val="000000"/>
          <w:sz w:val="24"/>
        </w:rPr>
        <w:t>B</w:t>
      </w:r>
      <w:r>
        <w:rPr>
          <w:color w:val="000000"/>
          <w:sz w:val="24"/>
        </w:rPr>
        <w:t>类基金份额按照</w:t>
      </w:r>
      <w:r>
        <w:rPr>
          <w:color w:val="000000"/>
          <w:sz w:val="24"/>
        </w:rPr>
        <w:t>0.01%</w:t>
      </w:r>
      <w:r>
        <w:rPr>
          <w:color w:val="000000"/>
          <w:sz w:val="24"/>
        </w:rPr>
        <w:t>的年费率计提销售服务费。</w:t>
      </w:r>
    </w:p>
    <w:p w:rsidR="00893021" w:rsidRPr="000E4C40" w:rsidRDefault="00893021"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期已实现收益指基金本期利息收入、投资收益、其他收入（不含公允价值变动收益）扣除相关费用后的余额，本期利润为本期已实现收益加上本期公允价值变动收益，由于本基金采用摊余成本法核算，因此，公允价值变动收益为零，本期已实现收益和本期利润的金额相等。</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3.2 </w:t>
      </w:r>
      <w:r w:rsidRPr="000E4C40">
        <w:rPr>
          <w:rFonts w:hAnsi="宋体"/>
          <w:b/>
          <w:color w:val="000000"/>
          <w:kern w:val="0"/>
          <w:sz w:val="24"/>
        </w:rPr>
        <w:t>基金净值表现</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3.2.1 </w:t>
      </w:r>
      <w:r w:rsidRPr="000E4C40">
        <w:rPr>
          <w:rFonts w:hAnsi="宋体"/>
          <w:b/>
          <w:color w:val="000000"/>
          <w:kern w:val="0"/>
          <w:sz w:val="24"/>
        </w:rPr>
        <w:t>本报告期基金份额净值收益率及其与同期业绩比较基准收益率的比较</w:t>
      </w:r>
    </w:p>
    <w:p w:rsidR="00DA1983"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1</w:t>
      </w:r>
      <w:r w:rsidR="00834F7F" w:rsidRPr="000E4C40">
        <w:rPr>
          <w:rFonts w:ascii="Times New Roman"/>
          <w:b/>
          <w:color w:val="000000"/>
        </w:rPr>
        <w:t>．</w:t>
      </w:r>
      <w:r w:rsidR="00834F7F" w:rsidRPr="000E4C40">
        <w:rPr>
          <w:rFonts w:ascii="Times New Roman" w:hAnsi="Times New Roman"/>
          <w:b/>
          <w:color w:val="auto"/>
        </w:rPr>
        <w:t>交银理财</w:t>
      </w:r>
      <w:r w:rsidR="00834F7F" w:rsidRPr="000E4C40">
        <w:rPr>
          <w:rFonts w:ascii="Times New Roman" w:hAnsi="Times New Roman"/>
          <w:b/>
          <w:color w:val="auto"/>
        </w:rPr>
        <w:t>60</w:t>
      </w:r>
      <w:r w:rsidR="00834F7F" w:rsidRPr="000E4C40">
        <w:rPr>
          <w:rFonts w:ascii="Times New Roman" w:hAnsi="Times New Roman"/>
          <w:b/>
          <w:color w:val="auto"/>
        </w:rPr>
        <w:t>天债券</w:t>
      </w:r>
      <w:r w:rsidR="00834F7F" w:rsidRPr="000E4C40">
        <w:rPr>
          <w:rFonts w:ascii="Times New Roman" w:hAnsi="Times New Roman"/>
          <w:b/>
          <w:color w:val="auto"/>
        </w:rPr>
        <w:t>A</w:t>
      </w:r>
      <w:r w:rsidR="00834F7F"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8B23BD" w:rsidRPr="000E4C40" w:rsidTr="0071688D">
        <w:trPr>
          <w:jc w:val="center"/>
        </w:trPr>
        <w:tc>
          <w:tcPr>
            <w:tcW w:w="1328"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lastRenderedPageBreak/>
              <w:t>②</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业绩比较基准收益</w:t>
            </w:r>
            <w:r w:rsidRPr="000E4C40">
              <w:rPr>
                <w:rFonts w:ascii="Times New Roman"/>
                <w:color w:val="000000"/>
                <w:szCs w:val="24"/>
              </w:rPr>
              <w:lastRenderedPageBreak/>
              <w:t>率</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lastRenderedPageBreak/>
              <w:t>业绩比较基准收益</w:t>
            </w:r>
            <w:r w:rsidRPr="000E4C40">
              <w:rPr>
                <w:rFonts w:ascii="Times New Roman"/>
                <w:color w:val="000000"/>
                <w:szCs w:val="24"/>
              </w:rPr>
              <w:lastRenderedPageBreak/>
              <w:t>率标准差</w:t>
            </w:r>
            <w:r w:rsidRPr="000E4C40">
              <w:rPr>
                <w:color w:val="000000"/>
                <w:szCs w:val="24"/>
              </w:rPr>
              <w:t>④</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lastRenderedPageBreak/>
              <w:t>①</w:t>
            </w:r>
            <w:r w:rsidR="00A575D2" w:rsidRPr="000E4C40">
              <w:rPr>
                <w:rFonts w:ascii="Times New Roman"/>
                <w:color w:val="000000"/>
              </w:rPr>
              <w:t>－</w:t>
            </w:r>
            <w:r w:rsidRPr="000E4C40">
              <w:rPr>
                <w:color w:val="000000"/>
                <w:szCs w:val="24"/>
              </w:rPr>
              <w:t>③</w:t>
            </w:r>
          </w:p>
        </w:tc>
        <w:tc>
          <w:tcPr>
            <w:tcW w:w="1329" w:type="dxa"/>
            <w:vAlign w:val="center"/>
          </w:tcPr>
          <w:p w:rsidR="008B23BD" w:rsidRPr="000E4C40" w:rsidRDefault="008B23BD"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A575D2" w:rsidRPr="000E4C40">
              <w:rPr>
                <w:rFonts w:ascii="Times New Roman"/>
                <w:color w:val="000000"/>
              </w:rPr>
              <w:t>－</w:t>
            </w:r>
            <w:r w:rsidRPr="000E4C40">
              <w:rPr>
                <w:color w:val="000000"/>
                <w:szCs w:val="24"/>
              </w:rPr>
              <w:t>④</w:t>
            </w:r>
          </w:p>
        </w:tc>
      </w:tr>
      <w:tr w:rsidR="000B6423">
        <w:trPr>
          <w:jc w:val="center"/>
        </w:trPr>
        <w:tc>
          <w:tcPr>
            <w:tcW w:w="1266" w:type="dxa"/>
            <w:vAlign w:val="center"/>
          </w:tcPr>
          <w:p w:rsidR="000B6423" w:rsidRDefault="00C13119">
            <w:pPr>
              <w:jc w:val="left"/>
            </w:pPr>
            <w:r>
              <w:rPr>
                <w:color w:val="000000"/>
              </w:rPr>
              <w:t>过去三个月</w:t>
            </w:r>
          </w:p>
        </w:tc>
        <w:tc>
          <w:tcPr>
            <w:tcW w:w="1267" w:type="dxa"/>
            <w:vAlign w:val="center"/>
          </w:tcPr>
          <w:p w:rsidR="000B6423" w:rsidRDefault="00C13119">
            <w:pPr>
              <w:jc w:val="center"/>
            </w:pPr>
            <w:r>
              <w:rPr>
                <w:color w:val="000000"/>
              </w:rPr>
              <w:t>1.1032%</w:t>
            </w:r>
          </w:p>
        </w:tc>
        <w:tc>
          <w:tcPr>
            <w:tcW w:w="1267" w:type="dxa"/>
            <w:vAlign w:val="center"/>
          </w:tcPr>
          <w:p w:rsidR="000B6423" w:rsidRDefault="00C13119">
            <w:pPr>
              <w:jc w:val="center"/>
            </w:pPr>
            <w:r>
              <w:rPr>
                <w:color w:val="000000"/>
              </w:rPr>
              <w:t>0.0003%</w:t>
            </w:r>
          </w:p>
        </w:tc>
        <w:tc>
          <w:tcPr>
            <w:tcW w:w="1267" w:type="dxa"/>
            <w:vAlign w:val="center"/>
          </w:tcPr>
          <w:p w:rsidR="000B6423" w:rsidRDefault="00C13119">
            <w:pPr>
              <w:jc w:val="center"/>
            </w:pPr>
            <w:r>
              <w:rPr>
                <w:color w:val="000000"/>
              </w:rPr>
              <w:t>0.3329%</w:t>
            </w:r>
          </w:p>
        </w:tc>
        <w:tc>
          <w:tcPr>
            <w:tcW w:w="1267" w:type="dxa"/>
            <w:vAlign w:val="center"/>
          </w:tcPr>
          <w:p w:rsidR="000B6423" w:rsidRDefault="00C13119">
            <w:pPr>
              <w:jc w:val="center"/>
            </w:pPr>
            <w:r>
              <w:rPr>
                <w:color w:val="000000"/>
              </w:rPr>
              <w:t>0.0000%</w:t>
            </w:r>
          </w:p>
        </w:tc>
        <w:tc>
          <w:tcPr>
            <w:tcW w:w="1267" w:type="dxa"/>
            <w:vAlign w:val="center"/>
          </w:tcPr>
          <w:p w:rsidR="000B6423" w:rsidRDefault="00C13119">
            <w:pPr>
              <w:jc w:val="center"/>
            </w:pPr>
            <w:r>
              <w:rPr>
                <w:color w:val="000000"/>
              </w:rPr>
              <w:t>0.7703%</w:t>
            </w:r>
          </w:p>
        </w:tc>
        <w:tc>
          <w:tcPr>
            <w:tcW w:w="1267" w:type="dxa"/>
            <w:vAlign w:val="center"/>
          </w:tcPr>
          <w:p w:rsidR="000B6423" w:rsidRDefault="00C13119">
            <w:pPr>
              <w:jc w:val="center"/>
            </w:pPr>
            <w:r>
              <w:rPr>
                <w:color w:val="000000"/>
              </w:rPr>
              <w:t>0.0003%</w:t>
            </w:r>
          </w:p>
        </w:tc>
      </w:tr>
    </w:tbl>
    <w:p w:rsidR="000B6423" w:rsidRDefault="00C13119">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A50D92" w:rsidRPr="000E4C40" w:rsidRDefault="00A50D92"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86667" w:rsidRPr="000E4C40" w:rsidRDefault="00186667" w:rsidP="00281564">
      <w:pPr>
        <w:tabs>
          <w:tab w:val="left" w:pos="1800"/>
        </w:tabs>
        <w:adjustRightInd w:val="0"/>
        <w:spacing w:before="29" w:line="288" w:lineRule="auto"/>
        <w:rPr>
          <w:sz w:val="24"/>
        </w:rPr>
      </w:pPr>
    </w:p>
    <w:p w:rsidR="00186667" w:rsidRPr="000E4C40" w:rsidRDefault="00186667" w:rsidP="00281564">
      <w:pPr>
        <w:pStyle w:val="20"/>
        <w:spacing w:before="29" w:line="288" w:lineRule="auto"/>
        <w:ind w:firstLineChars="0" w:firstLine="0"/>
        <w:rPr>
          <w:rFonts w:ascii="Times New Roman" w:hAnsi="Times New Roman"/>
          <w:b/>
          <w:color w:val="auto"/>
        </w:rPr>
      </w:pPr>
      <w:r w:rsidRPr="000E4C40">
        <w:rPr>
          <w:rFonts w:ascii="Times New Roman" w:hAnsi="Times New Roman"/>
          <w:b/>
          <w:color w:val="000000"/>
        </w:rPr>
        <w:t>2</w:t>
      </w:r>
      <w:r w:rsidR="00834F7F" w:rsidRPr="000E4C40">
        <w:rPr>
          <w:rFonts w:ascii="Times New Roman"/>
          <w:b/>
          <w:color w:val="000000"/>
        </w:rPr>
        <w:t>．</w:t>
      </w:r>
      <w:r w:rsidR="000B2044" w:rsidRPr="000E4C40">
        <w:rPr>
          <w:rFonts w:ascii="Times New Roman" w:hAnsi="Times New Roman"/>
          <w:b/>
          <w:color w:val="000000"/>
        </w:rPr>
        <w:t>交银理财</w:t>
      </w:r>
      <w:r w:rsidR="000B2044" w:rsidRPr="000E4C40">
        <w:rPr>
          <w:rFonts w:ascii="Times New Roman" w:hAnsi="Times New Roman"/>
          <w:b/>
          <w:color w:val="000000"/>
        </w:rPr>
        <w:t>60</w:t>
      </w:r>
      <w:r w:rsidR="000B2044" w:rsidRPr="000E4C40">
        <w:rPr>
          <w:rFonts w:ascii="Times New Roman" w:hAnsi="Times New Roman"/>
          <w:b/>
          <w:color w:val="000000"/>
        </w:rPr>
        <w:t>天债券</w:t>
      </w:r>
      <w:r w:rsidR="000B2044" w:rsidRPr="000E4C40">
        <w:rPr>
          <w:rFonts w:ascii="Times New Roman" w:hAnsi="Times New Roman"/>
          <w:b/>
          <w:color w:val="000000"/>
        </w:rPr>
        <w:t>B</w:t>
      </w:r>
      <w:r w:rsidR="000B2044" w:rsidRPr="000E4C40">
        <w:rPr>
          <w:rFonts w:ascii="Times New Roman"/>
          <w:b/>
          <w:color w:val="auto"/>
        </w:rPr>
        <w:t>：</w:t>
      </w:r>
    </w:p>
    <w:tbl>
      <w:tblPr>
        <w:tblStyle w:val="aa"/>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113777" w:rsidRPr="000E4C40" w:rsidTr="00064E6F">
        <w:trPr>
          <w:jc w:val="center"/>
        </w:trPr>
        <w:tc>
          <w:tcPr>
            <w:tcW w:w="1328"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阶段</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w:t>
            </w:r>
            <w:r w:rsidRPr="000E4C40">
              <w:rPr>
                <w:color w:val="000000"/>
                <w:szCs w:val="24"/>
              </w:rPr>
              <w:t>①</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净值收益率标准差</w:t>
            </w:r>
            <w:r w:rsidRPr="000E4C40">
              <w:rPr>
                <w:color w:val="000000"/>
                <w:szCs w:val="24"/>
              </w:rPr>
              <w:t>②</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rFonts w:ascii="Times New Roman"/>
                <w:color w:val="000000"/>
                <w:szCs w:val="24"/>
              </w:rPr>
              <w:t>业绩比较基准收益率标准差</w:t>
            </w:r>
            <w:r w:rsidRPr="000E4C40">
              <w:rPr>
                <w:color w:val="000000"/>
                <w:szCs w:val="24"/>
              </w:rPr>
              <w:t>④</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①</w:t>
            </w:r>
            <w:r w:rsidR="001C69EF" w:rsidRPr="000E4C40">
              <w:rPr>
                <w:rFonts w:ascii="Times New Roman"/>
                <w:color w:val="000000"/>
              </w:rPr>
              <w:t>－</w:t>
            </w:r>
            <w:r w:rsidRPr="000E4C40">
              <w:rPr>
                <w:color w:val="000000"/>
                <w:szCs w:val="24"/>
              </w:rPr>
              <w:t>③</w:t>
            </w:r>
          </w:p>
        </w:tc>
        <w:tc>
          <w:tcPr>
            <w:tcW w:w="1329" w:type="dxa"/>
            <w:vAlign w:val="center"/>
          </w:tcPr>
          <w:p w:rsidR="00113777" w:rsidRPr="000E4C40" w:rsidRDefault="00113777" w:rsidP="00281564">
            <w:pPr>
              <w:pStyle w:val="ab"/>
              <w:adjustRightInd w:val="0"/>
              <w:snapToGrid w:val="0"/>
              <w:spacing w:before="29" w:beforeAutospacing="0" w:after="0" w:afterAutospacing="0" w:line="288" w:lineRule="auto"/>
              <w:jc w:val="center"/>
              <w:rPr>
                <w:rFonts w:ascii="Times New Roman" w:hAnsi="Times New Roman"/>
                <w:color w:val="000000"/>
                <w:szCs w:val="24"/>
              </w:rPr>
            </w:pPr>
            <w:r w:rsidRPr="000E4C40">
              <w:rPr>
                <w:color w:val="000000"/>
                <w:szCs w:val="24"/>
              </w:rPr>
              <w:t>②</w:t>
            </w:r>
            <w:r w:rsidR="001C69EF" w:rsidRPr="000E4C40">
              <w:rPr>
                <w:rFonts w:ascii="Times New Roman"/>
                <w:color w:val="000000"/>
              </w:rPr>
              <w:t>－</w:t>
            </w:r>
            <w:r w:rsidRPr="000E4C40">
              <w:rPr>
                <w:color w:val="000000"/>
                <w:szCs w:val="24"/>
              </w:rPr>
              <w:t>④</w:t>
            </w:r>
          </w:p>
        </w:tc>
      </w:tr>
      <w:tr w:rsidR="000B6423">
        <w:trPr>
          <w:jc w:val="center"/>
        </w:trPr>
        <w:tc>
          <w:tcPr>
            <w:tcW w:w="1266" w:type="dxa"/>
            <w:vAlign w:val="center"/>
          </w:tcPr>
          <w:p w:rsidR="000B6423" w:rsidRDefault="00C13119">
            <w:pPr>
              <w:jc w:val="left"/>
            </w:pPr>
            <w:r>
              <w:rPr>
                <w:color w:val="000000"/>
              </w:rPr>
              <w:t>过去三个月</w:t>
            </w:r>
          </w:p>
        </w:tc>
        <w:tc>
          <w:tcPr>
            <w:tcW w:w="1267" w:type="dxa"/>
            <w:vAlign w:val="center"/>
          </w:tcPr>
          <w:p w:rsidR="000B6423" w:rsidRDefault="00C13119">
            <w:pPr>
              <w:jc w:val="center"/>
            </w:pPr>
            <w:r>
              <w:rPr>
                <w:color w:val="000000"/>
              </w:rPr>
              <w:t>1.1755%</w:t>
            </w:r>
          </w:p>
        </w:tc>
        <w:tc>
          <w:tcPr>
            <w:tcW w:w="1267" w:type="dxa"/>
            <w:vAlign w:val="center"/>
          </w:tcPr>
          <w:p w:rsidR="000B6423" w:rsidRDefault="00C13119">
            <w:pPr>
              <w:jc w:val="center"/>
            </w:pPr>
            <w:r>
              <w:rPr>
                <w:color w:val="000000"/>
              </w:rPr>
              <w:t>0.0003%</w:t>
            </w:r>
          </w:p>
        </w:tc>
        <w:tc>
          <w:tcPr>
            <w:tcW w:w="1267" w:type="dxa"/>
            <w:vAlign w:val="center"/>
          </w:tcPr>
          <w:p w:rsidR="000B6423" w:rsidRDefault="00C13119">
            <w:pPr>
              <w:jc w:val="center"/>
            </w:pPr>
            <w:r>
              <w:rPr>
                <w:color w:val="000000"/>
              </w:rPr>
              <w:t>0.3329%</w:t>
            </w:r>
          </w:p>
        </w:tc>
        <w:tc>
          <w:tcPr>
            <w:tcW w:w="1267" w:type="dxa"/>
            <w:vAlign w:val="center"/>
          </w:tcPr>
          <w:p w:rsidR="000B6423" w:rsidRDefault="00C13119">
            <w:pPr>
              <w:jc w:val="center"/>
            </w:pPr>
            <w:r>
              <w:rPr>
                <w:color w:val="000000"/>
              </w:rPr>
              <w:t>0.0000%</w:t>
            </w:r>
          </w:p>
        </w:tc>
        <w:tc>
          <w:tcPr>
            <w:tcW w:w="1267" w:type="dxa"/>
            <w:vAlign w:val="center"/>
          </w:tcPr>
          <w:p w:rsidR="000B6423" w:rsidRDefault="00C13119">
            <w:pPr>
              <w:jc w:val="center"/>
            </w:pPr>
            <w:r>
              <w:rPr>
                <w:color w:val="000000"/>
              </w:rPr>
              <w:t>0.8426%</w:t>
            </w:r>
          </w:p>
        </w:tc>
        <w:tc>
          <w:tcPr>
            <w:tcW w:w="1267" w:type="dxa"/>
            <w:vAlign w:val="center"/>
          </w:tcPr>
          <w:p w:rsidR="000B6423" w:rsidRDefault="00C13119">
            <w:pPr>
              <w:jc w:val="center"/>
            </w:pPr>
            <w:r>
              <w:rPr>
                <w:color w:val="000000"/>
              </w:rPr>
              <w:t>0.0003%</w:t>
            </w:r>
          </w:p>
        </w:tc>
      </w:tr>
    </w:tbl>
    <w:p w:rsidR="000B6423" w:rsidRDefault="00C13119">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、本表净值收益率数据所取的基金运作周期为基金合同生效日为起始日的运作周期。</w:t>
      </w:r>
    </w:p>
    <w:p w:rsidR="000B2044" w:rsidRPr="000E4C40" w:rsidRDefault="000B2044" w:rsidP="00281564">
      <w:pPr>
        <w:autoSpaceDE w:val="0"/>
        <w:autoSpaceDN w:val="0"/>
        <w:adjustRightInd w:val="0"/>
        <w:spacing w:before="29" w:line="288" w:lineRule="auto"/>
        <w:jc w:val="left"/>
        <w:rPr>
          <w:color w:val="000000"/>
          <w:sz w:val="24"/>
        </w:rPr>
      </w:pPr>
      <w:r w:rsidRPr="000E4C40">
        <w:rPr>
          <w:color w:val="000000"/>
          <w:sz w:val="24"/>
        </w:rPr>
        <w:t xml:space="preserve">    2</w:t>
      </w:r>
      <w:r w:rsidRPr="000E4C40">
        <w:rPr>
          <w:color w:val="000000"/>
          <w:sz w:val="24"/>
        </w:rPr>
        <w:t>、本基金每日计算当日收益并分配，并在运作期期末集中支付。</w:t>
      </w:r>
    </w:p>
    <w:p w:rsidR="001F0286" w:rsidRPr="000E4C40" w:rsidRDefault="001F0286" w:rsidP="00281564">
      <w:pPr>
        <w:tabs>
          <w:tab w:val="left" w:pos="1800"/>
        </w:tabs>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3.2.2</w:t>
      </w:r>
      <w:r w:rsidR="00A21753" w:rsidRPr="00D8505A">
        <w:rPr>
          <w:rFonts w:hint="eastAsia"/>
          <w:b/>
          <w:color w:val="000000"/>
          <w:kern w:val="0"/>
          <w:sz w:val="24"/>
        </w:rPr>
        <w:t>自基金合同生效以来</w:t>
      </w:r>
      <w:r w:rsidR="001B1302" w:rsidRPr="00D8505A">
        <w:rPr>
          <w:b/>
          <w:color w:val="000000"/>
          <w:kern w:val="0"/>
          <w:sz w:val="24"/>
        </w:rPr>
        <w:t>基</w:t>
      </w:r>
      <w:r w:rsidR="001B1302" w:rsidRPr="000E4C40">
        <w:rPr>
          <w:rFonts w:hAnsi="宋体"/>
          <w:b/>
          <w:color w:val="000000"/>
          <w:kern w:val="0"/>
          <w:sz w:val="24"/>
        </w:rPr>
        <w:t>金份额累计净值收益率变动及其与同期业绩比较基准收益率变动的比较</w:t>
      </w:r>
    </w:p>
    <w:p w:rsidR="00E63B3D" w:rsidRPr="000E4C40" w:rsidRDefault="00E63B3D" w:rsidP="00281564">
      <w:pPr>
        <w:spacing w:before="29" w:line="288" w:lineRule="auto"/>
        <w:jc w:val="center"/>
        <w:rPr>
          <w:sz w:val="24"/>
        </w:rPr>
      </w:pPr>
      <w:r w:rsidRPr="000E4C40">
        <w:rPr>
          <w:sz w:val="24"/>
        </w:rPr>
        <w:t>交银施罗德理财</w:t>
      </w:r>
      <w:r w:rsidRPr="000E4C40">
        <w:rPr>
          <w:sz w:val="24"/>
        </w:rPr>
        <w:t>60</w:t>
      </w:r>
      <w:r w:rsidRPr="000E4C40">
        <w:rPr>
          <w:sz w:val="24"/>
        </w:rPr>
        <w:t>天债券型证券投资基金</w:t>
      </w:r>
    </w:p>
    <w:p w:rsidR="00E63B3D" w:rsidRPr="000E4C40" w:rsidRDefault="00E27752" w:rsidP="00281564">
      <w:pPr>
        <w:pStyle w:val="a6"/>
        <w:snapToGrid w:val="0"/>
        <w:spacing w:before="29" w:line="288" w:lineRule="auto"/>
        <w:jc w:val="center"/>
        <w:rPr>
          <w:rFonts w:ascii="Times New Roman" w:hAnsi="Times New Roman"/>
          <w:sz w:val="24"/>
          <w:szCs w:val="24"/>
        </w:rPr>
      </w:pPr>
      <w:r w:rsidRPr="000E4C40">
        <w:rPr>
          <w:rFonts w:ascii="Times New Roman" w:hAnsi="宋体"/>
          <w:sz w:val="24"/>
          <w:szCs w:val="24"/>
        </w:rPr>
        <w:t>份额累计净值收益率与业绩比较基准收益率历史走势对比图</w:t>
      </w:r>
    </w:p>
    <w:p w:rsidR="00A7219D" w:rsidRPr="000E4C40" w:rsidRDefault="00FF7214" w:rsidP="00281564">
      <w:pPr>
        <w:spacing w:before="29" w:line="288" w:lineRule="auto"/>
        <w:jc w:val="center"/>
        <w:rPr>
          <w:sz w:val="24"/>
        </w:rPr>
      </w:pPr>
      <w:r w:rsidRPr="000E4C40">
        <w:rPr>
          <w:rFonts w:hAnsi="宋体"/>
          <w:color w:val="000000"/>
          <w:sz w:val="24"/>
        </w:rPr>
        <w:t>（</w:t>
      </w:r>
      <w:r w:rsidR="00D87D00" w:rsidRPr="000E4C40">
        <w:rPr>
          <w:color w:val="000000"/>
          <w:kern w:val="0"/>
          <w:sz w:val="24"/>
        </w:rPr>
        <w:t>2013</w:t>
      </w:r>
      <w:r w:rsidR="00D87D00" w:rsidRPr="000E4C40">
        <w:rPr>
          <w:color w:val="000000"/>
          <w:kern w:val="0"/>
          <w:sz w:val="24"/>
        </w:rPr>
        <w:t>年</w:t>
      </w:r>
      <w:r w:rsidR="00D87D00" w:rsidRPr="000E4C40">
        <w:rPr>
          <w:color w:val="000000"/>
          <w:kern w:val="0"/>
          <w:sz w:val="24"/>
        </w:rPr>
        <w:t>3</w:t>
      </w:r>
      <w:r w:rsidR="00D87D00" w:rsidRPr="000E4C40">
        <w:rPr>
          <w:color w:val="000000"/>
          <w:kern w:val="0"/>
          <w:sz w:val="24"/>
        </w:rPr>
        <w:t>月</w:t>
      </w:r>
      <w:r w:rsidR="00D87D00" w:rsidRPr="000E4C40">
        <w:rPr>
          <w:color w:val="000000"/>
          <w:kern w:val="0"/>
          <w:sz w:val="24"/>
        </w:rPr>
        <w:t>13</w:t>
      </w:r>
      <w:r w:rsidR="00D87D00" w:rsidRPr="000E4C40">
        <w:rPr>
          <w:color w:val="000000"/>
          <w:kern w:val="0"/>
          <w:sz w:val="24"/>
        </w:rPr>
        <w:t>日</w:t>
      </w:r>
      <w:r w:rsidR="00A7219D" w:rsidRPr="000E4C40">
        <w:rPr>
          <w:rFonts w:hAnsi="宋体"/>
          <w:color w:val="000000"/>
          <w:kern w:val="0"/>
          <w:sz w:val="24"/>
        </w:rPr>
        <w:t>至</w:t>
      </w:r>
      <w:r w:rsidR="00A7219D" w:rsidRPr="000E4C40">
        <w:rPr>
          <w:color w:val="000000"/>
          <w:kern w:val="0"/>
          <w:sz w:val="24"/>
        </w:rPr>
        <w:t>2018</w:t>
      </w:r>
      <w:r w:rsidR="00A7219D" w:rsidRPr="000E4C40">
        <w:rPr>
          <w:color w:val="000000"/>
          <w:kern w:val="0"/>
          <w:sz w:val="24"/>
        </w:rPr>
        <w:t>年</w:t>
      </w:r>
      <w:r w:rsidR="00A7219D" w:rsidRPr="000E4C40">
        <w:rPr>
          <w:color w:val="000000"/>
          <w:kern w:val="0"/>
          <w:sz w:val="24"/>
        </w:rPr>
        <w:t>3</w:t>
      </w:r>
      <w:r w:rsidR="00A7219D" w:rsidRPr="000E4C40">
        <w:rPr>
          <w:color w:val="000000"/>
          <w:kern w:val="0"/>
          <w:sz w:val="24"/>
        </w:rPr>
        <w:t>月</w:t>
      </w:r>
      <w:r w:rsidR="00A7219D" w:rsidRPr="000E4C40">
        <w:rPr>
          <w:color w:val="000000"/>
          <w:kern w:val="0"/>
          <w:sz w:val="24"/>
        </w:rPr>
        <w:t>31</w:t>
      </w:r>
      <w:r w:rsidR="00A7219D" w:rsidRPr="000E4C40">
        <w:rPr>
          <w:color w:val="000000"/>
          <w:kern w:val="0"/>
          <w:sz w:val="24"/>
        </w:rPr>
        <w:t>日</w:t>
      </w:r>
      <w:r w:rsidRPr="000E4C40">
        <w:rPr>
          <w:rFonts w:hAnsi="宋体"/>
          <w:color w:val="000000"/>
          <w:sz w:val="24"/>
        </w:rPr>
        <w:t>）</w:t>
      </w:r>
    </w:p>
    <w:p w:rsidR="00825EA5" w:rsidRPr="000E4C40" w:rsidRDefault="00E63B3D" w:rsidP="00281564">
      <w:pPr>
        <w:numPr>
          <w:ilvl w:val="0"/>
          <w:numId w:val="1"/>
        </w:numPr>
        <w:snapToGrid w:val="0"/>
        <w:spacing w:before="29" w:line="288" w:lineRule="auto"/>
        <w:rPr>
          <w:color w:val="000000"/>
          <w:sz w:val="24"/>
        </w:rPr>
      </w:pPr>
      <w:r w:rsidRPr="000E4C40">
        <w:rPr>
          <w:color w:val="000000"/>
          <w:kern w:val="0"/>
          <w:sz w:val="24"/>
        </w:rPr>
        <w:t>交银理财</w:t>
      </w:r>
      <w:r w:rsidRPr="000E4C40">
        <w:rPr>
          <w:color w:val="000000"/>
          <w:kern w:val="0"/>
          <w:sz w:val="24"/>
        </w:rPr>
        <w:t>60</w:t>
      </w:r>
      <w:r w:rsidRPr="000E4C40">
        <w:rPr>
          <w:color w:val="000000"/>
          <w:kern w:val="0"/>
          <w:sz w:val="24"/>
        </w:rPr>
        <w:t>天债券</w:t>
      </w:r>
      <w:r w:rsidRPr="000E4C40">
        <w:rPr>
          <w:color w:val="000000"/>
          <w:kern w:val="0"/>
          <w:sz w:val="24"/>
        </w:rPr>
        <w:t>A</w:t>
      </w:r>
    </w:p>
    <w:p w:rsidR="00E63B3D" w:rsidRPr="000E4C40" w:rsidRDefault="00F14672" w:rsidP="00281564">
      <w:pPr>
        <w:tabs>
          <w:tab w:val="left" w:pos="0"/>
        </w:tabs>
        <w:spacing w:before="29" w:line="288" w:lineRule="auto"/>
        <w:jc w:val="center"/>
        <w:rPr>
          <w:color w:val="000000"/>
          <w:sz w:val="24"/>
        </w:rPr>
      </w:pPr>
      <w:r w:rsidRPr="000E4C40">
        <w:rPr>
          <w:noProof/>
          <w:color w:val="000000"/>
          <w:sz w:val="24"/>
        </w:rPr>
        <w:lastRenderedPageBreak/>
        <w:drawing>
          <wp:inline distT="0" distB="0" distL="0" distR="0">
            <wp:extent cx="5769610" cy="3378835"/>
            <wp:effectExtent l="19050" t="0" r="2540" b="0"/>
            <wp:docPr id="5" name="图片 4"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769610" cy="3378835"/>
                    </a:xfrm>
                    <a:prstGeom prst="rect">
                      <a:avLst/>
                    </a:prstGeom>
                  </pic:spPr>
                </pic:pic>
              </a:graphicData>
            </a:graphic>
          </wp:inline>
        </w:drawing>
      </w:r>
    </w:p>
    <w:p w:rsidR="00E63B3D" w:rsidRPr="000E4C40" w:rsidRDefault="00E63B3D" w:rsidP="00281564">
      <w:pPr>
        <w:autoSpaceDE w:val="0"/>
        <w:autoSpaceDN w:val="0"/>
        <w:adjustRightInd w:val="0"/>
        <w:spacing w:before="29" w:line="288" w:lineRule="auto"/>
        <w:jc w:val="left"/>
        <w:rPr>
          <w:color w:val="000000"/>
          <w:sz w:val="24"/>
        </w:rPr>
      </w:pPr>
      <w:r w:rsidRPr="000E4C40">
        <w:rPr>
          <w:color w:val="000000"/>
          <w:sz w:val="24"/>
        </w:rPr>
        <w:t>注：本基金建仓期为自基金合同生效日起的</w:t>
      </w:r>
      <w:r w:rsidRPr="000E4C40">
        <w:rPr>
          <w:color w:val="000000"/>
          <w:sz w:val="24"/>
        </w:rPr>
        <w:t>2</w:t>
      </w:r>
      <w:r w:rsidRPr="000E4C40">
        <w:rPr>
          <w:color w:val="000000"/>
          <w:sz w:val="24"/>
        </w:rPr>
        <w:t>个月。截至建仓期结束，本基金各项资产配置比例符合基金合同及招募说明书有关投资比例的约定。</w:t>
      </w:r>
    </w:p>
    <w:p w:rsidR="00825EA5" w:rsidRPr="000E4C40" w:rsidRDefault="00825EA5" w:rsidP="00281564">
      <w:pPr>
        <w:adjustRightInd w:val="0"/>
        <w:snapToGrid w:val="0"/>
        <w:spacing w:before="29" w:line="288" w:lineRule="auto"/>
        <w:rPr>
          <w:color w:val="000000"/>
          <w:sz w:val="24"/>
        </w:rPr>
      </w:pPr>
    </w:p>
    <w:p w:rsidR="00825EA5" w:rsidRPr="000E4C40" w:rsidRDefault="00580560" w:rsidP="00281564">
      <w:pPr>
        <w:snapToGrid w:val="0"/>
        <w:spacing w:before="29" w:line="288" w:lineRule="auto"/>
        <w:ind w:left="470"/>
        <w:rPr>
          <w:color w:val="000000"/>
          <w:sz w:val="24"/>
        </w:rPr>
      </w:pPr>
      <w:r w:rsidRPr="000E4C40">
        <w:rPr>
          <w:color w:val="000000"/>
          <w:sz w:val="24"/>
        </w:rPr>
        <w:t>2</w:t>
      </w:r>
      <w:r w:rsidRPr="000E4C40">
        <w:rPr>
          <w:rFonts w:hAnsi="宋体"/>
          <w:color w:val="000000"/>
          <w:sz w:val="24"/>
        </w:rPr>
        <w:t>、</w:t>
      </w:r>
      <w:r w:rsidR="005F668B" w:rsidRPr="000E4C40">
        <w:rPr>
          <w:color w:val="000000"/>
          <w:kern w:val="0"/>
          <w:sz w:val="24"/>
        </w:rPr>
        <w:t>交银理财</w:t>
      </w:r>
      <w:r w:rsidR="005F668B" w:rsidRPr="000E4C40">
        <w:rPr>
          <w:color w:val="000000"/>
          <w:kern w:val="0"/>
          <w:sz w:val="24"/>
        </w:rPr>
        <w:t>60</w:t>
      </w:r>
      <w:r w:rsidR="005F668B" w:rsidRPr="000E4C40">
        <w:rPr>
          <w:color w:val="000000"/>
          <w:kern w:val="0"/>
          <w:sz w:val="24"/>
        </w:rPr>
        <w:t>天债券</w:t>
      </w:r>
      <w:r w:rsidR="005F668B" w:rsidRPr="000E4C40">
        <w:rPr>
          <w:color w:val="000000"/>
          <w:kern w:val="0"/>
          <w:sz w:val="24"/>
        </w:rPr>
        <w:t>B</w:t>
      </w:r>
    </w:p>
    <w:p w:rsidR="005F668B" w:rsidRPr="000E4C40" w:rsidRDefault="00F14672" w:rsidP="00281564">
      <w:pPr>
        <w:snapToGrid w:val="0"/>
        <w:spacing w:before="29" w:line="288" w:lineRule="auto"/>
        <w:jc w:val="center"/>
        <w:rPr>
          <w:color w:val="000000"/>
          <w:sz w:val="24"/>
        </w:rPr>
      </w:pPr>
      <w:r w:rsidRPr="000E4C40">
        <w:rPr>
          <w:noProof/>
          <w:color w:val="000000"/>
          <w:sz w:val="24"/>
        </w:rPr>
        <w:drawing>
          <wp:inline distT="0" distB="0" distL="0" distR="0">
            <wp:extent cx="5769610" cy="3378835"/>
            <wp:effectExtent l="19050" t="0" r="2540" b="0"/>
            <wp:docPr id="4" name="图片 3"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5" cstate="print"/>
                    <a:stretch>
                      <a:fillRect/>
                    </a:stretch>
                  </pic:blipFill>
                  <pic:spPr>
                    <a:xfrm>
                      <a:off x="0" y="0"/>
                      <a:ext cx="5769610" cy="3378835"/>
                    </a:xfrm>
                    <a:prstGeom prst="rect">
                      <a:avLst/>
                    </a:prstGeom>
                  </pic:spPr>
                </pic:pic>
              </a:graphicData>
            </a:graphic>
          </wp:inline>
        </w:drawing>
      </w:r>
    </w:p>
    <w:p w:rsidR="00902E3F" w:rsidRPr="000E4C40" w:rsidRDefault="005F668B" w:rsidP="00281564">
      <w:pPr>
        <w:autoSpaceDE w:val="0"/>
        <w:autoSpaceDN w:val="0"/>
        <w:adjustRightInd w:val="0"/>
        <w:spacing w:before="29" w:line="288" w:lineRule="auto"/>
        <w:jc w:val="left"/>
        <w:rPr>
          <w:color w:val="000000"/>
          <w:sz w:val="24"/>
        </w:rPr>
      </w:pPr>
      <w:r w:rsidRPr="000E4C40">
        <w:rPr>
          <w:color w:val="000000"/>
          <w:sz w:val="24"/>
        </w:rPr>
        <w:t>注：本基金建仓期为自基金合同生效日起的</w:t>
      </w:r>
      <w:r w:rsidRPr="000E4C40">
        <w:rPr>
          <w:color w:val="000000"/>
          <w:sz w:val="24"/>
        </w:rPr>
        <w:t>2</w:t>
      </w:r>
      <w:r w:rsidRPr="000E4C40">
        <w:rPr>
          <w:color w:val="000000"/>
          <w:sz w:val="24"/>
        </w:rPr>
        <w:t>个月。截至建仓期结束，本基金各项资产</w:t>
      </w:r>
      <w:r w:rsidRPr="000E4C40">
        <w:rPr>
          <w:color w:val="000000"/>
          <w:sz w:val="24"/>
        </w:rPr>
        <w:lastRenderedPageBreak/>
        <w:t>配置比例符合基金合同及招募说明书有关投资比例的约定。</w:t>
      </w:r>
    </w:p>
    <w:p w:rsidR="00CA65DD" w:rsidRPr="000E4C40" w:rsidRDefault="00CA65DD" w:rsidP="00281564">
      <w:pPr>
        <w:tabs>
          <w:tab w:val="left" w:pos="1800"/>
        </w:tabs>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§4  </w:t>
      </w:r>
      <w:r w:rsidRPr="000E4C40">
        <w:rPr>
          <w:rFonts w:hAnsi="宋体"/>
          <w:color w:val="000000"/>
          <w:kern w:val="0"/>
          <w:sz w:val="24"/>
          <w:szCs w:val="24"/>
        </w:rPr>
        <w:t>管理人报告</w:t>
      </w:r>
    </w:p>
    <w:p w:rsidR="00902E3F" w:rsidRPr="000E4C40" w:rsidRDefault="00902E3F" w:rsidP="00281564">
      <w:pPr>
        <w:autoSpaceDE w:val="0"/>
        <w:autoSpaceDN w:val="0"/>
        <w:adjustRightInd w:val="0"/>
        <w:spacing w:before="29" w:line="288" w:lineRule="auto"/>
        <w:jc w:val="left"/>
        <w:rPr>
          <w:b/>
          <w:bCs/>
          <w:sz w:val="24"/>
        </w:rPr>
      </w:pPr>
      <w:r w:rsidRPr="000E4C40">
        <w:rPr>
          <w:b/>
          <w:color w:val="000000"/>
          <w:kern w:val="0"/>
          <w:sz w:val="24"/>
        </w:rPr>
        <w:t xml:space="preserve">4.1 </w:t>
      </w:r>
      <w:r w:rsidRPr="000E4C40">
        <w:rPr>
          <w:rFonts w:hAnsi="宋体"/>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5"/>
        <w:gridCol w:w="1589"/>
        <w:gridCol w:w="1478"/>
        <w:gridCol w:w="1478"/>
        <w:gridCol w:w="986"/>
        <w:gridCol w:w="2392"/>
      </w:tblGrid>
      <w:tr w:rsidR="00C4627A" w:rsidRPr="000E4C40" w:rsidTr="00951A65">
        <w:trPr>
          <w:jc w:val="center"/>
        </w:trPr>
        <w:tc>
          <w:tcPr>
            <w:tcW w:w="95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姓名</w:t>
            </w:r>
          </w:p>
        </w:tc>
        <w:tc>
          <w:tcPr>
            <w:tcW w:w="160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职务</w:t>
            </w:r>
          </w:p>
        </w:tc>
        <w:tc>
          <w:tcPr>
            <w:tcW w:w="2977" w:type="dxa"/>
            <w:gridSpan w:val="2"/>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任本基金的基金经理期限</w:t>
            </w:r>
          </w:p>
        </w:tc>
        <w:tc>
          <w:tcPr>
            <w:tcW w:w="992"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证券从业年限</w:t>
            </w:r>
          </w:p>
        </w:tc>
        <w:tc>
          <w:tcPr>
            <w:tcW w:w="2410" w:type="dxa"/>
            <w:vMerge w:val="restart"/>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说明</w:t>
            </w:r>
          </w:p>
        </w:tc>
      </w:tr>
      <w:tr w:rsidR="00C4627A" w:rsidRPr="000E4C40" w:rsidTr="00951A65">
        <w:trPr>
          <w:jc w:val="center"/>
        </w:trPr>
        <w:tc>
          <w:tcPr>
            <w:tcW w:w="95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60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1488"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任职日期</w:t>
            </w:r>
          </w:p>
        </w:tc>
        <w:tc>
          <w:tcPr>
            <w:tcW w:w="1489" w:type="dxa"/>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离任日期</w:t>
            </w:r>
          </w:p>
        </w:tc>
        <w:tc>
          <w:tcPr>
            <w:tcW w:w="992"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c>
          <w:tcPr>
            <w:tcW w:w="2410" w:type="dxa"/>
            <w:vMerge/>
            <w:vAlign w:val="center"/>
          </w:tcPr>
          <w:p w:rsidR="00C4627A" w:rsidRPr="000E4C40" w:rsidRDefault="00C4627A" w:rsidP="00281564">
            <w:pPr>
              <w:autoSpaceDE w:val="0"/>
              <w:autoSpaceDN w:val="0"/>
              <w:adjustRightInd w:val="0"/>
              <w:spacing w:before="29" w:line="288" w:lineRule="auto"/>
              <w:ind w:left="15"/>
              <w:jc w:val="center"/>
              <w:rPr>
                <w:color w:val="000000"/>
                <w:kern w:val="0"/>
                <w:sz w:val="24"/>
              </w:rPr>
            </w:pPr>
          </w:p>
        </w:tc>
      </w:tr>
      <w:tr w:rsidR="000B6423">
        <w:trPr>
          <w:jc w:val="center"/>
        </w:trPr>
        <w:tc>
          <w:tcPr>
            <w:tcW w:w="945" w:type="dxa"/>
            <w:vAlign w:val="center"/>
          </w:tcPr>
          <w:p w:rsidR="000B6423" w:rsidRDefault="00C13119">
            <w:pPr>
              <w:jc w:val="center"/>
            </w:pPr>
            <w:r>
              <w:rPr>
                <w:color w:val="000000"/>
                <w:sz w:val="24"/>
              </w:rPr>
              <w:t>连端清</w:t>
            </w:r>
          </w:p>
        </w:tc>
        <w:tc>
          <w:tcPr>
            <w:tcW w:w="1589" w:type="dxa"/>
            <w:vAlign w:val="center"/>
          </w:tcPr>
          <w:p w:rsidR="000B6423" w:rsidRDefault="00C13119">
            <w:pPr>
              <w:jc w:val="center"/>
            </w:pPr>
            <w:r>
              <w:rPr>
                <w:color w:val="000000"/>
                <w:sz w:val="24"/>
              </w:rPr>
              <w:t>交银货币、交银理财</w:t>
            </w:r>
            <w:r>
              <w:rPr>
                <w:color w:val="000000"/>
                <w:sz w:val="24"/>
              </w:rPr>
              <w:t>60</w:t>
            </w:r>
            <w:r>
              <w:rPr>
                <w:color w:val="000000"/>
                <w:sz w:val="24"/>
              </w:rPr>
              <w:t>天债券、交银丰盈收益债券、交银现金宝货币、交银丰润收益债券、交银活期通货币、交银天利宝货币、交银裕兴纯债债券、交银裕盈纯债债券、交银裕利纯债债券、交银裕隆纯债债券、交银天鑫宝货币、交银天益宝货币、交银境尚收益债券、交银天运宝货币的基金经理</w:t>
            </w:r>
          </w:p>
        </w:tc>
        <w:tc>
          <w:tcPr>
            <w:tcW w:w="1478" w:type="dxa"/>
            <w:vAlign w:val="center"/>
          </w:tcPr>
          <w:p w:rsidR="000B6423" w:rsidRDefault="00C13119">
            <w:pPr>
              <w:jc w:val="center"/>
            </w:pPr>
            <w:r>
              <w:rPr>
                <w:color w:val="000000"/>
                <w:sz w:val="24"/>
              </w:rPr>
              <w:t>2015-10-16</w:t>
            </w:r>
          </w:p>
        </w:tc>
        <w:tc>
          <w:tcPr>
            <w:tcW w:w="1478" w:type="dxa"/>
            <w:vAlign w:val="center"/>
          </w:tcPr>
          <w:p w:rsidR="000B6423" w:rsidRDefault="00C13119">
            <w:pPr>
              <w:jc w:val="center"/>
            </w:pPr>
            <w:r>
              <w:rPr>
                <w:color w:val="000000"/>
                <w:sz w:val="24"/>
              </w:rPr>
              <w:t>-</w:t>
            </w:r>
          </w:p>
        </w:tc>
        <w:tc>
          <w:tcPr>
            <w:tcW w:w="986" w:type="dxa"/>
            <w:vAlign w:val="center"/>
          </w:tcPr>
          <w:p w:rsidR="000B6423" w:rsidRDefault="00C13119">
            <w:pPr>
              <w:jc w:val="center"/>
            </w:pPr>
            <w:r>
              <w:rPr>
                <w:color w:val="000000"/>
                <w:sz w:val="24"/>
              </w:rPr>
              <w:t>5</w:t>
            </w:r>
            <w:r>
              <w:rPr>
                <w:color w:val="000000"/>
                <w:sz w:val="24"/>
              </w:rPr>
              <w:t>年</w:t>
            </w:r>
          </w:p>
        </w:tc>
        <w:tc>
          <w:tcPr>
            <w:tcW w:w="2392" w:type="dxa"/>
            <w:vAlign w:val="center"/>
          </w:tcPr>
          <w:p w:rsidR="000B6423" w:rsidRDefault="00C13119">
            <w:r>
              <w:rPr>
                <w:color w:val="000000"/>
                <w:sz w:val="24"/>
              </w:rPr>
              <w:t>连端清先生，复旦大学经济学博士。历任交通银行总行金融市场部、湘财证券研究所研究员、中航信托资产管理部投资经理。</w:t>
            </w:r>
            <w:r>
              <w:rPr>
                <w:color w:val="000000"/>
                <w:sz w:val="24"/>
              </w:rPr>
              <w:t>2015</w:t>
            </w:r>
            <w:r>
              <w:rPr>
                <w:color w:val="000000"/>
                <w:sz w:val="24"/>
              </w:rPr>
              <w:t>年加入交银施罗德基金管理有限公司。</w:t>
            </w:r>
          </w:p>
          <w:p w:rsidR="000B6423" w:rsidRDefault="000B6423"/>
        </w:tc>
      </w:tr>
    </w:tbl>
    <w:p w:rsidR="000B6423" w:rsidRDefault="00C13119">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、本表所列基金经理（助理）任职日期和离职日期均以基金合同生效日或公司作出决定并公告</w:t>
      </w:r>
      <w:r>
        <w:rPr>
          <w:color w:val="000000"/>
          <w:sz w:val="24"/>
        </w:rPr>
        <w:t>(</w:t>
      </w:r>
      <w:r>
        <w:rPr>
          <w:color w:val="000000"/>
          <w:sz w:val="24"/>
        </w:rPr>
        <w:t>如适用</w:t>
      </w:r>
      <w:r>
        <w:rPr>
          <w:color w:val="000000"/>
          <w:sz w:val="24"/>
        </w:rPr>
        <w:t>)</w:t>
      </w:r>
      <w:r>
        <w:rPr>
          <w:color w:val="000000"/>
          <w:sz w:val="24"/>
        </w:rPr>
        <w:t>之日为准；</w:t>
      </w:r>
    </w:p>
    <w:p w:rsidR="000B6423" w:rsidRDefault="00C13119">
      <w:pPr>
        <w:autoSpaceDE w:val="0"/>
        <w:autoSpaceDN w:val="0"/>
        <w:adjustRightInd w:val="0"/>
        <w:spacing w:before="29" w:line="288" w:lineRule="auto"/>
        <w:jc w:val="left"/>
        <w:rPr>
          <w:color w:val="000000"/>
          <w:sz w:val="24"/>
        </w:rPr>
      </w:pPr>
      <w:r>
        <w:rPr>
          <w:color w:val="000000"/>
          <w:sz w:val="24"/>
        </w:rPr>
        <w:t>2</w:t>
      </w:r>
      <w:r>
        <w:rPr>
          <w:color w:val="000000"/>
          <w:sz w:val="24"/>
        </w:rPr>
        <w:t>、本表所列基金经理（助理）证券从业年限中的</w:t>
      </w:r>
      <w:r>
        <w:rPr>
          <w:color w:val="000000"/>
          <w:sz w:val="24"/>
        </w:rPr>
        <w:t>“</w:t>
      </w:r>
      <w:r>
        <w:rPr>
          <w:color w:val="000000"/>
          <w:sz w:val="24"/>
        </w:rPr>
        <w:t>证券从业</w:t>
      </w:r>
      <w:r>
        <w:rPr>
          <w:color w:val="000000"/>
          <w:sz w:val="24"/>
        </w:rPr>
        <w:t>”</w:t>
      </w:r>
      <w:r>
        <w:rPr>
          <w:color w:val="000000"/>
          <w:sz w:val="24"/>
        </w:rPr>
        <w:t>的含义遵从中国证券业协会《证券业从业人员资格管理办法》的相关规定；</w:t>
      </w:r>
      <w:r>
        <w:rPr>
          <w:color w:val="000000"/>
          <w:sz w:val="24"/>
        </w:rPr>
        <w:t xml:space="preserve"> </w:t>
      </w:r>
    </w:p>
    <w:p w:rsidR="00C4627A" w:rsidRPr="000E4C40" w:rsidRDefault="00C4627A" w:rsidP="00281564">
      <w:pPr>
        <w:autoSpaceDE w:val="0"/>
        <w:autoSpaceDN w:val="0"/>
        <w:adjustRightInd w:val="0"/>
        <w:spacing w:before="29" w:line="288" w:lineRule="auto"/>
        <w:jc w:val="left"/>
        <w:rPr>
          <w:color w:val="000000"/>
          <w:sz w:val="24"/>
        </w:rPr>
      </w:pPr>
      <w:r w:rsidRPr="000E4C40">
        <w:rPr>
          <w:color w:val="000000"/>
          <w:sz w:val="24"/>
        </w:rPr>
        <w:t>3</w:t>
      </w:r>
      <w:r w:rsidRPr="000E4C40">
        <w:rPr>
          <w:color w:val="000000"/>
          <w:sz w:val="24"/>
        </w:rPr>
        <w:t>、基金经理（或基金经理小组）期后变动（如有）敬请关注基金管理人发布的相关公告。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4.2 </w:t>
      </w:r>
      <w:r w:rsidRPr="000E4C40">
        <w:rPr>
          <w:rFonts w:hAnsi="宋体"/>
          <w:b/>
          <w:color w:val="000000"/>
          <w:kern w:val="0"/>
          <w:sz w:val="24"/>
        </w:rPr>
        <w:t>报告期内本基金运作遵规守信情况说明</w:t>
      </w:r>
    </w:p>
    <w:p w:rsidR="00C4627A" w:rsidRPr="000E4C40" w:rsidRDefault="00C4627A" w:rsidP="00281564">
      <w:pPr>
        <w:spacing w:before="29" w:line="288" w:lineRule="auto"/>
        <w:ind w:firstLineChars="200" w:firstLine="480"/>
        <w:rPr>
          <w:color w:val="000000"/>
          <w:sz w:val="24"/>
        </w:rPr>
      </w:pPr>
      <w:r w:rsidRPr="000E4C40">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902E3F" w:rsidP="00281564">
      <w:pPr>
        <w:autoSpaceDE w:val="0"/>
        <w:autoSpaceDN w:val="0"/>
        <w:adjustRightInd w:val="0"/>
        <w:spacing w:before="29" w:line="288" w:lineRule="auto"/>
        <w:jc w:val="left"/>
        <w:rPr>
          <w:b/>
          <w:color w:val="000000"/>
          <w:kern w:val="0"/>
          <w:sz w:val="24"/>
        </w:rPr>
      </w:pPr>
      <w:r w:rsidRPr="000E4C40">
        <w:rPr>
          <w:b/>
          <w:color w:val="000000"/>
          <w:kern w:val="0"/>
          <w:sz w:val="24"/>
        </w:rPr>
        <w:t xml:space="preserve">4.3 </w:t>
      </w:r>
      <w:r w:rsidRPr="000E4C40">
        <w:rPr>
          <w:rFonts w:hAnsi="宋体"/>
          <w:b/>
          <w:color w:val="000000"/>
          <w:kern w:val="0"/>
          <w:sz w:val="24"/>
        </w:rPr>
        <w:t>公平交易专项说明</w:t>
      </w:r>
    </w:p>
    <w:p w:rsidR="003F43EB" w:rsidRPr="000E4C40" w:rsidRDefault="003F43EB" w:rsidP="00281564">
      <w:pPr>
        <w:spacing w:before="29" w:line="288" w:lineRule="auto"/>
        <w:rPr>
          <w:sz w:val="24"/>
        </w:rPr>
      </w:pPr>
      <w:r w:rsidRPr="000E4C40">
        <w:rPr>
          <w:sz w:val="24"/>
        </w:rPr>
        <w:t xml:space="preserve">4.3.1 </w:t>
      </w:r>
      <w:r w:rsidRPr="000E4C40">
        <w:rPr>
          <w:rFonts w:hAnsi="宋体"/>
          <w:sz w:val="24"/>
        </w:rPr>
        <w:t>公平交易制度的执行情况</w:t>
      </w:r>
    </w:p>
    <w:p w:rsidR="000B6423" w:rsidRDefault="00C13119">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0B6423" w:rsidRDefault="00C13119">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0B6423" w:rsidRDefault="00C13119">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C4627A" w:rsidRPr="000E4C40" w:rsidRDefault="00C4627A" w:rsidP="00281564">
      <w:pPr>
        <w:spacing w:before="29" w:line="288" w:lineRule="auto"/>
        <w:ind w:firstLineChars="200" w:firstLine="480"/>
        <w:rPr>
          <w:color w:val="000000"/>
          <w:sz w:val="24"/>
        </w:rPr>
      </w:pPr>
      <w:r w:rsidRPr="000E4C40">
        <w:rPr>
          <w:color w:val="000000"/>
          <w:sz w:val="24"/>
        </w:rPr>
        <w:t>报告期内本公司严格执行公平交易制度，公平对待旗下各投资组合，未发现任何违反公平交易的行为。</w:t>
      </w:r>
    </w:p>
    <w:p w:rsidR="003F43EB" w:rsidRPr="000E4C40" w:rsidRDefault="003F43EB" w:rsidP="00281564">
      <w:pPr>
        <w:spacing w:before="29" w:line="288" w:lineRule="auto"/>
        <w:rPr>
          <w:sz w:val="24"/>
        </w:rPr>
      </w:pPr>
      <w:r w:rsidRPr="000E4C40">
        <w:rPr>
          <w:sz w:val="24"/>
        </w:rPr>
        <w:t>4.3.</w:t>
      </w:r>
      <w:r w:rsidR="0007770D" w:rsidRPr="000E4C40">
        <w:rPr>
          <w:sz w:val="24"/>
        </w:rPr>
        <w:t>2</w:t>
      </w:r>
      <w:r w:rsidRPr="000E4C40">
        <w:rPr>
          <w:rFonts w:hAnsi="宋体"/>
          <w:sz w:val="24"/>
        </w:rPr>
        <w:t>异常交易行为的专项说明</w:t>
      </w:r>
    </w:p>
    <w:p w:rsidR="00902E3F" w:rsidRPr="000E4C40" w:rsidRDefault="00C4627A" w:rsidP="00281564">
      <w:pPr>
        <w:spacing w:before="29" w:line="288" w:lineRule="auto"/>
        <w:ind w:firstLineChars="200" w:firstLine="480"/>
        <w:rPr>
          <w:color w:val="000000"/>
          <w:sz w:val="24"/>
        </w:rPr>
      </w:pPr>
      <w:r w:rsidRPr="000E4C40">
        <w:rPr>
          <w:color w:val="000000"/>
          <w:sz w:val="24"/>
        </w:rPr>
        <w:t>本基金于本报告期内不存在异常交易行为。本报告期内，本公司管理的所有投资组合参与的交易所公开竞价同日反向交易成交较少的单边交易量没有超过该证券当日总成交量</w:t>
      </w:r>
      <w:r w:rsidRPr="000E4C40">
        <w:rPr>
          <w:color w:val="000000"/>
          <w:sz w:val="24"/>
        </w:rPr>
        <w:t>5%</w:t>
      </w:r>
      <w:r w:rsidRPr="000E4C40">
        <w:rPr>
          <w:color w:val="000000"/>
          <w:sz w:val="24"/>
        </w:rPr>
        <w:t>的情形，本基金与本公司管理的其他投资组合在不同时间窗下（如日内、</w:t>
      </w:r>
      <w:r w:rsidRPr="000E4C40">
        <w:rPr>
          <w:color w:val="000000"/>
          <w:sz w:val="24"/>
        </w:rPr>
        <w:t>3</w:t>
      </w:r>
      <w:r w:rsidRPr="000E4C40">
        <w:rPr>
          <w:color w:val="000000"/>
          <w:sz w:val="24"/>
        </w:rPr>
        <w:t>日内、</w:t>
      </w:r>
      <w:r w:rsidRPr="000E4C40">
        <w:rPr>
          <w:color w:val="000000"/>
          <w:sz w:val="24"/>
        </w:rPr>
        <w:t>5</w:t>
      </w:r>
      <w:r w:rsidRPr="000E4C40">
        <w:rPr>
          <w:color w:val="000000"/>
          <w:sz w:val="24"/>
        </w:rPr>
        <w:t>日内）同向交易的交易价差未出现异常。</w:t>
      </w:r>
    </w:p>
    <w:p w:rsidR="00BE5584" w:rsidRPr="000E4C40" w:rsidRDefault="00BE5584" w:rsidP="00281564">
      <w:pPr>
        <w:autoSpaceDE w:val="0"/>
        <w:autoSpaceDN w:val="0"/>
        <w:adjustRightInd w:val="0"/>
        <w:spacing w:before="29" w:line="288" w:lineRule="auto"/>
        <w:jc w:val="left"/>
        <w:rPr>
          <w:color w:val="000000"/>
          <w:kern w:val="0"/>
          <w:sz w:val="24"/>
        </w:rPr>
      </w:pPr>
    </w:p>
    <w:p w:rsidR="00323377" w:rsidRPr="000E4C40" w:rsidRDefault="00B86A3F" w:rsidP="00281564">
      <w:pPr>
        <w:spacing w:before="29" w:line="288" w:lineRule="auto"/>
        <w:rPr>
          <w:sz w:val="24"/>
        </w:rPr>
      </w:pPr>
      <w:r w:rsidRPr="000E4C40">
        <w:rPr>
          <w:b/>
          <w:color w:val="000000"/>
          <w:kern w:val="0"/>
          <w:sz w:val="24"/>
        </w:rPr>
        <w:t xml:space="preserve">4.4 </w:t>
      </w:r>
      <w:r w:rsidRPr="000E4C40">
        <w:rPr>
          <w:rFonts w:hAnsi="宋体"/>
          <w:b/>
          <w:bCs/>
          <w:color w:val="000000"/>
          <w:sz w:val="24"/>
        </w:rPr>
        <w:t>报告期内基金的投资策略和运作分析</w:t>
      </w:r>
    </w:p>
    <w:p w:rsidR="000B6423" w:rsidRDefault="00C13119">
      <w:pPr>
        <w:spacing w:before="29" w:line="288" w:lineRule="auto"/>
        <w:ind w:firstLineChars="200" w:firstLine="480"/>
        <w:rPr>
          <w:color w:val="000000"/>
          <w:sz w:val="24"/>
        </w:rPr>
      </w:pPr>
      <w:r>
        <w:rPr>
          <w:color w:val="000000"/>
          <w:sz w:val="24"/>
        </w:rPr>
        <w:t>2018</w:t>
      </w:r>
      <w:r>
        <w:rPr>
          <w:color w:val="000000"/>
          <w:sz w:val="24"/>
        </w:rPr>
        <w:t>年一季度，国内经济整体上延续平稳态势。一至二月份固定资产投资与工业增加值出现反弹，且出口保持较快增长，但是持续性尚待进一步观察，制造业景气度维持在较高的扩张区间。</w:t>
      </w:r>
      <w:r>
        <w:rPr>
          <w:color w:val="000000"/>
          <w:sz w:val="24"/>
        </w:rPr>
        <w:t>2018</w:t>
      </w:r>
      <w:r>
        <w:rPr>
          <w:color w:val="000000"/>
          <w:sz w:val="24"/>
        </w:rPr>
        <w:t>年一至二月，固定资产投资累计同比增速为</w:t>
      </w:r>
      <w:r>
        <w:rPr>
          <w:color w:val="000000"/>
          <w:sz w:val="24"/>
        </w:rPr>
        <w:t>7.9%</w:t>
      </w:r>
      <w:r>
        <w:rPr>
          <w:color w:val="000000"/>
          <w:sz w:val="24"/>
        </w:rPr>
        <w:t>，工业增加值累计同比增速为</w:t>
      </w:r>
      <w:r>
        <w:rPr>
          <w:color w:val="000000"/>
          <w:sz w:val="24"/>
        </w:rPr>
        <w:t>7.2%</w:t>
      </w:r>
      <w:r>
        <w:rPr>
          <w:color w:val="000000"/>
          <w:sz w:val="24"/>
        </w:rPr>
        <w:t>，一月与二月出口季调后同比增速分别为</w:t>
      </w:r>
      <w:r>
        <w:rPr>
          <w:color w:val="000000"/>
          <w:sz w:val="24"/>
        </w:rPr>
        <w:t>5.6%</w:t>
      </w:r>
      <w:r>
        <w:rPr>
          <w:color w:val="000000"/>
          <w:sz w:val="24"/>
        </w:rPr>
        <w:t>与</w:t>
      </w:r>
      <w:r>
        <w:rPr>
          <w:color w:val="000000"/>
          <w:sz w:val="24"/>
        </w:rPr>
        <w:t>15.4%</w:t>
      </w:r>
      <w:r>
        <w:rPr>
          <w:color w:val="000000"/>
          <w:sz w:val="24"/>
        </w:rPr>
        <w:t>，中采</w:t>
      </w:r>
      <w:r>
        <w:rPr>
          <w:color w:val="000000"/>
          <w:sz w:val="24"/>
        </w:rPr>
        <w:lastRenderedPageBreak/>
        <w:t>PMI</w:t>
      </w:r>
      <w:r>
        <w:rPr>
          <w:color w:val="000000"/>
          <w:sz w:val="24"/>
        </w:rPr>
        <w:t>尽管二月份受春节等因素影响出现回落，但三月份反弹至</w:t>
      </w:r>
      <w:r>
        <w:rPr>
          <w:color w:val="000000"/>
          <w:sz w:val="24"/>
        </w:rPr>
        <w:t>51.5%</w:t>
      </w:r>
      <w:r>
        <w:rPr>
          <w:color w:val="000000"/>
          <w:sz w:val="24"/>
        </w:rPr>
        <w:t>。一季度央行货币政策操作上中性偏松，尽管央行通过公开市场及</w:t>
      </w:r>
      <w:r>
        <w:rPr>
          <w:color w:val="000000"/>
          <w:sz w:val="24"/>
        </w:rPr>
        <w:t>MLF</w:t>
      </w:r>
      <w:r>
        <w:rPr>
          <w:color w:val="000000"/>
          <w:sz w:val="24"/>
        </w:rPr>
        <w:t>在一季度实现净回笼</w:t>
      </w:r>
      <w:r>
        <w:rPr>
          <w:color w:val="000000"/>
          <w:sz w:val="24"/>
        </w:rPr>
        <w:t>5645</w:t>
      </w:r>
      <w:r>
        <w:rPr>
          <w:color w:val="000000"/>
          <w:sz w:val="24"/>
        </w:rPr>
        <w:t>亿元，但是定向降准落地以及</w:t>
      </w:r>
      <w:r>
        <w:rPr>
          <w:color w:val="000000"/>
          <w:sz w:val="24"/>
        </w:rPr>
        <w:t>“</w:t>
      </w:r>
      <w:r>
        <w:rPr>
          <w:color w:val="000000"/>
          <w:sz w:val="24"/>
        </w:rPr>
        <w:t>临时准备金动用安排</w:t>
      </w:r>
      <w:r>
        <w:rPr>
          <w:color w:val="000000"/>
          <w:sz w:val="24"/>
        </w:rPr>
        <w:t>”</w:t>
      </w:r>
      <w:r>
        <w:rPr>
          <w:color w:val="000000"/>
          <w:sz w:val="24"/>
        </w:rPr>
        <w:t>释放了大量流动性，为二月份跨春节及三月份跨季提供了充沛的流动性。</w:t>
      </w:r>
    </w:p>
    <w:p w:rsidR="000B6423" w:rsidRDefault="00C13119">
      <w:pPr>
        <w:spacing w:before="29" w:line="288" w:lineRule="auto"/>
        <w:ind w:firstLineChars="200" w:firstLine="480"/>
        <w:rPr>
          <w:color w:val="000000"/>
          <w:sz w:val="24"/>
        </w:rPr>
      </w:pPr>
      <w:r>
        <w:rPr>
          <w:color w:val="000000"/>
          <w:sz w:val="24"/>
        </w:rPr>
        <w:t>资金面上，一季度市场资金面非常宽松，一季度</w:t>
      </w:r>
      <w:r>
        <w:rPr>
          <w:color w:val="000000"/>
          <w:sz w:val="24"/>
        </w:rPr>
        <w:t>R001</w:t>
      </w:r>
      <w:r>
        <w:rPr>
          <w:color w:val="000000"/>
          <w:sz w:val="24"/>
        </w:rPr>
        <w:t>均值较</w:t>
      </w:r>
      <w:r>
        <w:rPr>
          <w:color w:val="000000"/>
          <w:sz w:val="24"/>
        </w:rPr>
        <w:t>2017</w:t>
      </w:r>
      <w:r>
        <w:rPr>
          <w:color w:val="000000"/>
          <w:sz w:val="24"/>
        </w:rPr>
        <w:t>年第四季度下降</w:t>
      </w:r>
      <w:r>
        <w:rPr>
          <w:color w:val="000000"/>
          <w:sz w:val="24"/>
        </w:rPr>
        <w:t>11</w:t>
      </w:r>
      <w:r>
        <w:rPr>
          <w:color w:val="000000"/>
          <w:sz w:val="24"/>
        </w:rPr>
        <w:t>个</w:t>
      </w:r>
      <w:r>
        <w:rPr>
          <w:color w:val="000000"/>
          <w:sz w:val="24"/>
        </w:rPr>
        <w:t>BP</w:t>
      </w:r>
      <w:r>
        <w:rPr>
          <w:color w:val="000000"/>
          <w:sz w:val="24"/>
        </w:rPr>
        <w:t>以上。受资金持续宽松等因素影响，三月下旬同业存款及存单一级发行利率大幅下行。受资金面宽松及中美贸易战等影响，一季度债市大幅上涨，三月底</w:t>
      </w:r>
      <w:r>
        <w:rPr>
          <w:color w:val="000000"/>
          <w:sz w:val="24"/>
        </w:rPr>
        <w:t>10</w:t>
      </w:r>
      <w:r>
        <w:rPr>
          <w:color w:val="000000"/>
          <w:sz w:val="24"/>
        </w:rPr>
        <w:t>年期国开债</w:t>
      </w:r>
      <w:r>
        <w:rPr>
          <w:color w:val="000000"/>
          <w:sz w:val="24"/>
        </w:rPr>
        <w:t>YTM</w:t>
      </w:r>
      <w:r>
        <w:rPr>
          <w:color w:val="000000"/>
          <w:sz w:val="24"/>
        </w:rPr>
        <w:t>较</w:t>
      </w:r>
      <w:r>
        <w:rPr>
          <w:color w:val="000000"/>
          <w:sz w:val="24"/>
        </w:rPr>
        <w:t>2017</w:t>
      </w:r>
      <w:r>
        <w:rPr>
          <w:color w:val="000000"/>
          <w:sz w:val="24"/>
        </w:rPr>
        <w:t>年年底回落</w:t>
      </w:r>
      <w:r>
        <w:rPr>
          <w:color w:val="000000"/>
          <w:sz w:val="24"/>
        </w:rPr>
        <w:t>17</w:t>
      </w:r>
      <w:r>
        <w:rPr>
          <w:color w:val="000000"/>
          <w:sz w:val="24"/>
        </w:rPr>
        <w:t>个</w:t>
      </w:r>
      <w:r>
        <w:rPr>
          <w:color w:val="000000"/>
          <w:sz w:val="24"/>
        </w:rPr>
        <w:t>BP</w:t>
      </w:r>
      <w:r>
        <w:rPr>
          <w:color w:val="000000"/>
          <w:sz w:val="24"/>
        </w:rPr>
        <w:t>以上。</w:t>
      </w:r>
    </w:p>
    <w:p w:rsidR="000B6423" w:rsidRDefault="00C13119">
      <w:pPr>
        <w:spacing w:before="29" w:line="288" w:lineRule="auto"/>
        <w:ind w:firstLineChars="200" w:firstLine="480"/>
        <w:rPr>
          <w:color w:val="000000"/>
          <w:sz w:val="24"/>
        </w:rPr>
      </w:pPr>
      <w:r>
        <w:rPr>
          <w:color w:val="000000"/>
          <w:sz w:val="24"/>
        </w:rPr>
        <w:t>基金操作方面，报告期内本基金规模增长较大，主要投资了同业存款、存单及短融等债，提升组合杠杆与久期，控制信用风险，为持有人创造了稳健的回报。</w:t>
      </w:r>
    </w:p>
    <w:p w:rsidR="00C4627A" w:rsidRPr="000E4C40" w:rsidRDefault="00C4627A" w:rsidP="00281564">
      <w:pPr>
        <w:spacing w:before="29" w:line="288" w:lineRule="auto"/>
        <w:ind w:firstLineChars="200" w:firstLine="480"/>
        <w:rPr>
          <w:color w:val="000000"/>
          <w:sz w:val="24"/>
        </w:rPr>
      </w:pPr>
      <w:r w:rsidRPr="000E4C40">
        <w:rPr>
          <w:color w:val="000000"/>
          <w:sz w:val="24"/>
        </w:rPr>
        <w:t>展望</w:t>
      </w:r>
      <w:r w:rsidRPr="000E4C40">
        <w:rPr>
          <w:color w:val="000000"/>
          <w:sz w:val="24"/>
        </w:rPr>
        <w:t>2018</w:t>
      </w:r>
      <w:r w:rsidRPr="000E4C40">
        <w:rPr>
          <w:color w:val="000000"/>
          <w:sz w:val="24"/>
        </w:rPr>
        <w:t>年二季度，我们预计短期内经济韧劲依旧较强，且金融防风险是今年的重要任务；因此，短期内货币政策可能不具备趋势性转松的条件。我们预计短期内央行将以中性的货币政策为主。此外，我们将密切关注美国引发的贸易战对经济走势的影响。组合管理方面，本基金将密切跟踪研判宏观经济走势、央行货币政策操作与金融监管政策动态，力求保持产品较好的流动性，把握市场机会，尽力控制信用风险，为投资者创造稳健的回报。</w:t>
      </w:r>
    </w:p>
    <w:p w:rsidR="00FE3301" w:rsidRPr="000E4C40" w:rsidRDefault="00FE3301" w:rsidP="00281564">
      <w:pPr>
        <w:spacing w:before="29" w:line="288" w:lineRule="auto"/>
        <w:ind w:firstLineChars="200" w:firstLine="480"/>
        <w:rPr>
          <w:color w:val="000000"/>
          <w:sz w:val="24"/>
        </w:rPr>
      </w:pPr>
    </w:p>
    <w:p w:rsidR="00323377" w:rsidRPr="000E4C40" w:rsidRDefault="00B86A3F" w:rsidP="00281564">
      <w:pPr>
        <w:spacing w:before="29" w:line="288" w:lineRule="auto"/>
        <w:rPr>
          <w:sz w:val="24"/>
        </w:rPr>
      </w:pPr>
      <w:r w:rsidRPr="000E4C40">
        <w:rPr>
          <w:b/>
          <w:color w:val="000000"/>
          <w:kern w:val="0"/>
          <w:sz w:val="24"/>
        </w:rPr>
        <w:t>4.5</w:t>
      </w:r>
      <w:r w:rsidRPr="000E4C40">
        <w:rPr>
          <w:rFonts w:hAnsi="宋体"/>
          <w:b/>
          <w:color w:val="000000"/>
          <w:kern w:val="0"/>
          <w:sz w:val="24"/>
        </w:rPr>
        <w:t>报告期内基金的业绩表现</w:t>
      </w:r>
    </w:p>
    <w:p w:rsidR="00C4627A" w:rsidRPr="000E4C40" w:rsidRDefault="00C4627A" w:rsidP="00281564">
      <w:pPr>
        <w:spacing w:before="29" w:line="288" w:lineRule="auto"/>
        <w:ind w:firstLineChars="200" w:firstLine="480"/>
        <w:rPr>
          <w:color w:val="000000"/>
          <w:sz w:val="24"/>
        </w:rPr>
      </w:pPr>
      <w:bookmarkStart w:id="0" w:name="_Toc255486598"/>
      <w:bookmarkStart w:id="1" w:name="_Toc245193825"/>
      <w:r w:rsidRPr="000E4C40">
        <w:rPr>
          <w:color w:val="000000"/>
          <w:sz w:val="24"/>
        </w:rPr>
        <w:t>本报告期内，交银理财</w:t>
      </w:r>
      <w:r w:rsidRPr="000E4C40">
        <w:rPr>
          <w:color w:val="000000"/>
          <w:sz w:val="24"/>
        </w:rPr>
        <w:t>60</w:t>
      </w:r>
      <w:r w:rsidRPr="000E4C40">
        <w:rPr>
          <w:color w:val="000000"/>
          <w:sz w:val="24"/>
        </w:rPr>
        <w:t>天债券</w:t>
      </w:r>
      <w:r w:rsidRPr="000E4C40">
        <w:rPr>
          <w:color w:val="000000"/>
          <w:sz w:val="24"/>
        </w:rPr>
        <w:t>A</w:t>
      </w:r>
      <w:r w:rsidRPr="000E4C40">
        <w:rPr>
          <w:color w:val="000000"/>
          <w:sz w:val="24"/>
        </w:rPr>
        <w:t>净值收益率为</w:t>
      </w:r>
      <w:r w:rsidRPr="000E4C40">
        <w:rPr>
          <w:color w:val="000000"/>
          <w:sz w:val="24"/>
        </w:rPr>
        <w:t>1.1032%</w:t>
      </w:r>
      <w:r w:rsidRPr="000E4C40">
        <w:rPr>
          <w:color w:val="000000"/>
          <w:sz w:val="24"/>
        </w:rPr>
        <w:t>，同期业绩比较基准收益率为</w:t>
      </w:r>
      <w:r w:rsidRPr="000E4C40">
        <w:rPr>
          <w:color w:val="000000"/>
          <w:sz w:val="24"/>
        </w:rPr>
        <w:t>0.3329%</w:t>
      </w:r>
      <w:r w:rsidRPr="000E4C40">
        <w:rPr>
          <w:color w:val="000000"/>
          <w:sz w:val="24"/>
        </w:rPr>
        <w:t>；交银理财</w:t>
      </w:r>
      <w:r w:rsidRPr="000E4C40">
        <w:rPr>
          <w:color w:val="000000"/>
          <w:sz w:val="24"/>
        </w:rPr>
        <w:t>60</w:t>
      </w:r>
      <w:r w:rsidRPr="000E4C40">
        <w:rPr>
          <w:color w:val="000000"/>
          <w:sz w:val="24"/>
        </w:rPr>
        <w:t>天债券</w:t>
      </w:r>
      <w:r w:rsidRPr="000E4C40">
        <w:rPr>
          <w:color w:val="000000"/>
          <w:sz w:val="24"/>
        </w:rPr>
        <w:t>B</w:t>
      </w:r>
      <w:r w:rsidRPr="000E4C40">
        <w:rPr>
          <w:color w:val="000000"/>
          <w:sz w:val="24"/>
        </w:rPr>
        <w:t>净值收益率</w:t>
      </w:r>
      <w:r w:rsidRPr="000E4C40">
        <w:rPr>
          <w:color w:val="000000"/>
          <w:sz w:val="24"/>
        </w:rPr>
        <w:t>1.1755%</w:t>
      </w:r>
      <w:r w:rsidRPr="000E4C40">
        <w:rPr>
          <w:color w:val="000000"/>
          <w:sz w:val="24"/>
        </w:rPr>
        <w:t>，同期业绩比较基准收益率为</w:t>
      </w:r>
      <w:r w:rsidRPr="000E4C40">
        <w:rPr>
          <w:color w:val="000000"/>
          <w:sz w:val="24"/>
        </w:rPr>
        <w:t>0.3329%</w:t>
      </w:r>
      <w:r w:rsidRPr="000E4C40">
        <w:rPr>
          <w:color w:val="000000"/>
          <w:sz w:val="24"/>
        </w:rPr>
        <w:t>。</w:t>
      </w:r>
    </w:p>
    <w:p w:rsidR="00BE5584" w:rsidRPr="000E4C40" w:rsidRDefault="00BE5584" w:rsidP="00281564">
      <w:pPr>
        <w:autoSpaceDE w:val="0"/>
        <w:autoSpaceDN w:val="0"/>
        <w:adjustRightInd w:val="0"/>
        <w:spacing w:before="29" w:line="288" w:lineRule="auto"/>
        <w:jc w:val="left"/>
        <w:rPr>
          <w:kern w:val="0"/>
          <w:sz w:val="24"/>
        </w:rPr>
      </w:pPr>
    </w:p>
    <w:bookmarkEnd w:id="0"/>
    <w:bookmarkEnd w:id="1"/>
    <w:p w:rsidR="0010236C" w:rsidRPr="002070B4" w:rsidRDefault="0010236C" w:rsidP="0010236C">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10236C" w:rsidRDefault="0010236C" w:rsidP="0010236C">
      <w:pPr>
        <w:spacing w:before="29" w:line="288" w:lineRule="auto"/>
        <w:ind w:firstLineChars="200" w:firstLine="480"/>
        <w:rPr>
          <w:color w:val="000000"/>
          <w:sz w:val="24"/>
        </w:rPr>
      </w:pPr>
      <w:r w:rsidRPr="002070B4">
        <w:rPr>
          <w:color w:val="000000"/>
          <w:sz w:val="24"/>
        </w:rPr>
        <w:t>本基金本报告期内无需预警说明。</w:t>
      </w:r>
    </w:p>
    <w:p w:rsidR="0010236C" w:rsidRDefault="0010236C" w:rsidP="0010236C">
      <w:pPr>
        <w:spacing w:before="29" w:line="288" w:lineRule="auto"/>
        <w:ind w:firstLineChars="200" w:firstLine="480"/>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§5  </w:t>
      </w:r>
      <w:r w:rsidRPr="000E4C40">
        <w:rPr>
          <w:rFonts w:hAnsi="宋体"/>
          <w:color w:val="000000"/>
          <w:kern w:val="0"/>
          <w:sz w:val="24"/>
          <w:szCs w:val="24"/>
        </w:rPr>
        <w:t>投资组合报告</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5.1 </w:t>
      </w:r>
      <w:r w:rsidRPr="000E4C40">
        <w:rPr>
          <w:rFonts w:hAnsi="宋体"/>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4"/>
        <w:gridCol w:w="3117"/>
        <w:gridCol w:w="3058"/>
        <w:gridCol w:w="1809"/>
      </w:tblGrid>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序号</w:t>
            </w:r>
          </w:p>
        </w:tc>
        <w:tc>
          <w:tcPr>
            <w:tcW w:w="3117"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项目</w:t>
            </w:r>
          </w:p>
        </w:tc>
        <w:tc>
          <w:tcPr>
            <w:tcW w:w="3058"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金额</w:t>
            </w:r>
            <w:r w:rsidR="00744E84" w:rsidRPr="000E4C40">
              <w:rPr>
                <w:rFonts w:hAnsi="宋体"/>
                <w:color w:val="000000"/>
                <w:kern w:val="0"/>
                <w:sz w:val="24"/>
              </w:rPr>
              <w:t>（元）</w:t>
            </w:r>
          </w:p>
        </w:tc>
        <w:tc>
          <w:tcPr>
            <w:tcW w:w="1809" w:type="dxa"/>
            <w:vAlign w:val="center"/>
          </w:tcPr>
          <w:p w:rsidR="00B4354A" w:rsidRPr="000E4C40" w:rsidRDefault="00B4354A" w:rsidP="00281564">
            <w:pPr>
              <w:spacing w:before="29" w:line="288" w:lineRule="auto"/>
              <w:ind w:left="17"/>
              <w:jc w:val="center"/>
              <w:rPr>
                <w:color w:val="000000"/>
                <w:sz w:val="24"/>
              </w:rPr>
            </w:pPr>
            <w:r w:rsidRPr="000E4C40">
              <w:rPr>
                <w:rFonts w:hAnsi="宋体"/>
                <w:color w:val="000000"/>
                <w:sz w:val="24"/>
              </w:rPr>
              <w:t>占基金总资产的比例</w:t>
            </w:r>
            <w:r w:rsidR="00744E84" w:rsidRPr="000E4C40">
              <w:rPr>
                <w:rFonts w:hAnsi="宋体"/>
                <w:color w:val="000000"/>
                <w:kern w:val="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t>1</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固定收益投资</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10,727,567,731.33</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59.97</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其中：债券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10,727,567,731.33</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59.97</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autoSpaceDE w:val="0"/>
              <w:autoSpaceDN w:val="0"/>
              <w:adjustRightInd w:val="0"/>
              <w:spacing w:before="29" w:line="288" w:lineRule="auto"/>
              <w:ind w:leftChars="8" w:left="17" w:firstLineChars="300" w:firstLine="720"/>
              <w:jc w:val="left"/>
              <w:rPr>
                <w:color w:val="000000"/>
                <w:sz w:val="24"/>
              </w:rPr>
            </w:pPr>
            <w:r w:rsidRPr="000E4C40">
              <w:rPr>
                <w:rFonts w:hAnsi="宋体"/>
                <w:color w:val="000000"/>
                <w:sz w:val="24"/>
              </w:rPr>
              <w:t>资产支持证券</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737060" w:rsidP="00281564">
            <w:pPr>
              <w:spacing w:before="29" w:line="288" w:lineRule="auto"/>
              <w:ind w:left="17"/>
              <w:jc w:val="center"/>
              <w:rPr>
                <w:color w:val="000000"/>
                <w:sz w:val="24"/>
              </w:rPr>
            </w:pPr>
            <w:r w:rsidRPr="000E4C40">
              <w:rPr>
                <w:color w:val="000000"/>
                <w:sz w:val="24"/>
              </w:rPr>
              <w:lastRenderedPageBreak/>
              <w:t>2</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其中：买断式回购的买入返售金融资产</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w:t>
            </w:r>
          </w:p>
        </w:tc>
      </w:tr>
      <w:tr w:rsidR="00B4354A" w:rsidRPr="000E4C40" w:rsidTr="00901503">
        <w:trPr>
          <w:jc w:val="center"/>
        </w:trPr>
        <w:tc>
          <w:tcPr>
            <w:tcW w:w="884" w:type="dxa"/>
            <w:vAlign w:val="center"/>
          </w:tcPr>
          <w:p w:rsidR="00B4354A" w:rsidRPr="000E4C40" w:rsidRDefault="005F17EC" w:rsidP="00281564">
            <w:pPr>
              <w:spacing w:before="29" w:line="288" w:lineRule="auto"/>
              <w:ind w:left="17"/>
              <w:jc w:val="center"/>
              <w:rPr>
                <w:color w:val="000000"/>
                <w:sz w:val="24"/>
              </w:rPr>
            </w:pPr>
            <w:r w:rsidRPr="000E4C40">
              <w:rPr>
                <w:color w:val="000000"/>
                <w:sz w:val="24"/>
              </w:rPr>
              <w:t>3</w:t>
            </w:r>
          </w:p>
        </w:tc>
        <w:tc>
          <w:tcPr>
            <w:tcW w:w="3117" w:type="dxa"/>
            <w:vAlign w:val="center"/>
          </w:tcPr>
          <w:p w:rsidR="00B4354A" w:rsidRPr="000E4C40" w:rsidRDefault="00B4354A" w:rsidP="00281564">
            <w:pPr>
              <w:spacing w:before="29" w:line="288" w:lineRule="auto"/>
              <w:ind w:left="17"/>
              <w:jc w:val="left"/>
              <w:rPr>
                <w:sz w:val="24"/>
              </w:rPr>
            </w:pPr>
            <w:r w:rsidRPr="000E4C40">
              <w:rPr>
                <w:rFonts w:hAnsi="宋体"/>
                <w:color w:val="000000"/>
                <w:sz w:val="24"/>
              </w:rPr>
              <w:t>银行存款和结算备付金合计</w:t>
            </w:r>
          </w:p>
        </w:tc>
        <w:tc>
          <w:tcPr>
            <w:tcW w:w="3058"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7,087,106,100.87</w:t>
            </w:r>
          </w:p>
        </w:tc>
        <w:tc>
          <w:tcPr>
            <w:tcW w:w="1809" w:type="dxa"/>
            <w:vAlign w:val="center"/>
          </w:tcPr>
          <w:p w:rsidR="00B4354A" w:rsidRPr="000E4C40" w:rsidRDefault="00B4354A" w:rsidP="00281564">
            <w:pPr>
              <w:spacing w:before="29" w:line="288" w:lineRule="auto"/>
              <w:ind w:left="17"/>
              <w:jc w:val="right"/>
              <w:rPr>
                <w:color w:val="000000"/>
                <w:sz w:val="24"/>
              </w:rPr>
            </w:pPr>
            <w:r w:rsidRPr="000E4C40">
              <w:rPr>
                <w:color w:val="000000"/>
                <w:sz w:val="24"/>
              </w:rPr>
              <w:t>39.62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4</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其他资产</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74,930,781.80</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0.42</w:t>
            </w:r>
          </w:p>
        </w:tc>
      </w:tr>
      <w:tr w:rsidR="00B4354A" w:rsidRPr="000E4C40" w:rsidTr="00901503">
        <w:trPr>
          <w:jc w:val="center"/>
        </w:trPr>
        <w:tc>
          <w:tcPr>
            <w:tcW w:w="884" w:type="dxa"/>
            <w:vAlign w:val="center"/>
          </w:tcPr>
          <w:p w:rsidR="00B4354A" w:rsidRPr="000E4C40" w:rsidRDefault="00B4354A" w:rsidP="00281564">
            <w:pPr>
              <w:spacing w:before="29" w:line="288" w:lineRule="auto"/>
              <w:ind w:left="17"/>
              <w:jc w:val="center"/>
              <w:rPr>
                <w:color w:val="000000"/>
                <w:sz w:val="24"/>
              </w:rPr>
            </w:pPr>
            <w:r w:rsidRPr="000E4C40">
              <w:rPr>
                <w:color w:val="000000"/>
                <w:sz w:val="24"/>
              </w:rPr>
              <w:t>5</w:t>
            </w:r>
          </w:p>
        </w:tc>
        <w:tc>
          <w:tcPr>
            <w:tcW w:w="3117" w:type="dxa"/>
            <w:vAlign w:val="center"/>
          </w:tcPr>
          <w:p w:rsidR="00B4354A" w:rsidRPr="000E4C40" w:rsidRDefault="00B4354A" w:rsidP="00281564">
            <w:pPr>
              <w:spacing w:before="29" w:line="288" w:lineRule="auto"/>
              <w:jc w:val="left"/>
              <w:rPr>
                <w:sz w:val="24"/>
              </w:rPr>
            </w:pPr>
            <w:r w:rsidRPr="000E4C40">
              <w:rPr>
                <w:rFonts w:hAnsi="宋体"/>
                <w:color w:val="000000"/>
                <w:sz w:val="24"/>
              </w:rPr>
              <w:t>合计</w:t>
            </w:r>
          </w:p>
        </w:tc>
        <w:tc>
          <w:tcPr>
            <w:tcW w:w="3058" w:type="dxa"/>
            <w:vAlign w:val="center"/>
          </w:tcPr>
          <w:p w:rsidR="00B4354A" w:rsidRPr="000E4C40" w:rsidRDefault="00B4354A" w:rsidP="00281564">
            <w:pPr>
              <w:spacing w:before="29" w:line="288" w:lineRule="auto"/>
              <w:jc w:val="right"/>
              <w:rPr>
                <w:color w:val="000000"/>
                <w:sz w:val="24"/>
              </w:rPr>
            </w:pPr>
            <w:r w:rsidRPr="000E4C40">
              <w:rPr>
                <w:color w:val="000000"/>
                <w:sz w:val="24"/>
              </w:rPr>
              <w:t>17,889,604,614.00</w:t>
            </w:r>
          </w:p>
        </w:tc>
        <w:tc>
          <w:tcPr>
            <w:tcW w:w="1809" w:type="dxa"/>
            <w:vAlign w:val="center"/>
          </w:tcPr>
          <w:p w:rsidR="00B4354A" w:rsidRPr="000E4C40" w:rsidRDefault="00B4354A" w:rsidP="00281564">
            <w:pPr>
              <w:spacing w:before="29" w:line="288" w:lineRule="auto"/>
              <w:jc w:val="right"/>
              <w:rPr>
                <w:color w:val="000000"/>
                <w:sz w:val="24"/>
              </w:rPr>
            </w:pPr>
            <w:r w:rsidRPr="000E4C40">
              <w:rPr>
                <w:color w:val="000000"/>
                <w:sz w:val="24"/>
              </w:rPr>
              <w:t>100.00</w:t>
            </w:r>
          </w:p>
        </w:tc>
      </w:tr>
    </w:tbl>
    <w:p w:rsidR="004771B9" w:rsidRPr="000E4C40" w:rsidRDefault="004771B9" w:rsidP="00281564">
      <w:pPr>
        <w:autoSpaceDE w:val="0"/>
        <w:autoSpaceDN w:val="0"/>
        <w:adjustRightInd w:val="0"/>
        <w:spacing w:before="29" w:line="288" w:lineRule="auto"/>
        <w:jc w:val="left"/>
        <w:rPr>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5.2 </w:t>
      </w:r>
      <w:r w:rsidRPr="000E4C40">
        <w:rPr>
          <w:rFonts w:hAnsi="宋体"/>
          <w:b/>
          <w:color w:val="000000"/>
          <w:kern w:val="0"/>
          <w:sz w:val="24"/>
        </w:rPr>
        <w:t>报告期债券回购融资情况</w:t>
      </w:r>
    </w:p>
    <w:tbl>
      <w:tblPr>
        <w:tblW w:w="8868" w:type="dxa"/>
        <w:jc w:val="center"/>
        <w:tblLayout w:type="fixed"/>
        <w:tblLook w:val="0000" w:firstRow="0" w:lastRow="0" w:firstColumn="0" w:lastColumn="0" w:noHBand="0" w:noVBand="0"/>
      </w:tblPr>
      <w:tblGrid>
        <w:gridCol w:w="845"/>
        <w:gridCol w:w="3157"/>
        <w:gridCol w:w="2787"/>
        <w:gridCol w:w="2079"/>
      </w:tblGrid>
      <w:tr w:rsidR="007521F9" w:rsidRPr="000E4C40" w:rsidTr="00EF568A">
        <w:trPr>
          <w:jc w:val="center"/>
        </w:trPr>
        <w:tc>
          <w:tcPr>
            <w:tcW w:w="845"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项目</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kern w:val="0"/>
                <w:sz w:val="24"/>
              </w:rPr>
            </w:pPr>
            <w:r w:rsidRPr="000E4C40">
              <w:rPr>
                <w:rFonts w:hAnsi="宋体"/>
                <w:color w:val="000000"/>
                <w:kern w:val="0"/>
                <w:sz w:val="24"/>
              </w:rPr>
              <w:t>占基金资产净值比例（％）</w:t>
            </w:r>
          </w:p>
        </w:tc>
      </w:tr>
      <w:tr w:rsidR="00901503"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901503" w:rsidRPr="000E4C40" w:rsidRDefault="00901503" w:rsidP="00281564">
            <w:pPr>
              <w:spacing w:before="29" w:line="288" w:lineRule="auto"/>
              <w:jc w:val="center"/>
              <w:rPr>
                <w:color w:val="000000"/>
                <w:kern w:val="0"/>
                <w:sz w:val="24"/>
              </w:rPr>
            </w:pPr>
            <w:r w:rsidRPr="000E4C40">
              <w:rPr>
                <w:color w:val="000000"/>
                <w:kern w:val="0"/>
                <w:sz w:val="24"/>
              </w:rPr>
              <w:t>1</w:t>
            </w: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报告期内债券回购融资余额</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C13119">
            <w:pPr>
              <w:spacing w:before="29" w:line="288" w:lineRule="auto"/>
              <w:jc w:val="right"/>
              <w:rPr>
                <w:sz w:val="24"/>
              </w:rPr>
            </w:pPr>
            <w:r w:rsidRPr="000E4C40">
              <w:rPr>
                <w:sz w:val="24"/>
              </w:rPr>
              <w:t>8.</w:t>
            </w:r>
            <w:r w:rsidR="00C13119">
              <w:rPr>
                <w:sz w:val="24"/>
              </w:rPr>
              <w:t>61</w:t>
            </w:r>
          </w:p>
        </w:tc>
      </w:tr>
      <w:tr w:rsidR="00901503" w:rsidRPr="000E4C40" w:rsidTr="00EF568A">
        <w:trPr>
          <w:trHeight w:val="712"/>
          <w:jc w:val="center"/>
        </w:trPr>
        <w:tc>
          <w:tcPr>
            <w:tcW w:w="845" w:type="dxa"/>
            <w:vMerge/>
            <w:tcBorders>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rPr>
                <w:sz w:val="24"/>
              </w:rPr>
            </w:pPr>
            <w:r w:rsidRPr="000E4C40">
              <w:rPr>
                <w:rFonts w:hAnsi="宋体"/>
                <w:sz w:val="24"/>
              </w:rPr>
              <w:t>其中：买断式回购融资</w:t>
            </w:r>
          </w:p>
        </w:tc>
        <w:tc>
          <w:tcPr>
            <w:tcW w:w="4866" w:type="dxa"/>
            <w:gridSpan w:val="2"/>
            <w:tcBorders>
              <w:top w:val="single" w:sz="8" w:space="0" w:color="000000"/>
              <w:left w:val="single" w:sz="8" w:space="0" w:color="000000"/>
              <w:bottom w:val="single" w:sz="8" w:space="0" w:color="000000"/>
              <w:right w:val="single" w:sz="8" w:space="0" w:color="000000"/>
            </w:tcBorders>
            <w:vAlign w:val="center"/>
          </w:tcPr>
          <w:p w:rsidR="00901503" w:rsidRPr="000E4C40" w:rsidRDefault="00901503" w:rsidP="00281564">
            <w:pPr>
              <w:spacing w:before="29" w:line="288" w:lineRule="auto"/>
              <w:jc w:val="right"/>
              <w:rPr>
                <w:sz w:val="24"/>
              </w:rPr>
            </w:pPr>
            <w:r w:rsidRPr="000E4C40">
              <w:rPr>
                <w:sz w:val="24"/>
              </w:rPr>
              <w:t>-</w:t>
            </w:r>
          </w:p>
        </w:tc>
      </w:tr>
      <w:tr w:rsidR="007521F9" w:rsidRPr="000E4C40" w:rsidTr="00EF568A">
        <w:trPr>
          <w:jc w:val="center"/>
        </w:trPr>
        <w:tc>
          <w:tcPr>
            <w:tcW w:w="845" w:type="dxa"/>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rFonts w:hAnsi="宋体"/>
                <w:color w:val="000000"/>
                <w:kern w:val="0"/>
                <w:sz w:val="24"/>
              </w:rPr>
              <w:t>序号</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项目</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sz w:val="24"/>
              </w:rPr>
              <w:t>金额</w:t>
            </w:r>
            <w:r w:rsidR="00410A6D" w:rsidRPr="000E4C40">
              <w:rPr>
                <w:rFonts w:hAnsi="宋体"/>
                <w:color w:val="000000"/>
                <w:kern w:val="0"/>
                <w:sz w:val="24"/>
              </w:rPr>
              <w:t>（元）</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sz w:val="24"/>
              </w:rPr>
            </w:pPr>
            <w:r w:rsidRPr="000E4C40">
              <w:rPr>
                <w:rFonts w:hAnsi="宋体"/>
                <w:color w:val="000000"/>
                <w:kern w:val="0"/>
                <w:sz w:val="24"/>
              </w:rPr>
              <w:t>占基金资产净值</w:t>
            </w:r>
            <w:r w:rsidR="00410A6D" w:rsidRPr="000E4C40">
              <w:rPr>
                <w:rFonts w:hAnsi="宋体"/>
                <w:color w:val="000000"/>
                <w:kern w:val="0"/>
                <w:sz w:val="24"/>
              </w:rPr>
              <w:t>的</w:t>
            </w:r>
            <w:r w:rsidRPr="000E4C40">
              <w:rPr>
                <w:rFonts w:hAnsi="宋体"/>
                <w:color w:val="000000"/>
                <w:kern w:val="0"/>
                <w:sz w:val="24"/>
              </w:rPr>
              <w:t>比例（％）</w:t>
            </w:r>
          </w:p>
        </w:tc>
      </w:tr>
      <w:tr w:rsidR="007521F9" w:rsidRPr="000E4C40" w:rsidTr="00EF568A">
        <w:trPr>
          <w:jc w:val="center"/>
        </w:trPr>
        <w:tc>
          <w:tcPr>
            <w:tcW w:w="845" w:type="dxa"/>
            <w:vMerge w:val="restart"/>
            <w:tcBorders>
              <w:top w:val="single" w:sz="8" w:space="0" w:color="000000"/>
              <w:left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r w:rsidRPr="000E4C40">
              <w:rPr>
                <w:color w:val="000000"/>
                <w:sz w:val="24"/>
              </w:rPr>
              <w:t>2</w:t>
            </w: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报告期末债券回购融资余额</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1,867,579,826.19</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11.72</w:t>
            </w:r>
          </w:p>
        </w:tc>
      </w:tr>
      <w:tr w:rsidR="007521F9" w:rsidRPr="000E4C40" w:rsidTr="00EF568A">
        <w:trPr>
          <w:jc w:val="center"/>
        </w:trPr>
        <w:tc>
          <w:tcPr>
            <w:tcW w:w="845" w:type="dxa"/>
            <w:vMerge/>
            <w:tcBorders>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center"/>
              <w:rPr>
                <w:color w:val="000000"/>
                <w:sz w:val="24"/>
              </w:rPr>
            </w:pPr>
          </w:p>
        </w:tc>
        <w:tc>
          <w:tcPr>
            <w:tcW w:w="315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rPr>
                <w:sz w:val="24"/>
              </w:rPr>
            </w:pPr>
            <w:r w:rsidRPr="000E4C40">
              <w:rPr>
                <w:rFonts w:hAnsi="宋体"/>
                <w:sz w:val="24"/>
              </w:rPr>
              <w:t>其中：买断式回购融资</w:t>
            </w:r>
          </w:p>
        </w:tc>
        <w:tc>
          <w:tcPr>
            <w:tcW w:w="278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c>
          <w:tcPr>
            <w:tcW w:w="207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jc w:val="right"/>
              <w:rPr>
                <w:sz w:val="24"/>
              </w:rPr>
            </w:pPr>
            <w:r w:rsidRPr="000E4C40">
              <w:rPr>
                <w:sz w:val="24"/>
              </w:rPr>
              <w:t>-</w:t>
            </w:r>
          </w:p>
        </w:tc>
      </w:tr>
    </w:tbl>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注：报告期内债券回购融资余额占基金资产净值的比例为报告期内每个银行间市场交易日融资余额占资产净值比例的简单平均值。</w:t>
      </w:r>
    </w:p>
    <w:p w:rsidR="00DB2873" w:rsidRPr="000E4C40" w:rsidRDefault="00DB2873" w:rsidP="00281564">
      <w:pPr>
        <w:spacing w:before="29" w:line="288" w:lineRule="auto"/>
        <w:rPr>
          <w:sz w:val="24"/>
        </w:rPr>
      </w:pPr>
    </w:p>
    <w:p w:rsidR="004771B9" w:rsidRPr="000E4C40" w:rsidRDefault="004771B9" w:rsidP="00281564">
      <w:pPr>
        <w:spacing w:before="29" w:line="288" w:lineRule="auto"/>
        <w:rPr>
          <w:b/>
          <w:color w:val="000000"/>
          <w:kern w:val="0"/>
          <w:sz w:val="24"/>
        </w:rPr>
      </w:pPr>
      <w:r w:rsidRPr="000E4C40">
        <w:rPr>
          <w:rFonts w:hAnsi="宋体"/>
          <w:b/>
          <w:color w:val="000000"/>
          <w:kern w:val="0"/>
          <w:sz w:val="24"/>
        </w:rPr>
        <w:t>债券正回购的资金余额超过基金资产净值的</w:t>
      </w:r>
      <w:r w:rsidRPr="000E4C40">
        <w:rPr>
          <w:b/>
          <w:color w:val="000000"/>
          <w:kern w:val="0"/>
          <w:sz w:val="24"/>
        </w:rPr>
        <w:t>20</w:t>
      </w:r>
      <w:r w:rsidRPr="000E4C40">
        <w:rPr>
          <w:rFonts w:hAnsi="宋体"/>
          <w:b/>
          <w:color w:val="000000"/>
          <w:kern w:val="0"/>
          <w:sz w:val="24"/>
        </w:rPr>
        <w:t>％的说明</w:t>
      </w:r>
    </w:p>
    <w:p w:rsidR="007521F9" w:rsidRPr="000E4C40" w:rsidRDefault="007521F9" w:rsidP="00281564">
      <w:pPr>
        <w:autoSpaceDE w:val="0"/>
        <w:autoSpaceDN w:val="0"/>
        <w:adjustRightInd w:val="0"/>
        <w:spacing w:before="29" w:line="288" w:lineRule="auto"/>
        <w:jc w:val="left"/>
        <w:rPr>
          <w:color w:val="000000"/>
          <w:sz w:val="24"/>
        </w:rPr>
      </w:pPr>
      <w:r w:rsidRPr="000E4C40">
        <w:rPr>
          <w:color w:val="000000"/>
          <w:sz w:val="24"/>
        </w:rPr>
        <w:t>本基金合同约定：</w:t>
      </w:r>
      <w:r w:rsidRPr="000E4C40">
        <w:rPr>
          <w:color w:val="000000"/>
          <w:sz w:val="24"/>
        </w:rPr>
        <w:t>“</w:t>
      </w:r>
      <w:r w:rsidRPr="000E4C40">
        <w:rPr>
          <w:color w:val="000000"/>
          <w:sz w:val="24"/>
        </w:rPr>
        <w:t>本基金进入全国银行间同业市场进行债券回购的资金余额不得超过基金资产净值的</w:t>
      </w:r>
      <w:r w:rsidRPr="000E4C40">
        <w:rPr>
          <w:color w:val="000000"/>
          <w:sz w:val="24"/>
        </w:rPr>
        <w:t>40%”</w:t>
      </w:r>
      <w:r w:rsidRPr="000E4C40">
        <w:rPr>
          <w:color w:val="000000"/>
          <w:sz w:val="24"/>
        </w:rPr>
        <w:t>。本报告期内，本基金未发生超标情况。</w:t>
      </w:r>
    </w:p>
    <w:p w:rsidR="00902E3F" w:rsidRPr="000E4C40" w:rsidRDefault="00902E3F" w:rsidP="00281564">
      <w:pPr>
        <w:spacing w:before="29" w:line="288" w:lineRule="auto"/>
        <w:rPr>
          <w:b/>
          <w:color w:val="000000"/>
          <w:kern w:val="0"/>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 </w:t>
      </w:r>
      <w:r w:rsidRPr="000E4C40">
        <w:rPr>
          <w:rFonts w:hAnsi="宋体"/>
          <w:b/>
          <w:color w:val="000000"/>
          <w:kern w:val="0"/>
          <w:sz w:val="24"/>
        </w:rPr>
        <w:t>基金投资组合平均剩余期限</w:t>
      </w:r>
    </w:p>
    <w:p w:rsidR="00902E3F" w:rsidRPr="000E4C40" w:rsidRDefault="00902E3F" w:rsidP="00281564">
      <w:pPr>
        <w:spacing w:before="29" w:line="288" w:lineRule="auto"/>
        <w:rPr>
          <w:b/>
          <w:color w:val="000000"/>
          <w:kern w:val="0"/>
          <w:sz w:val="24"/>
        </w:rPr>
      </w:pPr>
      <w:r w:rsidRPr="000E4C40">
        <w:rPr>
          <w:b/>
          <w:color w:val="000000"/>
          <w:kern w:val="0"/>
          <w:sz w:val="24"/>
        </w:rPr>
        <w:t xml:space="preserve">5.3.1 </w:t>
      </w:r>
      <w:r w:rsidRPr="000E4C40">
        <w:rPr>
          <w:rFonts w:hAnsi="宋体"/>
          <w:b/>
          <w:color w:val="000000"/>
          <w:kern w:val="0"/>
          <w:sz w:val="24"/>
        </w:rPr>
        <w:t>投资组合平均剩余期限基本情况</w:t>
      </w:r>
    </w:p>
    <w:tbl>
      <w:tblPr>
        <w:tblW w:w="8868" w:type="dxa"/>
        <w:jc w:val="center"/>
        <w:tblLayout w:type="fixed"/>
        <w:tblLook w:val="0000" w:firstRow="0" w:lastRow="0" w:firstColumn="0" w:lastColumn="0" w:noHBand="0" w:noVBand="0"/>
      </w:tblPr>
      <w:tblGrid>
        <w:gridCol w:w="4427"/>
        <w:gridCol w:w="4441"/>
      </w:tblGrid>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天数</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报告期末投资组合平均剩余期限</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111</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报告期内投资组合平均剩余期限最高值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color w:val="000000"/>
                <w:sz w:val="24"/>
              </w:rPr>
            </w:pPr>
            <w:r w:rsidRPr="000E4C40">
              <w:rPr>
                <w:color w:val="000000"/>
                <w:sz w:val="24"/>
              </w:rPr>
              <w:t>119</w:t>
            </w:r>
          </w:p>
        </w:tc>
      </w:tr>
      <w:tr w:rsidR="007521F9" w:rsidRPr="000E4C40" w:rsidTr="00EF568A">
        <w:trPr>
          <w:jc w:val="center"/>
        </w:trPr>
        <w:tc>
          <w:tcPr>
            <w:tcW w:w="4427"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报告期内投资组合平均剩余期限最低值</w:t>
            </w:r>
          </w:p>
        </w:tc>
        <w:tc>
          <w:tcPr>
            <w:tcW w:w="444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spacing w:before="29" w:line="288" w:lineRule="auto"/>
              <w:ind w:right="120"/>
              <w:jc w:val="right"/>
              <w:rPr>
                <w:sz w:val="24"/>
              </w:rPr>
            </w:pPr>
            <w:r w:rsidRPr="000E4C40">
              <w:rPr>
                <w:sz w:val="24"/>
              </w:rPr>
              <w:t>86</w:t>
            </w:r>
          </w:p>
        </w:tc>
      </w:tr>
    </w:tbl>
    <w:p w:rsidR="007521F9" w:rsidRPr="000E4C40" w:rsidRDefault="007521F9" w:rsidP="00281564">
      <w:pPr>
        <w:spacing w:before="29" w:line="288" w:lineRule="auto"/>
        <w:rPr>
          <w:b/>
          <w:sz w:val="24"/>
        </w:rPr>
      </w:pPr>
    </w:p>
    <w:p w:rsidR="007277D1" w:rsidRPr="000E4C40" w:rsidRDefault="007277D1" w:rsidP="00281564">
      <w:pPr>
        <w:spacing w:before="29" w:line="288" w:lineRule="auto"/>
        <w:rPr>
          <w:b/>
          <w:color w:val="000000"/>
          <w:kern w:val="0"/>
          <w:sz w:val="24"/>
        </w:rPr>
      </w:pPr>
      <w:r w:rsidRPr="000E4C40">
        <w:rPr>
          <w:rFonts w:hAnsi="宋体"/>
          <w:b/>
          <w:color w:val="000000"/>
          <w:kern w:val="0"/>
          <w:sz w:val="24"/>
        </w:rPr>
        <w:t>报告期内投资组合平均剩余期限超过</w:t>
      </w:r>
      <w:r w:rsidR="00F046FB">
        <w:rPr>
          <w:b/>
          <w:color w:val="000000"/>
          <w:kern w:val="0"/>
          <w:sz w:val="24"/>
        </w:rPr>
        <w:t>12</w:t>
      </w:r>
      <w:r w:rsidRPr="000E4C40">
        <w:rPr>
          <w:b/>
          <w:color w:val="000000"/>
          <w:kern w:val="0"/>
          <w:sz w:val="24"/>
        </w:rPr>
        <w:t>0</w:t>
      </w:r>
      <w:r w:rsidRPr="000E4C40">
        <w:rPr>
          <w:rFonts w:hAnsi="宋体"/>
          <w:b/>
          <w:color w:val="000000"/>
          <w:kern w:val="0"/>
          <w:sz w:val="24"/>
        </w:rPr>
        <w:t>天情况说明</w:t>
      </w:r>
    </w:p>
    <w:p w:rsidR="007521F9" w:rsidRDefault="000E5695" w:rsidP="00281564">
      <w:pPr>
        <w:adjustRightInd w:val="0"/>
        <w:spacing w:before="29" w:line="288" w:lineRule="auto"/>
        <w:rPr>
          <w:kern w:val="0"/>
          <w:sz w:val="24"/>
        </w:rPr>
      </w:pPr>
      <w:r w:rsidRPr="000E5695">
        <w:rPr>
          <w:kern w:val="0"/>
          <w:sz w:val="24"/>
        </w:rPr>
        <w:t>本基金合同约定：</w:t>
      </w:r>
      <w:r w:rsidRPr="000E5695">
        <w:rPr>
          <w:kern w:val="0"/>
          <w:sz w:val="24"/>
        </w:rPr>
        <w:t>“</w:t>
      </w:r>
      <w:r w:rsidRPr="000E5695">
        <w:rPr>
          <w:kern w:val="0"/>
          <w:sz w:val="24"/>
        </w:rPr>
        <w:t>本基金投资组合的平均剩余期限控制在</w:t>
      </w:r>
      <w:r w:rsidRPr="000E5695">
        <w:rPr>
          <w:kern w:val="0"/>
          <w:sz w:val="24"/>
        </w:rPr>
        <w:t xml:space="preserve">180 </w:t>
      </w:r>
      <w:r w:rsidRPr="000E5695">
        <w:rPr>
          <w:kern w:val="0"/>
          <w:sz w:val="24"/>
        </w:rPr>
        <w:t>天（含）以内。</w:t>
      </w:r>
      <w:r w:rsidRPr="000E5695">
        <w:rPr>
          <w:kern w:val="0"/>
          <w:sz w:val="24"/>
        </w:rPr>
        <w:t>”</w:t>
      </w:r>
      <w:r w:rsidRPr="000E5695">
        <w:rPr>
          <w:kern w:val="0"/>
          <w:sz w:val="24"/>
        </w:rPr>
        <w:t>本基金</w:t>
      </w:r>
      <w:r w:rsidRPr="000E5695">
        <w:rPr>
          <w:kern w:val="0"/>
          <w:sz w:val="24"/>
        </w:rPr>
        <w:lastRenderedPageBreak/>
        <w:t>本报告期内投资组合平均剩余期限未超过</w:t>
      </w:r>
      <w:r w:rsidRPr="000E5695">
        <w:rPr>
          <w:kern w:val="0"/>
          <w:sz w:val="24"/>
        </w:rPr>
        <w:t>180</w:t>
      </w:r>
      <w:r w:rsidRPr="000E5695">
        <w:rPr>
          <w:kern w:val="0"/>
          <w:sz w:val="24"/>
        </w:rPr>
        <w:t>天。</w:t>
      </w:r>
    </w:p>
    <w:p w:rsidR="000E5695" w:rsidRPr="000E5695" w:rsidRDefault="000E5695" w:rsidP="00281564">
      <w:pPr>
        <w:adjustRightInd w:val="0"/>
        <w:spacing w:before="29" w:line="288" w:lineRule="auto"/>
        <w:rPr>
          <w:sz w:val="24"/>
        </w:rPr>
      </w:pPr>
    </w:p>
    <w:p w:rsidR="00902E3F" w:rsidRPr="000E4C40" w:rsidRDefault="00902E3F" w:rsidP="00281564">
      <w:pPr>
        <w:spacing w:before="29" w:line="288" w:lineRule="auto"/>
        <w:rPr>
          <w:b/>
          <w:color w:val="000000"/>
          <w:kern w:val="0"/>
          <w:sz w:val="24"/>
        </w:rPr>
      </w:pPr>
      <w:r w:rsidRPr="000E4C40">
        <w:rPr>
          <w:b/>
          <w:color w:val="000000"/>
          <w:kern w:val="0"/>
          <w:sz w:val="24"/>
        </w:rPr>
        <w:t xml:space="preserve">5.3.2 </w:t>
      </w:r>
      <w:r w:rsidRPr="000E4C40">
        <w:rPr>
          <w:rFonts w:hAnsi="宋体"/>
          <w:b/>
          <w:color w:val="000000"/>
          <w:kern w:val="0"/>
          <w:sz w:val="24"/>
        </w:rPr>
        <w:t>报告期末投资组合平均剩余期限分布比例</w:t>
      </w:r>
    </w:p>
    <w:tbl>
      <w:tblPr>
        <w:tblW w:w="8868" w:type="dxa"/>
        <w:jc w:val="center"/>
        <w:tblLayout w:type="fixed"/>
        <w:tblLook w:val="0000" w:firstRow="0" w:lastRow="0" w:firstColumn="0" w:lastColumn="0" w:noHBand="0" w:noVBand="0"/>
      </w:tblPr>
      <w:tblGrid>
        <w:gridCol w:w="829"/>
        <w:gridCol w:w="3240"/>
        <w:gridCol w:w="2447"/>
        <w:gridCol w:w="2352"/>
      </w:tblGrid>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平均剩余期限</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各期限资产占基金资产净值的比例</w:t>
            </w:r>
            <w:r w:rsidR="00B071B2" w:rsidRPr="000E4C40">
              <w:rPr>
                <w:rFonts w:hAnsi="宋体"/>
                <w:color w:val="000000"/>
                <w:kern w:val="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各期限负债占基金资产净值的比例（％）</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Pr="000E4C40">
              <w:rPr>
                <w:rFonts w:hAnsi="宋体"/>
                <w:color w:val="000000"/>
                <w:sz w:val="24"/>
              </w:rPr>
              <w:t>天以内</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24.31</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11.72</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color w:val="000000"/>
                <w:sz w:val="24"/>
              </w:rPr>
              <w:t>30</w:t>
            </w:r>
            <w:r w:rsidR="00672C2D" w:rsidRPr="000E4C40">
              <w:rPr>
                <w:rFonts w:hAnsi="宋体"/>
                <w:color w:val="000000"/>
                <w:sz w:val="24"/>
              </w:rPr>
              <w:t>天</w:t>
            </w:r>
            <w:r w:rsidR="00672C2D" w:rsidRPr="000E4C40">
              <w:rPr>
                <w:color w:val="000000"/>
                <w:sz w:val="24"/>
              </w:rPr>
              <w:t>(</w:t>
            </w:r>
            <w:r w:rsidRPr="000E4C40">
              <w:rPr>
                <w:rFonts w:hAnsi="宋体"/>
                <w:color w:val="000000"/>
                <w:sz w:val="24"/>
              </w:rPr>
              <w:t>含</w:t>
            </w:r>
            <w:r w:rsidR="00672C2D" w:rsidRPr="000E4C40">
              <w:rPr>
                <w:color w:val="000000"/>
                <w:sz w:val="24"/>
              </w:rPr>
              <w:t>)</w:t>
            </w:r>
            <w:r w:rsidRPr="000E4C40">
              <w:rPr>
                <w:color w:val="000000"/>
                <w:sz w:val="24"/>
              </w:rPr>
              <w:t>—60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10.65</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kern w:val="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60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Pr="000E4C40">
              <w:rPr>
                <w:color w:val="000000"/>
                <w:sz w:val="24"/>
              </w:rPr>
              <w:t>—90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29.89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color w:val="000000"/>
                <w:sz w:val="24"/>
              </w:rPr>
              <w:t>90</w:t>
            </w:r>
            <w:r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0E5695">
              <w:rPr>
                <w:color w:val="000000"/>
                <w:sz w:val="24"/>
              </w:rPr>
              <w:t>—12</w:t>
            </w:r>
            <w:r w:rsidRPr="000E4C40">
              <w:rPr>
                <w:color w:val="000000"/>
                <w:sz w:val="24"/>
              </w:rPr>
              <w:t>0</w:t>
            </w:r>
            <w:r w:rsidRPr="000E4C40">
              <w:rPr>
                <w:rFonts w:hAnsi="宋体"/>
                <w:color w:val="000000"/>
                <w:sz w:val="24"/>
              </w:rPr>
              <w:t>天</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3.30</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left"/>
              <w:rPr>
                <w:color w:val="000000"/>
                <w:sz w:val="24"/>
              </w:rPr>
            </w:pPr>
            <w:r>
              <w:rPr>
                <w:color w:val="000000"/>
                <w:sz w:val="24"/>
              </w:rPr>
              <w:t>12</w:t>
            </w:r>
            <w:r w:rsidR="007521F9" w:rsidRPr="000E4C40">
              <w:rPr>
                <w:color w:val="000000"/>
                <w:sz w:val="24"/>
              </w:rPr>
              <w:t>0</w:t>
            </w:r>
            <w:r w:rsidR="007521F9" w:rsidRPr="000E4C40">
              <w:rPr>
                <w:rFonts w:hAnsi="宋体"/>
                <w:color w:val="000000"/>
                <w:sz w:val="24"/>
              </w:rPr>
              <w:t>天</w:t>
            </w:r>
            <w:r w:rsidR="00672C2D" w:rsidRPr="000E4C40">
              <w:rPr>
                <w:color w:val="000000"/>
                <w:sz w:val="24"/>
              </w:rPr>
              <w:t>(</w:t>
            </w:r>
            <w:r w:rsidR="00672C2D" w:rsidRPr="000E4C40">
              <w:rPr>
                <w:rFonts w:hAnsi="宋体"/>
                <w:color w:val="000000"/>
                <w:sz w:val="24"/>
              </w:rPr>
              <w:t>含</w:t>
            </w:r>
            <w:r w:rsidR="00672C2D" w:rsidRPr="000E4C40">
              <w:rPr>
                <w:color w:val="000000"/>
                <w:sz w:val="24"/>
              </w:rPr>
              <w:t>)</w:t>
            </w:r>
            <w:r w:rsidR="007521F9" w:rsidRPr="000E4C40">
              <w:rPr>
                <w:color w:val="000000"/>
                <w:sz w:val="24"/>
              </w:rPr>
              <w:t>—397</w:t>
            </w:r>
            <w:r w:rsidR="007521F9" w:rsidRPr="000E4C40">
              <w:rPr>
                <w:rFonts w:hAnsi="宋体"/>
                <w:color w:val="000000"/>
                <w:sz w:val="24"/>
              </w:rPr>
              <w:t>天</w:t>
            </w:r>
            <w:r w:rsidR="00F10508" w:rsidRPr="000E4C40">
              <w:rPr>
                <w:rFonts w:hAnsi="宋体"/>
                <w:color w:val="000000"/>
                <w:kern w:val="0"/>
                <w:sz w:val="24"/>
              </w:rPr>
              <w:t>（</w:t>
            </w:r>
            <w:r w:rsidR="00672C2D" w:rsidRPr="000E4C40">
              <w:rPr>
                <w:rFonts w:hAnsi="宋体"/>
                <w:color w:val="000000"/>
                <w:sz w:val="24"/>
              </w:rPr>
              <w:t>含</w:t>
            </w:r>
            <w:r w:rsidR="00F10508" w:rsidRPr="000E4C40">
              <w:rPr>
                <w:rFonts w:hAnsi="宋体"/>
                <w:color w:val="000000"/>
                <w:kern w:val="0"/>
                <w:sz w:val="24"/>
              </w:rPr>
              <w:t>）</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43.64</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8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p>
        </w:tc>
        <w:tc>
          <w:tcPr>
            <w:tcW w:w="335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left"/>
              <w:rPr>
                <w:color w:val="000000"/>
                <w:sz w:val="24"/>
              </w:rPr>
            </w:pPr>
            <w:r w:rsidRPr="000E4C40">
              <w:rPr>
                <w:rFonts w:hAnsi="宋体"/>
                <w:color w:val="000000"/>
                <w:sz w:val="24"/>
              </w:rPr>
              <w:t>其中：剩余存续期超过</w:t>
            </w:r>
            <w:r w:rsidRPr="000E4C40">
              <w:rPr>
                <w:color w:val="000000"/>
                <w:sz w:val="24"/>
              </w:rPr>
              <w:t>397</w:t>
            </w:r>
            <w:r w:rsidRPr="000E4C40">
              <w:rPr>
                <w:rFonts w:hAnsi="宋体"/>
                <w:color w:val="000000"/>
                <w:sz w:val="24"/>
              </w:rPr>
              <w:t>天的浮动利率债</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0E5695" w:rsidP="00281564">
            <w:pPr>
              <w:autoSpaceDE w:val="0"/>
              <w:autoSpaceDN w:val="0"/>
              <w:adjustRightInd w:val="0"/>
              <w:spacing w:before="29" w:line="288" w:lineRule="auto"/>
              <w:ind w:left="15"/>
              <w:jc w:val="right"/>
              <w:rPr>
                <w:color w:val="000000"/>
                <w:kern w:val="0"/>
                <w:sz w:val="24"/>
              </w:rPr>
            </w:pPr>
            <w:r w:rsidRPr="000E5695">
              <w:rPr>
                <w:color w:val="000000"/>
                <w:sz w:val="24"/>
              </w:rPr>
              <w:t>-</w:t>
            </w:r>
          </w:p>
        </w:tc>
      </w:tr>
      <w:tr w:rsidR="007521F9" w:rsidRPr="000E4C40" w:rsidTr="00CE25BB">
        <w:trPr>
          <w:jc w:val="center"/>
        </w:trPr>
        <w:tc>
          <w:tcPr>
            <w:tcW w:w="4202" w:type="dxa"/>
            <w:gridSpan w:val="2"/>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center"/>
              <w:rPr>
                <w:color w:val="000000"/>
                <w:sz w:val="24"/>
              </w:rPr>
            </w:pPr>
            <w:r w:rsidRPr="000E4C40">
              <w:rPr>
                <w:rFonts w:hAnsi="宋体"/>
                <w:color w:val="000000"/>
                <w:sz w:val="24"/>
              </w:rPr>
              <w:t>合计</w:t>
            </w:r>
          </w:p>
        </w:tc>
        <w:tc>
          <w:tcPr>
            <w:tcW w:w="2529"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111.79</w:t>
            </w:r>
          </w:p>
        </w:tc>
        <w:tc>
          <w:tcPr>
            <w:tcW w:w="2431" w:type="dxa"/>
            <w:tcBorders>
              <w:top w:val="single" w:sz="8" w:space="0" w:color="000000"/>
              <w:left w:val="single" w:sz="8" w:space="0" w:color="000000"/>
              <w:bottom w:val="single" w:sz="8" w:space="0" w:color="000000"/>
              <w:right w:val="single" w:sz="8" w:space="0" w:color="000000"/>
            </w:tcBorders>
            <w:vAlign w:val="center"/>
          </w:tcPr>
          <w:p w:rsidR="007521F9" w:rsidRPr="000E4C40" w:rsidRDefault="007521F9" w:rsidP="00281564">
            <w:pPr>
              <w:autoSpaceDE w:val="0"/>
              <w:autoSpaceDN w:val="0"/>
              <w:adjustRightInd w:val="0"/>
              <w:spacing w:before="29" w:line="288" w:lineRule="auto"/>
              <w:ind w:left="15"/>
              <w:jc w:val="right"/>
              <w:rPr>
                <w:color w:val="000000"/>
                <w:kern w:val="0"/>
                <w:sz w:val="24"/>
              </w:rPr>
            </w:pPr>
            <w:r w:rsidRPr="000E4C40">
              <w:rPr>
                <w:color w:val="000000"/>
                <w:sz w:val="24"/>
              </w:rPr>
              <w:t>11.72</w:t>
            </w:r>
          </w:p>
        </w:tc>
      </w:tr>
    </w:tbl>
    <w:p w:rsidR="00F046FB" w:rsidRDefault="00F046FB" w:rsidP="00281564">
      <w:pPr>
        <w:spacing w:before="29" w:line="288" w:lineRule="auto"/>
        <w:rPr>
          <w:color w:val="000000"/>
          <w:kern w:val="0"/>
          <w:sz w:val="24"/>
        </w:rPr>
      </w:pPr>
    </w:p>
    <w:p w:rsidR="00F046FB" w:rsidRPr="00F046FB" w:rsidRDefault="00F046FB" w:rsidP="00F046FB">
      <w:pPr>
        <w:spacing w:line="360" w:lineRule="auto"/>
        <w:rPr>
          <w:rFonts w:ascii="宋体" w:hAnsi="宋体" w:cs="Arial"/>
          <w:b/>
          <w:bCs/>
          <w:color w:val="000000"/>
          <w:kern w:val="0"/>
          <w:sz w:val="24"/>
        </w:rPr>
      </w:pPr>
      <w:r w:rsidRPr="00F046FB">
        <w:rPr>
          <w:rFonts w:ascii="宋体" w:hAnsi="宋体" w:cs="Arial" w:hint="eastAsia"/>
          <w:b/>
          <w:bCs/>
          <w:color w:val="000000"/>
          <w:kern w:val="0"/>
          <w:sz w:val="24"/>
        </w:rPr>
        <w:t>5.4</w:t>
      </w:r>
      <w:r w:rsidRPr="00F046FB">
        <w:rPr>
          <w:rFonts w:ascii="宋体" w:hAnsi="宋体" w:hint="eastAsia"/>
          <w:b/>
          <w:bCs/>
          <w:color w:val="000000"/>
          <w:sz w:val="24"/>
        </w:rPr>
        <w:t>报告期内投资组合平均剩余存续期超过240天情况说明</w:t>
      </w:r>
    </w:p>
    <w:p w:rsidR="00F046FB" w:rsidRPr="00F046FB" w:rsidRDefault="00F046FB" w:rsidP="00F046FB">
      <w:pPr>
        <w:autoSpaceDE w:val="0"/>
        <w:autoSpaceDN w:val="0"/>
        <w:adjustRightInd w:val="0"/>
        <w:spacing w:line="360" w:lineRule="auto"/>
        <w:jc w:val="left"/>
        <w:rPr>
          <w:rFonts w:ascii="宋体" w:hAnsi="宋体"/>
          <w:color w:val="000000"/>
          <w:sz w:val="24"/>
        </w:rPr>
      </w:pPr>
      <w:r w:rsidRPr="00F046FB">
        <w:rPr>
          <w:rFonts w:ascii="宋体" w:hAnsi="宋体" w:hint="eastAsia"/>
          <w:color w:val="000000"/>
          <w:sz w:val="24"/>
        </w:rPr>
        <w:t>本基金本报告期内投资组合平均剩余存续期未超过240天。</w:t>
      </w:r>
    </w:p>
    <w:p w:rsidR="00F046FB" w:rsidRPr="00F046FB" w:rsidRDefault="00F046FB" w:rsidP="00281564">
      <w:pPr>
        <w:spacing w:before="29" w:line="288" w:lineRule="auto"/>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5.5</w:t>
      </w:r>
      <w:r w:rsidR="00902E3F" w:rsidRPr="000E4C40">
        <w:rPr>
          <w:rFonts w:hAnsi="宋体"/>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6"/>
        <w:gridCol w:w="3096"/>
        <w:gridCol w:w="3097"/>
        <w:gridCol w:w="1889"/>
      </w:tblGrid>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序号</w:t>
            </w:r>
          </w:p>
        </w:tc>
        <w:tc>
          <w:tcPr>
            <w:tcW w:w="3096"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债券品种</w:t>
            </w:r>
          </w:p>
        </w:tc>
        <w:tc>
          <w:tcPr>
            <w:tcW w:w="3097" w:type="dxa"/>
            <w:vAlign w:val="center"/>
          </w:tcPr>
          <w:p w:rsidR="007521F9" w:rsidRPr="000E4C40" w:rsidRDefault="003D21F4" w:rsidP="00281564">
            <w:pPr>
              <w:spacing w:before="29" w:line="288" w:lineRule="auto"/>
              <w:ind w:left="17"/>
              <w:jc w:val="center"/>
              <w:rPr>
                <w:color w:val="000000"/>
                <w:sz w:val="24"/>
              </w:rPr>
            </w:pPr>
            <w:r w:rsidRPr="000E4C40">
              <w:rPr>
                <w:rFonts w:hAnsi="宋体"/>
                <w:sz w:val="24"/>
              </w:rPr>
              <w:t>摊余成本（元）</w:t>
            </w:r>
          </w:p>
        </w:tc>
        <w:tc>
          <w:tcPr>
            <w:tcW w:w="1889" w:type="dxa"/>
            <w:vAlign w:val="center"/>
          </w:tcPr>
          <w:p w:rsidR="007521F9" w:rsidRPr="000E4C40" w:rsidRDefault="007521F9" w:rsidP="00281564">
            <w:pPr>
              <w:spacing w:before="29" w:line="288" w:lineRule="auto"/>
              <w:ind w:left="17"/>
              <w:jc w:val="center"/>
              <w:rPr>
                <w:color w:val="000000"/>
                <w:sz w:val="24"/>
              </w:rPr>
            </w:pPr>
            <w:r w:rsidRPr="000E4C40">
              <w:rPr>
                <w:rFonts w:hAnsi="宋体"/>
                <w:color w:val="000000"/>
                <w:sz w:val="24"/>
              </w:rPr>
              <w:t>占基金资产净值比例</w:t>
            </w:r>
            <w:r w:rsidR="005F3F29" w:rsidRPr="000E4C40">
              <w:rPr>
                <w:rFonts w:hAnsi="宋体"/>
                <w:color w:val="000000"/>
                <w:kern w:val="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1</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国家债券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39,971,233.59</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0.25</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2</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央行票据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3</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金融债券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789,341,011.66</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4.95</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其中：政策性金融债</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789,341,011.66</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4.95</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4</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企业债券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5</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企业短期融资</w:t>
            </w:r>
            <w:r w:rsidR="00BC0205" w:rsidRPr="000E4C40">
              <w:rPr>
                <w:rFonts w:hAnsi="宋体"/>
                <w:color w:val="000000"/>
                <w:sz w:val="24"/>
              </w:rPr>
              <w:t>券</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771,288,134.83</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4.84</w:t>
            </w:r>
          </w:p>
        </w:tc>
      </w:tr>
      <w:tr w:rsidR="007521F9" w:rsidRPr="000E4C40" w:rsidTr="00F41AA6">
        <w:trPr>
          <w:jc w:val="center"/>
        </w:trPr>
        <w:tc>
          <w:tcPr>
            <w:tcW w:w="786" w:type="dxa"/>
            <w:vAlign w:val="center"/>
          </w:tcPr>
          <w:p w:rsidR="007521F9" w:rsidRPr="000E4C40" w:rsidRDefault="007521F9" w:rsidP="00281564">
            <w:pPr>
              <w:spacing w:before="29" w:line="288" w:lineRule="auto"/>
              <w:ind w:left="17"/>
              <w:jc w:val="center"/>
              <w:rPr>
                <w:color w:val="000000"/>
                <w:sz w:val="24"/>
              </w:rPr>
            </w:pPr>
            <w:r w:rsidRPr="000E4C40">
              <w:rPr>
                <w:color w:val="000000"/>
                <w:sz w:val="24"/>
              </w:rPr>
              <w:t>6</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中期票据</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F41AA6" w:rsidRPr="000E4C40" w:rsidTr="0006711A">
        <w:trPr>
          <w:jc w:val="center"/>
        </w:trPr>
        <w:tc>
          <w:tcPr>
            <w:tcW w:w="786" w:type="dxa"/>
            <w:vAlign w:val="center"/>
          </w:tcPr>
          <w:p w:rsidR="00F41AA6" w:rsidRPr="00432A2C" w:rsidRDefault="00F41AA6" w:rsidP="0006711A">
            <w:pPr>
              <w:spacing w:before="29" w:line="288" w:lineRule="auto"/>
              <w:ind w:left="17"/>
              <w:jc w:val="center"/>
              <w:rPr>
                <w:color w:val="000000"/>
                <w:sz w:val="24"/>
              </w:rPr>
            </w:pPr>
            <w:r w:rsidRPr="00432A2C">
              <w:rPr>
                <w:rFonts w:hint="eastAsia"/>
                <w:color w:val="000000"/>
                <w:sz w:val="24"/>
              </w:rPr>
              <w:t>7</w:t>
            </w:r>
          </w:p>
        </w:tc>
        <w:tc>
          <w:tcPr>
            <w:tcW w:w="3096" w:type="dxa"/>
            <w:vAlign w:val="center"/>
          </w:tcPr>
          <w:p w:rsidR="00F41AA6" w:rsidRPr="00432A2C" w:rsidRDefault="00F41AA6" w:rsidP="0006711A">
            <w:pPr>
              <w:spacing w:before="29" w:line="288" w:lineRule="auto"/>
              <w:ind w:left="17"/>
              <w:jc w:val="left"/>
              <w:rPr>
                <w:color w:val="000000"/>
                <w:sz w:val="24"/>
              </w:rPr>
            </w:pPr>
            <w:r w:rsidRPr="00432A2C">
              <w:rPr>
                <w:rFonts w:hint="eastAsia"/>
                <w:color w:val="000000"/>
                <w:sz w:val="24"/>
              </w:rPr>
              <w:t>同业存单</w:t>
            </w:r>
          </w:p>
        </w:tc>
        <w:tc>
          <w:tcPr>
            <w:tcW w:w="3097"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9,126,967,351.25</w:t>
            </w:r>
          </w:p>
        </w:tc>
        <w:tc>
          <w:tcPr>
            <w:tcW w:w="1889" w:type="dxa"/>
            <w:vAlign w:val="center"/>
          </w:tcPr>
          <w:p w:rsidR="00F41AA6" w:rsidRPr="00432A2C" w:rsidRDefault="00F41AA6" w:rsidP="0006711A">
            <w:pPr>
              <w:spacing w:before="29" w:line="288" w:lineRule="auto"/>
              <w:ind w:left="17"/>
              <w:jc w:val="right"/>
              <w:rPr>
                <w:color w:val="000000"/>
                <w:sz w:val="24"/>
              </w:rPr>
            </w:pPr>
            <w:r w:rsidRPr="00432A2C">
              <w:rPr>
                <w:rFonts w:hint="eastAsia"/>
                <w:color w:val="000000"/>
                <w:sz w:val="24"/>
              </w:rPr>
              <w:t>57.27</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8</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其他</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w:t>
            </w:r>
          </w:p>
        </w:tc>
      </w:tr>
      <w:tr w:rsidR="007521F9" w:rsidRPr="000E4C40" w:rsidTr="00F41AA6">
        <w:trPr>
          <w:jc w:val="center"/>
        </w:trPr>
        <w:tc>
          <w:tcPr>
            <w:tcW w:w="786" w:type="dxa"/>
            <w:vAlign w:val="center"/>
          </w:tcPr>
          <w:p w:rsidR="007521F9" w:rsidRPr="000E4C40" w:rsidRDefault="007521F9" w:rsidP="00855BA5">
            <w:pPr>
              <w:spacing w:before="29" w:line="288" w:lineRule="auto"/>
              <w:ind w:left="17"/>
              <w:jc w:val="center"/>
              <w:rPr>
                <w:color w:val="000000"/>
                <w:sz w:val="24"/>
              </w:rPr>
            </w:pPr>
            <w:r w:rsidRPr="000E4C40">
              <w:rPr>
                <w:color w:val="000000"/>
                <w:sz w:val="24"/>
              </w:rPr>
              <w:t>9</w:t>
            </w:r>
          </w:p>
        </w:tc>
        <w:tc>
          <w:tcPr>
            <w:tcW w:w="3096" w:type="dxa"/>
            <w:vAlign w:val="center"/>
          </w:tcPr>
          <w:p w:rsidR="007521F9" w:rsidRPr="000E4C40" w:rsidRDefault="007521F9" w:rsidP="00281564">
            <w:pPr>
              <w:spacing w:before="29" w:line="288" w:lineRule="auto"/>
              <w:ind w:left="17"/>
              <w:jc w:val="left"/>
              <w:rPr>
                <w:color w:val="000000"/>
                <w:sz w:val="24"/>
              </w:rPr>
            </w:pPr>
            <w:r w:rsidRPr="000E4C40">
              <w:rPr>
                <w:rFonts w:hAnsi="宋体"/>
                <w:color w:val="000000"/>
                <w:sz w:val="24"/>
              </w:rPr>
              <w:t>合计</w:t>
            </w:r>
          </w:p>
        </w:tc>
        <w:tc>
          <w:tcPr>
            <w:tcW w:w="3097"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10,727,567,731.33</w:t>
            </w:r>
          </w:p>
        </w:tc>
        <w:tc>
          <w:tcPr>
            <w:tcW w:w="1889" w:type="dxa"/>
            <w:vAlign w:val="center"/>
          </w:tcPr>
          <w:p w:rsidR="007521F9" w:rsidRPr="000E4C40" w:rsidRDefault="007521F9" w:rsidP="00281564">
            <w:pPr>
              <w:spacing w:before="29" w:line="288" w:lineRule="auto"/>
              <w:ind w:left="17"/>
              <w:jc w:val="right"/>
              <w:rPr>
                <w:color w:val="000000"/>
                <w:sz w:val="24"/>
              </w:rPr>
            </w:pPr>
            <w:r w:rsidRPr="000E4C40">
              <w:rPr>
                <w:color w:val="000000"/>
                <w:sz w:val="24"/>
              </w:rPr>
              <w:t>67.32</w:t>
            </w:r>
          </w:p>
        </w:tc>
      </w:tr>
      <w:tr w:rsidR="00813897" w:rsidRPr="000E4C40" w:rsidTr="00F41AA6">
        <w:trPr>
          <w:jc w:val="center"/>
        </w:trPr>
        <w:tc>
          <w:tcPr>
            <w:tcW w:w="786" w:type="dxa"/>
            <w:vAlign w:val="center"/>
          </w:tcPr>
          <w:p w:rsidR="00813897" w:rsidRPr="000E4C40" w:rsidRDefault="00813897" w:rsidP="00855BA5">
            <w:pPr>
              <w:spacing w:before="29" w:line="288" w:lineRule="auto"/>
              <w:ind w:left="17"/>
              <w:jc w:val="center"/>
              <w:rPr>
                <w:color w:val="000000"/>
                <w:sz w:val="24"/>
              </w:rPr>
            </w:pPr>
            <w:r w:rsidRPr="000E4C40">
              <w:rPr>
                <w:color w:val="000000"/>
                <w:sz w:val="24"/>
              </w:rPr>
              <w:t>10</w:t>
            </w:r>
          </w:p>
        </w:tc>
        <w:tc>
          <w:tcPr>
            <w:tcW w:w="3096" w:type="dxa"/>
            <w:vAlign w:val="center"/>
          </w:tcPr>
          <w:p w:rsidR="00813897" w:rsidRPr="000E4C40" w:rsidRDefault="00813897" w:rsidP="00281564">
            <w:pPr>
              <w:spacing w:before="29" w:line="288" w:lineRule="auto"/>
              <w:ind w:left="17"/>
              <w:jc w:val="left"/>
              <w:rPr>
                <w:color w:val="000000"/>
                <w:sz w:val="24"/>
              </w:rPr>
            </w:pPr>
            <w:r w:rsidRPr="000E4C40">
              <w:rPr>
                <w:rFonts w:hAnsi="宋体"/>
                <w:color w:val="000000"/>
                <w:sz w:val="24"/>
              </w:rPr>
              <w:t>剩余存续期超过</w:t>
            </w:r>
            <w:r w:rsidRPr="000E4C40">
              <w:rPr>
                <w:color w:val="000000"/>
                <w:sz w:val="24"/>
              </w:rPr>
              <w:t>397</w:t>
            </w:r>
            <w:r w:rsidRPr="000E4C40">
              <w:rPr>
                <w:rFonts w:hAnsi="宋体"/>
                <w:color w:val="000000"/>
                <w:sz w:val="24"/>
              </w:rPr>
              <w:t>天的浮动利率债券</w:t>
            </w:r>
          </w:p>
        </w:tc>
        <w:tc>
          <w:tcPr>
            <w:tcW w:w="3097"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c>
          <w:tcPr>
            <w:tcW w:w="1889" w:type="dxa"/>
            <w:vAlign w:val="center"/>
          </w:tcPr>
          <w:p w:rsidR="00813897" w:rsidRPr="000E4C40" w:rsidRDefault="00813897" w:rsidP="00281564">
            <w:pPr>
              <w:spacing w:before="29" w:line="288" w:lineRule="auto"/>
              <w:ind w:left="17"/>
              <w:jc w:val="right"/>
              <w:rPr>
                <w:color w:val="000000"/>
                <w:sz w:val="24"/>
              </w:rPr>
            </w:pPr>
            <w:r w:rsidRPr="000E4C40">
              <w:rPr>
                <w:color w:val="000000"/>
                <w:sz w:val="24"/>
              </w:rPr>
              <w:t>-</w:t>
            </w:r>
          </w:p>
        </w:tc>
      </w:tr>
    </w:tbl>
    <w:p w:rsidR="007521F9" w:rsidRPr="000E4C40" w:rsidRDefault="007521F9" w:rsidP="00281564">
      <w:pPr>
        <w:spacing w:before="29" w:line="288" w:lineRule="auto"/>
        <w:rPr>
          <w:b/>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5.6</w:t>
      </w:r>
      <w:r w:rsidR="00902E3F" w:rsidRPr="000E4C40">
        <w:rPr>
          <w:rFonts w:hAnsi="宋体"/>
          <w:b/>
          <w:color w:val="000000"/>
          <w:kern w:val="0"/>
          <w:sz w:val="24"/>
        </w:rPr>
        <w:t>报告期末按摊余成本占基金资产净值比例大小排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的前十名债券投资明细</w:t>
      </w:r>
    </w:p>
    <w:tbl>
      <w:tblPr>
        <w:tblStyle w:val="aa"/>
        <w:tblW w:w="8868" w:type="dxa"/>
        <w:jc w:val="center"/>
        <w:tblCellMar>
          <w:top w:w="57" w:type="dxa"/>
          <w:bottom w:w="57" w:type="dxa"/>
        </w:tblCellMar>
        <w:tblLook w:val="04A0" w:firstRow="1" w:lastRow="0" w:firstColumn="1" w:lastColumn="0" w:noHBand="0" w:noVBand="1"/>
      </w:tblPr>
      <w:tblGrid>
        <w:gridCol w:w="853"/>
        <w:gridCol w:w="1279"/>
        <w:gridCol w:w="2130"/>
        <w:gridCol w:w="1208"/>
        <w:gridCol w:w="2061"/>
        <w:gridCol w:w="1337"/>
      </w:tblGrid>
      <w:tr w:rsidR="0044671E" w:rsidRPr="000E4C40" w:rsidTr="00B13F60">
        <w:trPr>
          <w:jc w:val="center"/>
        </w:trPr>
        <w:tc>
          <w:tcPr>
            <w:tcW w:w="1187"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序号</w:t>
            </w:r>
          </w:p>
        </w:tc>
        <w:tc>
          <w:tcPr>
            <w:tcW w:w="1274"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债券代码</w:t>
            </w:r>
          </w:p>
        </w:tc>
        <w:tc>
          <w:tcPr>
            <w:tcW w:w="1558"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债券名称</w:t>
            </w:r>
          </w:p>
        </w:tc>
        <w:tc>
          <w:tcPr>
            <w:tcW w:w="1235"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债券数量</w:t>
            </w:r>
          </w:p>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color w:val="000000"/>
                <w:kern w:val="0"/>
                <w:sz w:val="24"/>
              </w:rPr>
              <w:t>(</w:t>
            </w:r>
            <w:r w:rsidRPr="000E4C40">
              <w:rPr>
                <w:rFonts w:hAnsi="宋体"/>
                <w:color w:val="000000"/>
                <w:kern w:val="0"/>
                <w:sz w:val="24"/>
              </w:rPr>
              <w:t>张</w:t>
            </w:r>
            <w:r w:rsidRPr="000E4C40">
              <w:rPr>
                <w:color w:val="000000"/>
                <w:kern w:val="0"/>
                <w:sz w:val="24"/>
              </w:rPr>
              <w:t>)</w:t>
            </w:r>
          </w:p>
        </w:tc>
        <w:tc>
          <w:tcPr>
            <w:tcW w:w="2360"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摊余成本（元）</w:t>
            </w:r>
          </w:p>
        </w:tc>
        <w:tc>
          <w:tcPr>
            <w:tcW w:w="1673" w:type="dxa"/>
            <w:vAlign w:val="center"/>
          </w:tcPr>
          <w:p w:rsidR="00343648" w:rsidRPr="000E4C40" w:rsidRDefault="00343648"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占基金资产净值比例（％）</w:t>
            </w:r>
          </w:p>
        </w:tc>
      </w:tr>
      <w:tr w:rsidR="000B6423">
        <w:trPr>
          <w:jc w:val="center"/>
        </w:trPr>
        <w:tc>
          <w:tcPr>
            <w:tcW w:w="0" w:type="auto"/>
            <w:vAlign w:val="center"/>
          </w:tcPr>
          <w:p w:rsidR="000B6423" w:rsidRDefault="00C13119">
            <w:pPr>
              <w:jc w:val="center"/>
            </w:pPr>
            <w:r>
              <w:rPr>
                <w:color w:val="000000"/>
                <w:sz w:val="24"/>
              </w:rPr>
              <w:t>1</w:t>
            </w:r>
          </w:p>
        </w:tc>
        <w:tc>
          <w:tcPr>
            <w:tcW w:w="0" w:type="auto"/>
            <w:vAlign w:val="center"/>
          </w:tcPr>
          <w:p w:rsidR="000B6423" w:rsidRDefault="00C13119">
            <w:pPr>
              <w:jc w:val="center"/>
            </w:pPr>
            <w:r>
              <w:rPr>
                <w:color w:val="000000"/>
                <w:sz w:val="24"/>
              </w:rPr>
              <w:t>111719307</w:t>
            </w:r>
          </w:p>
        </w:tc>
        <w:tc>
          <w:tcPr>
            <w:tcW w:w="0" w:type="auto"/>
            <w:vAlign w:val="center"/>
          </w:tcPr>
          <w:p w:rsidR="000B6423" w:rsidRDefault="00C13119">
            <w:pPr>
              <w:jc w:val="center"/>
            </w:pPr>
            <w:r>
              <w:rPr>
                <w:color w:val="000000"/>
                <w:sz w:val="24"/>
              </w:rPr>
              <w:t>17</w:t>
            </w:r>
            <w:r>
              <w:rPr>
                <w:color w:val="000000"/>
                <w:sz w:val="24"/>
              </w:rPr>
              <w:t>恒丰银行</w:t>
            </w:r>
            <w:r>
              <w:rPr>
                <w:color w:val="000000"/>
                <w:sz w:val="24"/>
              </w:rPr>
              <w:t>CD307</w:t>
            </w:r>
          </w:p>
        </w:tc>
        <w:tc>
          <w:tcPr>
            <w:tcW w:w="0" w:type="auto"/>
            <w:vAlign w:val="center"/>
          </w:tcPr>
          <w:p w:rsidR="000B6423" w:rsidRDefault="00C13119">
            <w:pPr>
              <w:jc w:val="right"/>
            </w:pPr>
            <w:r>
              <w:rPr>
                <w:color w:val="000000"/>
                <w:sz w:val="24"/>
              </w:rPr>
              <w:t>5,000,000</w:t>
            </w:r>
          </w:p>
        </w:tc>
        <w:tc>
          <w:tcPr>
            <w:tcW w:w="0" w:type="auto"/>
            <w:vAlign w:val="center"/>
          </w:tcPr>
          <w:p w:rsidR="000B6423" w:rsidRDefault="00C13119">
            <w:pPr>
              <w:jc w:val="right"/>
            </w:pPr>
            <w:r>
              <w:rPr>
                <w:color w:val="000000"/>
                <w:sz w:val="24"/>
              </w:rPr>
              <w:t>494,848,943.09</w:t>
            </w:r>
          </w:p>
        </w:tc>
        <w:tc>
          <w:tcPr>
            <w:tcW w:w="0" w:type="auto"/>
            <w:vAlign w:val="center"/>
          </w:tcPr>
          <w:p w:rsidR="000B6423" w:rsidRDefault="00C13119">
            <w:pPr>
              <w:jc w:val="right"/>
            </w:pPr>
            <w:r>
              <w:rPr>
                <w:color w:val="000000"/>
                <w:sz w:val="24"/>
              </w:rPr>
              <w:t>3.11</w:t>
            </w:r>
          </w:p>
        </w:tc>
      </w:tr>
      <w:tr w:rsidR="000B6423">
        <w:trPr>
          <w:jc w:val="center"/>
        </w:trPr>
        <w:tc>
          <w:tcPr>
            <w:tcW w:w="0" w:type="auto"/>
            <w:vAlign w:val="center"/>
          </w:tcPr>
          <w:p w:rsidR="000B6423" w:rsidRDefault="00C13119">
            <w:pPr>
              <w:jc w:val="center"/>
            </w:pPr>
            <w:r>
              <w:rPr>
                <w:color w:val="000000"/>
                <w:sz w:val="24"/>
              </w:rPr>
              <w:t>2</w:t>
            </w:r>
          </w:p>
        </w:tc>
        <w:tc>
          <w:tcPr>
            <w:tcW w:w="0" w:type="auto"/>
            <w:vAlign w:val="center"/>
          </w:tcPr>
          <w:p w:rsidR="000B6423" w:rsidRDefault="00C13119">
            <w:pPr>
              <w:jc w:val="center"/>
            </w:pPr>
            <w:r>
              <w:rPr>
                <w:color w:val="000000"/>
                <w:sz w:val="24"/>
              </w:rPr>
              <w:t>111709484</w:t>
            </w:r>
          </w:p>
        </w:tc>
        <w:tc>
          <w:tcPr>
            <w:tcW w:w="0" w:type="auto"/>
            <w:vAlign w:val="center"/>
          </w:tcPr>
          <w:p w:rsidR="000B6423" w:rsidRDefault="00C13119">
            <w:pPr>
              <w:jc w:val="center"/>
            </w:pPr>
            <w:r>
              <w:rPr>
                <w:color w:val="000000"/>
                <w:sz w:val="24"/>
              </w:rPr>
              <w:t>17</w:t>
            </w:r>
            <w:r>
              <w:rPr>
                <w:color w:val="000000"/>
                <w:sz w:val="24"/>
              </w:rPr>
              <w:t>浦发银行</w:t>
            </w:r>
            <w:r>
              <w:rPr>
                <w:color w:val="000000"/>
                <w:sz w:val="24"/>
              </w:rPr>
              <w:t>CD484</w:t>
            </w:r>
          </w:p>
        </w:tc>
        <w:tc>
          <w:tcPr>
            <w:tcW w:w="0" w:type="auto"/>
            <w:vAlign w:val="center"/>
          </w:tcPr>
          <w:p w:rsidR="000B6423" w:rsidRDefault="00C13119">
            <w:pPr>
              <w:jc w:val="right"/>
            </w:pPr>
            <w:r>
              <w:rPr>
                <w:color w:val="000000"/>
                <w:sz w:val="24"/>
              </w:rPr>
              <w:t>3,000,000</w:t>
            </w:r>
          </w:p>
        </w:tc>
        <w:tc>
          <w:tcPr>
            <w:tcW w:w="0" w:type="auto"/>
            <w:vAlign w:val="center"/>
          </w:tcPr>
          <w:p w:rsidR="000B6423" w:rsidRDefault="00C13119">
            <w:pPr>
              <w:jc w:val="right"/>
            </w:pPr>
            <w:r>
              <w:rPr>
                <w:color w:val="000000"/>
                <w:sz w:val="24"/>
              </w:rPr>
              <w:t>297,486,096.05</w:t>
            </w:r>
          </w:p>
        </w:tc>
        <w:tc>
          <w:tcPr>
            <w:tcW w:w="0" w:type="auto"/>
            <w:vAlign w:val="center"/>
          </w:tcPr>
          <w:p w:rsidR="000B6423" w:rsidRDefault="00C13119">
            <w:pPr>
              <w:jc w:val="right"/>
            </w:pPr>
            <w:r>
              <w:rPr>
                <w:color w:val="000000"/>
                <w:sz w:val="24"/>
              </w:rPr>
              <w:t>1.87</w:t>
            </w:r>
          </w:p>
        </w:tc>
      </w:tr>
      <w:tr w:rsidR="000B6423">
        <w:trPr>
          <w:jc w:val="center"/>
        </w:trPr>
        <w:tc>
          <w:tcPr>
            <w:tcW w:w="0" w:type="auto"/>
            <w:vAlign w:val="center"/>
          </w:tcPr>
          <w:p w:rsidR="000B6423" w:rsidRDefault="00C13119">
            <w:pPr>
              <w:jc w:val="center"/>
            </w:pPr>
            <w:r>
              <w:rPr>
                <w:color w:val="000000"/>
                <w:sz w:val="24"/>
              </w:rPr>
              <w:t>3</w:t>
            </w:r>
          </w:p>
        </w:tc>
        <w:tc>
          <w:tcPr>
            <w:tcW w:w="0" w:type="auto"/>
            <w:vAlign w:val="center"/>
          </w:tcPr>
          <w:p w:rsidR="000B6423" w:rsidRDefault="00C13119">
            <w:pPr>
              <w:jc w:val="center"/>
            </w:pPr>
            <w:r>
              <w:rPr>
                <w:color w:val="000000"/>
                <w:sz w:val="24"/>
              </w:rPr>
              <w:t>111807034</w:t>
            </w:r>
          </w:p>
        </w:tc>
        <w:tc>
          <w:tcPr>
            <w:tcW w:w="0" w:type="auto"/>
            <w:vAlign w:val="center"/>
          </w:tcPr>
          <w:p w:rsidR="000B6423" w:rsidRDefault="00C13119">
            <w:pPr>
              <w:jc w:val="center"/>
            </w:pPr>
            <w:r>
              <w:rPr>
                <w:color w:val="000000"/>
                <w:sz w:val="24"/>
              </w:rPr>
              <w:t>18</w:t>
            </w:r>
            <w:r>
              <w:rPr>
                <w:color w:val="000000"/>
                <w:sz w:val="24"/>
              </w:rPr>
              <w:t>招商银行</w:t>
            </w:r>
            <w:r>
              <w:rPr>
                <w:color w:val="000000"/>
                <w:sz w:val="24"/>
              </w:rPr>
              <w:t>CD034</w:t>
            </w:r>
          </w:p>
        </w:tc>
        <w:tc>
          <w:tcPr>
            <w:tcW w:w="0" w:type="auto"/>
            <w:vAlign w:val="center"/>
          </w:tcPr>
          <w:p w:rsidR="000B6423" w:rsidRDefault="00C13119">
            <w:pPr>
              <w:jc w:val="right"/>
            </w:pPr>
            <w:r>
              <w:rPr>
                <w:color w:val="000000"/>
                <w:sz w:val="24"/>
              </w:rPr>
              <w:t>3,000,000</w:t>
            </w:r>
          </w:p>
        </w:tc>
        <w:tc>
          <w:tcPr>
            <w:tcW w:w="0" w:type="auto"/>
            <w:vAlign w:val="center"/>
          </w:tcPr>
          <w:p w:rsidR="000B6423" w:rsidRDefault="00C13119">
            <w:pPr>
              <w:jc w:val="right"/>
            </w:pPr>
            <w:r>
              <w:rPr>
                <w:color w:val="000000"/>
                <w:sz w:val="24"/>
              </w:rPr>
              <w:t>295,193,764.24</w:t>
            </w:r>
          </w:p>
        </w:tc>
        <w:tc>
          <w:tcPr>
            <w:tcW w:w="0" w:type="auto"/>
            <w:vAlign w:val="center"/>
          </w:tcPr>
          <w:p w:rsidR="000B6423" w:rsidRDefault="00C13119">
            <w:pPr>
              <w:jc w:val="right"/>
            </w:pPr>
            <w:r>
              <w:rPr>
                <w:color w:val="000000"/>
                <w:sz w:val="24"/>
              </w:rPr>
              <w:t>1.85</w:t>
            </w:r>
          </w:p>
        </w:tc>
      </w:tr>
      <w:tr w:rsidR="000B6423">
        <w:trPr>
          <w:jc w:val="center"/>
        </w:trPr>
        <w:tc>
          <w:tcPr>
            <w:tcW w:w="0" w:type="auto"/>
            <w:vAlign w:val="center"/>
          </w:tcPr>
          <w:p w:rsidR="000B6423" w:rsidRDefault="00C13119">
            <w:pPr>
              <w:jc w:val="center"/>
            </w:pPr>
            <w:r>
              <w:rPr>
                <w:color w:val="000000"/>
                <w:sz w:val="24"/>
              </w:rPr>
              <w:t>4</w:t>
            </w:r>
          </w:p>
        </w:tc>
        <w:tc>
          <w:tcPr>
            <w:tcW w:w="0" w:type="auto"/>
            <w:vAlign w:val="center"/>
          </w:tcPr>
          <w:p w:rsidR="000B6423" w:rsidRDefault="00C13119">
            <w:pPr>
              <w:jc w:val="center"/>
            </w:pPr>
            <w:r>
              <w:rPr>
                <w:color w:val="000000"/>
                <w:sz w:val="24"/>
              </w:rPr>
              <w:t>111891924</w:t>
            </w:r>
          </w:p>
        </w:tc>
        <w:tc>
          <w:tcPr>
            <w:tcW w:w="0" w:type="auto"/>
            <w:vAlign w:val="center"/>
          </w:tcPr>
          <w:p w:rsidR="000B6423" w:rsidRDefault="00C13119">
            <w:pPr>
              <w:jc w:val="center"/>
            </w:pPr>
            <w:r>
              <w:rPr>
                <w:color w:val="000000"/>
                <w:sz w:val="24"/>
              </w:rPr>
              <w:t>18</w:t>
            </w:r>
            <w:r>
              <w:rPr>
                <w:color w:val="000000"/>
                <w:sz w:val="24"/>
              </w:rPr>
              <w:t>宁波银行</w:t>
            </w:r>
            <w:r>
              <w:rPr>
                <w:color w:val="000000"/>
                <w:sz w:val="24"/>
              </w:rPr>
              <w:t>CD029</w:t>
            </w:r>
          </w:p>
        </w:tc>
        <w:tc>
          <w:tcPr>
            <w:tcW w:w="0" w:type="auto"/>
            <w:vAlign w:val="center"/>
          </w:tcPr>
          <w:p w:rsidR="000B6423" w:rsidRDefault="00C13119">
            <w:pPr>
              <w:jc w:val="right"/>
            </w:pPr>
            <w:r>
              <w:rPr>
                <w:color w:val="000000"/>
                <w:sz w:val="24"/>
              </w:rPr>
              <w:t>3,000,000</w:t>
            </w:r>
          </w:p>
        </w:tc>
        <w:tc>
          <w:tcPr>
            <w:tcW w:w="0" w:type="auto"/>
            <w:vAlign w:val="center"/>
          </w:tcPr>
          <w:p w:rsidR="000B6423" w:rsidRDefault="00C13119">
            <w:pPr>
              <w:jc w:val="right"/>
            </w:pPr>
            <w:r>
              <w:rPr>
                <w:color w:val="000000"/>
                <w:sz w:val="24"/>
              </w:rPr>
              <w:t>291,059,480.03</w:t>
            </w:r>
          </w:p>
        </w:tc>
        <w:tc>
          <w:tcPr>
            <w:tcW w:w="0" w:type="auto"/>
            <w:vAlign w:val="center"/>
          </w:tcPr>
          <w:p w:rsidR="000B6423" w:rsidRDefault="00C13119">
            <w:pPr>
              <w:jc w:val="right"/>
            </w:pPr>
            <w:r>
              <w:rPr>
                <w:color w:val="000000"/>
                <w:sz w:val="24"/>
              </w:rPr>
              <w:t>1.83</w:t>
            </w:r>
          </w:p>
        </w:tc>
      </w:tr>
      <w:tr w:rsidR="000B6423">
        <w:trPr>
          <w:jc w:val="center"/>
        </w:trPr>
        <w:tc>
          <w:tcPr>
            <w:tcW w:w="0" w:type="auto"/>
            <w:vAlign w:val="center"/>
          </w:tcPr>
          <w:p w:rsidR="000B6423" w:rsidRDefault="00C13119">
            <w:pPr>
              <w:jc w:val="center"/>
            </w:pPr>
            <w:r>
              <w:rPr>
                <w:color w:val="000000"/>
                <w:sz w:val="24"/>
              </w:rPr>
              <w:t>5</w:t>
            </w:r>
          </w:p>
        </w:tc>
        <w:tc>
          <w:tcPr>
            <w:tcW w:w="0" w:type="auto"/>
            <w:vAlign w:val="center"/>
          </w:tcPr>
          <w:p w:rsidR="000B6423" w:rsidRDefault="00C13119">
            <w:pPr>
              <w:jc w:val="center"/>
            </w:pPr>
            <w:r>
              <w:rPr>
                <w:color w:val="000000"/>
                <w:sz w:val="24"/>
              </w:rPr>
              <w:t>111894254</w:t>
            </w:r>
          </w:p>
        </w:tc>
        <w:tc>
          <w:tcPr>
            <w:tcW w:w="0" w:type="auto"/>
            <w:vAlign w:val="center"/>
          </w:tcPr>
          <w:p w:rsidR="000B6423" w:rsidRDefault="00C13119">
            <w:pPr>
              <w:jc w:val="center"/>
            </w:pPr>
            <w:r>
              <w:rPr>
                <w:color w:val="000000"/>
                <w:sz w:val="24"/>
              </w:rPr>
              <w:t>18</w:t>
            </w:r>
            <w:r>
              <w:rPr>
                <w:color w:val="000000"/>
                <w:sz w:val="24"/>
              </w:rPr>
              <w:t>合肥科技农村商行</w:t>
            </w:r>
            <w:r>
              <w:rPr>
                <w:color w:val="000000"/>
                <w:sz w:val="24"/>
              </w:rPr>
              <w:t>CD001</w:t>
            </w:r>
          </w:p>
        </w:tc>
        <w:tc>
          <w:tcPr>
            <w:tcW w:w="0" w:type="auto"/>
            <w:vAlign w:val="center"/>
          </w:tcPr>
          <w:p w:rsidR="000B6423" w:rsidRDefault="00C13119">
            <w:pPr>
              <w:jc w:val="right"/>
            </w:pPr>
            <w:r>
              <w:rPr>
                <w:color w:val="000000"/>
                <w:sz w:val="24"/>
              </w:rPr>
              <w:t>2,500,000</w:t>
            </w:r>
          </w:p>
        </w:tc>
        <w:tc>
          <w:tcPr>
            <w:tcW w:w="0" w:type="auto"/>
            <w:vAlign w:val="center"/>
          </w:tcPr>
          <w:p w:rsidR="000B6423" w:rsidRDefault="00C13119">
            <w:pPr>
              <w:jc w:val="right"/>
            </w:pPr>
            <w:r>
              <w:rPr>
                <w:color w:val="000000"/>
                <w:sz w:val="24"/>
              </w:rPr>
              <w:t>247,279,711.11</w:t>
            </w:r>
          </w:p>
        </w:tc>
        <w:tc>
          <w:tcPr>
            <w:tcW w:w="0" w:type="auto"/>
            <w:vAlign w:val="center"/>
          </w:tcPr>
          <w:p w:rsidR="000B6423" w:rsidRDefault="00C13119">
            <w:pPr>
              <w:jc w:val="right"/>
            </w:pPr>
            <w:r>
              <w:rPr>
                <w:color w:val="000000"/>
                <w:sz w:val="24"/>
              </w:rPr>
              <w:t>1.55</w:t>
            </w:r>
          </w:p>
        </w:tc>
      </w:tr>
      <w:tr w:rsidR="000B6423">
        <w:trPr>
          <w:jc w:val="center"/>
        </w:trPr>
        <w:tc>
          <w:tcPr>
            <w:tcW w:w="0" w:type="auto"/>
            <w:vAlign w:val="center"/>
          </w:tcPr>
          <w:p w:rsidR="000B6423" w:rsidRDefault="00C13119">
            <w:pPr>
              <w:jc w:val="center"/>
            </w:pPr>
            <w:r>
              <w:rPr>
                <w:color w:val="000000"/>
                <w:sz w:val="24"/>
              </w:rPr>
              <w:t>6</w:t>
            </w:r>
          </w:p>
        </w:tc>
        <w:tc>
          <w:tcPr>
            <w:tcW w:w="0" w:type="auto"/>
            <w:vAlign w:val="center"/>
          </w:tcPr>
          <w:p w:rsidR="000B6423" w:rsidRDefault="00C13119">
            <w:pPr>
              <w:jc w:val="center"/>
            </w:pPr>
            <w:r>
              <w:rPr>
                <w:color w:val="000000"/>
                <w:sz w:val="24"/>
              </w:rPr>
              <w:t>111809075</w:t>
            </w:r>
          </w:p>
        </w:tc>
        <w:tc>
          <w:tcPr>
            <w:tcW w:w="0" w:type="auto"/>
            <w:vAlign w:val="center"/>
          </w:tcPr>
          <w:p w:rsidR="000B6423" w:rsidRDefault="00C13119">
            <w:pPr>
              <w:jc w:val="center"/>
            </w:pPr>
            <w:r>
              <w:rPr>
                <w:color w:val="000000"/>
                <w:sz w:val="24"/>
              </w:rPr>
              <w:t>18</w:t>
            </w:r>
            <w:r>
              <w:rPr>
                <w:color w:val="000000"/>
                <w:sz w:val="24"/>
              </w:rPr>
              <w:t>浦发银行</w:t>
            </w:r>
            <w:r>
              <w:rPr>
                <w:color w:val="000000"/>
                <w:sz w:val="24"/>
              </w:rPr>
              <w:t>CD075</w:t>
            </w:r>
          </w:p>
        </w:tc>
        <w:tc>
          <w:tcPr>
            <w:tcW w:w="0" w:type="auto"/>
            <w:vAlign w:val="center"/>
          </w:tcPr>
          <w:p w:rsidR="000B6423" w:rsidRDefault="00C13119">
            <w:pPr>
              <w:jc w:val="right"/>
            </w:pPr>
            <w:r>
              <w:rPr>
                <w:color w:val="000000"/>
                <w:sz w:val="24"/>
              </w:rPr>
              <w:t>2,500,000</w:t>
            </w:r>
          </w:p>
        </w:tc>
        <w:tc>
          <w:tcPr>
            <w:tcW w:w="0" w:type="auto"/>
            <w:vAlign w:val="center"/>
          </w:tcPr>
          <w:p w:rsidR="000B6423" w:rsidRDefault="00C13119">
            <w:pPr>
              <w:jc w:val="right"/>
            </w:pPr>
            <w:r>
              <w:rPr>
                <w:color w:val="000000"/>
                <w:sz w:val="24"/>
              </w:rPr>
              <w:t>244,621,453.66</w:t>
            </w:r>
          </w:p>
        </w:tc>
        <w:tc>
          <w:tcPr>
            <w:tcW w:w="0" w:type="auto"/>
            <w:vAlign w:val="center"/>
          </w:tcPr>
          <w:p w:rsidR="000B6423" w:rsidRDefault="00C13119">
            <w:pPr>
              <w:jc w:val="right"/>
            </w:pPr>
            <w:r>
              <w:rPr>
                <w:color w:val="000000"/>
                <w:sz w:val="24"/>
              </w:rPr>
              <w:t>1.54</w:t>
            </w:r>
          </w:p>
        </w:tc>
      </w:tr>
      <w:tr w:rsidR="000B6423">
        <w:trPr>
          <w:jc w:val="center"/>
        </w:trPr>
        <w:tc>
          <w:tcPr>
            <w:tcW w:w="0" w:type="auto"/>
            <w:vAlign w:val="center"/>
          </w:tcPr>
          <w:p w:rsidR="000B6423" w:rsidRDefault="00C13119">
            <w:pPr>
              <w:jc w:val="center"/>
            </w:pPr>
            <w:r>
              <w:rPr>
                <w:color w:val="000000"/>
                <w:sz w:val="24"/>
              </w:rPr>
              <w:t>7</w:t>
            </w:r>
          </w:p>
        </w:tc>
        <w:tc>
          <w:tcPr>
            <w:tcW w:w="0" w:type="auto"/>
            <w:vAlign w:val="center"/>
          </w:tcPr>
          <w:p w:rsidR="000B6423" w:rsidRDefault="00C13119">
            <w:pPr>
              <w:jc w:val="center"/>
            </w:pPr>
            <w:r>
              <w:rPr>
                <w:color w:val="000000"/>
                <w:sz w:val="24"/>
              </w:rPr>
              <w:t>170413</w:t>
            </w:r>
          </w:p>
        </w:tc>
        <w:tc>
          <w:tcPr>
            <w:tcW w:w="0" w:type="auto"/>
            <w:vAlign w:val="center"/>
          </w:tcPr>
          <w:p w:rsidR="000B6423" w:rsidRDefault="00C13119">
            <w:pPr>
              <w:jc w:val="center"/>
            </w:pPr>
            <w:r>
              <w:rPr>
                <w:color w:val="000000"/>
                <w:sz w:val="24"/>
              </w:rPr>
              <w:t>17</w:t>
            </w:r>
            <w:r>
              <w:rPr>
                <w:color w:val="000000"/>
                <w:sz w:val="24"/>
              </w:rPr>
              <w:t>农发</w:t>
            </w:r>
            <w:r>
              <w:rPr>
                <w:color w:val="000000"/>
                <w:sz w:val="24"/>
              </w:rPr>
              <w:t>13</w:t>
            </w:r>
          </w:p>
        </w:tc>
        <w:tc>
          <w:tcPr>
            <w:tcW w:w="0" w:type="auto"/>
            <w:vAlign w:val="center"/>
          </w:tcPr>
          <w:p w:rsidR="000B6423" w:rsidRDefault="00C13119">
            <w:pPr>
              <w:jc w:val="right"/>
            </w:pPr>
            <w:r>
              <w:rPr>
                <w:color w:val="000000"/>
                <w:sz w:val="24"/>
              </w:rPr>
              <w:t>2,200,000</w:t>
            </w:r>
          </w:p>
        </w:tc>
        <w:tc>
          <w:tcPr>
            <w:tcW w:w="0" w:type="auto"/>
            <w:vAlign w:val="center"/>
          </w:tcPr>
          <w:p w:rsidR="000B6423" w:rsidRDefault="00C13119">
            <w:pPr>
              <w:jc w:val="right"/>
            </w:pPr>
            <w:r>
              <w:rPr>
                <w:color w:val="000000"/>
                <w:sz w:val="24"/>
              </w:rPr>
              <w:t>219,579,041.14</w:t>
            </w:r>
          </w:p>
        </w:tc>
        <w:tc>
          <w:tcPr>
            <w:tcW w:w="0" w:type="auto"/>
            <w:vAlign w:val="center"/>
          </w:tcPr>
          <w:p w:rsidR="000B6423" w:rsidRDefault="00C13119">
            <w:pPr>
              <w:jc w:val="right"/>
            </w:pPr>
            <w:r>
              <w:rPr>
                <w:color w:val="000000"/>
                <w:sz w:val="24"/>
              </w:rPr>
              <w:t>1.38</w:t>
            </w:r>
          </w:p>
        </w:tc>
      </w:tr>
      <w:tr w:rsidR="000B6423">
        <w:trPr>
          <w:jc w:val="center"/>
        </w:trPr>
        <w:tc>
          <w:tcPr>
            <w:tcW w:w="0" w:type="auto"/>
            <w:vAlign w:val="center"/>
          </w:tcPr>
          <w:p w:rsidR="000B6423" w:rsidRDefault="00C13119">
            <w:pPr>
              <w:jc w:val="center"/>
            </w:pPr>
            <w:r>
              <w:rPr>
                <w:color w:val="000000"/>
                <w:sz w:val="24"/>
              </w:rPr>
              <w:t>8</w:t>
            </w:r>
          </w:p>
        </w:tc>
        <w:tc>
          <w:tcPr>
            <w:tcW w:w="0" w:type="auto"/>
            <w:vAlign w:val="center"/>
          </w:tcPr>
          <w:p w:rsidR="000B6423" w:rsidRDefault="00C13119">
            <w:pPr>
              <w:jc w:val="center"/>
            </w:pPr>
            <w:r>
              <w:rPr>
                <w:color w:val="000000"/>
                <w:sz w:val="24"/>
              </w:rPr>
              <w:t>111893432</w:t>
            </w:r>
          </w:p>
        </w:tc>
        <w:tc>
          <w:tcPr>
            <w:tcW w:w="0" w:type="auto"/>
            <w:vAlign w:val="center"/>
          </w:tcPr>
          <w:p w:rsidR="000B6423" w:rsidRDefault="00C13119">
            <w:pPr>
              <w:jc w:val="center"/>
            </w:pPr>
            <w:r>
              <w:rPr>
                <w:color w:val="000000"/>
                <w:sz w:val="24"/>
              </w:rPr>
              <w:t>18</w:t>
            </w:r>
            <w:r>
              <w:rPr>
                <w:color w:val="000000"/>
                <w:sz w:val="24"/>
              </w:rPr>
              <w:t>承德银行</w:t>
            </w:r>
            <w:r>
              <w:rPr>
                <w:color w:val="000000"/>
                <w:sz w:val="24"/>
              </w:rPr>
              <w:t>CD012</w:t>
            </w:r>
          </w:p>
        </w:tc>
        <w:tc>
          <w:tcPr>
            <w:tcW w:w="0" w:type="auto"/>
            <w:vAlign w:val="center"/>
          </w:tcPr>
          <w:p w:rsidR="000B6423" w:rsidRDefault="00C13119">
            <w:pPr>
              <w:jc w:val="right"/>
            </w:pPr>
            <w:r>
              <w:rPr>
                <w:color w:val="000000"/>
                <w:sz w:val="24"/>
              </w:rPr>
              <w:t>2,000,000</w:t>
            </w:r>
          </w:p>
        </w:tc>
        <w:tc>
          <w:tcPr>
            <w:tcW w:w="0" w:type="auto"/>
            <w:vAlign w:val="center"/>
          </w:tcPr>
          <w:p w:rsidR="000B6423" w:rsidRDefault="00C13119">
            <w:pPr>
              <w:jc w:val="right"/>
            </w:pPr>
            <w:r>
              <w:rPr>
                <w:color w:val="000000"/>
                <w:sz w:val="24"/>
              </w:rPr>
              <w:t>198,056,972.06</w:t>
            </w:r>
          </w:p>
        </w:tc>
        <w:tc>
          <w:tcPr>
            <w:tcW w:w="0" w:type="auto"/>
            <w:vAlign w:val="center"/>
          </w:tcPr>
          <w:p w:rsidR="000B6423" w:rsidRDefault="00C13119">
            <w:pPr>
              <w:jc w:val="right"/>
            </w:pPr>
            <w:r>
              <w:rPr>
                <w:color w:val="000000"/>
                <w:sz w:val="24"/>
              </w:rPr>
              <w:t>1.24</w:t>
            </w:r>
          </w:p>
        </w:tc>
      </w:tr>
      <w:tr w:rsidR="000B6423">
        <w:trPr>
          <w:jc w:val="center"/>
        </w:trPr>
        <w:tc>
          <w:tcPr>
            <w:tcW w:w="0" w:type="auto"/>
            <w:vAlign w:val="center"/>
          </w:tcPr>
          <w:p w:rsidR="000B6423" w:rsidRDefault="00C13119">
            <w:pPr>
              <w:jc w:val="center"/>
            </w:pPr>
            <w:r>
              <w:rPr>
                <w:color w:val="000000"/>
                <w:sz w:val="24"/>
              </w:rPr>
              <w:t>9</w:t>
            </w:r>
          </w:p>
        </w:tc>
        <w:tc>
          <w:tcPr>
            <w:tcW w:w="0" w:type="auto"/>
            <w:vAlign w:val="center"/>
          </w:tcPr>
          <w:p w:rsidR="000B6423" w:rsidRDefault="00C13119">
            <w:pPr>
              <w:jc w:val="center"/>
            </w:pPr>
            <w:r>
              <w:rPr>
                <w:color w:val="000000"/>
                <w:sz w:val="24"/>
              </w:rPr>
              <w:t>111819119</w:t>
            </w:r>
          </w:p>
        </w:tc>
        <w:tc>
          <w:tcPr>
            <w:tcW w:w="0" w:type="auto"/>
            <w:vAlign w:val="center"/>
          </w:tcPr>
          <w:p w:rsidR="000B6423" w:rsidRDefault="00C13119">
            <w:pPr>
              <w:jc w:val="center"/>
            </w:pPr>
            <w:r>
              <w:rPr>
                <w:color w:val="000000"/>
                <w:sz w:val="24"/>
              </w:rPr>
              <w:t>18</w:t>
            </w:r>
            <w:r>
              <w:rPr>
                <w:color w:val="000000"/>
                <w:sz w:val="24"/>
              </w:rPr>
              <w:t>恒丰银行</w:t>
            </w:r>
            <w:r>
              <w:rPr>
                <w:color w:val="000000"/>
                <w:sz w:val="24"/>
              </w:rPr>
              <w:t>CD119</w:t>
            </w:r>
          </w:p>
        </w:tc>
        <w:tc>
          <w:tcPr>
            <w:tcW w:w="0" w:type="auto"/>
            <w:vAlign w:val="center"/>
          </w:tcPr>
          <w:p w:rsidR="000B6423" w:rsidRDefault="00C13119">
            <w:pPr>
              <w:jc w:val="right"/>
            </w:pPr>
            <w:r>
              <w:rPr>
                <w:color w:val="000000"/>
                <w:sz w:val="24"/>
              </w:rPr>
              <w:t>2,000,000</w:t>
            </w:r>
          </w:p>
        </w:tc>
        <w:tc>
          <w:tcPr>
            <w:tcW w:w="0" w:type="auto"/>
            <w:vAlign w:val="center"/>
          </w:tcPr>
          <w:p w:rsidR="000B6423" w:rsidRDefault="00C13119">
            <w:pPr>
              <w:jc w:val="right"/>
            </w:pPr>
            <w:r>
              <w:rPr>
                <w:color w:val="000000"/>
                <w:sz w:val="24"/>
              </w:rPr>
              <w:t>197,941,684.62</w:t>
            </w:r>
          </w:p>
        </w:tc>
        <w:tc>
          <w:tcPr>
            <w:tcW w:w="0" w:type="auto"/>
            <w:vAlign w:val="center"/>
          </w:tcPr>
          <w:p w:rsidR="000B6423" w:rsidRDefault="00C13119">
            <w:pPr>
              <w:jc w:val="right"/>
            </w:pPr>
            <w:r>
              <w:rPr>
                <w:color w:val="000000"/>
                <w:sz w:val="24"/>
              </w:rPr>
              <w:t>1.24</w:t>
            </w:r>
          </w:p>
        </w:tc>
      </w:tr>
      <w:tr w:rsidR="000B6423">
        <w:trPr>
          <w:jc w:val="center"/>
        </w:trPr>
        <w:tc>
          <w:tcPr>
            <w:tcW w:w="0" w:type="auto"/>
            <w:vAlign w:val="center"/>
          </w:tcPr>
          <w:p w:rsidR="000B6423" w:rsidRDefault="00C13119">
            <w:pPr>
              <w:jc w:val="center"/>
            </w:pPr>
            <w:r>
              <w:rPr>
                <w:color w:val="000000"/>
                <w:sz w:val="24"/>
              </w:rPr>
              <w:t>10</w:t>
            </w:r>
          </w:p>
        </w:tc>
        <w:tc>
          <w:tcPr>
            <w:tcW w:w="0" w:type="auto"/>
            <w:vAlign w:val="center"/>
          </w:tcPr>
          <w:p w:rsidR="000B6423" w:rsidRDefault="00C13119">
            <w:pPr>
              <w:jc w:val="center"/>
            </w:pPr>
            <w:r>
              <w:rPr>
                <w:color w:val="000000"/>
                <w:sz w:val="24"/>
              </w:rPr>
              <w:t>111894130</w:t>
            </w:r>
          </w:p>
        </w:tc>
        <w:tc>
          <w:tcPr>
            <w:tcW w:w="0" w:type="auto"/>
            <w:vAlign w:val="center"/>
          </w:tcPr>
          <w:p w:rsidR="000B6423" w:rsidRDefault="00C13119">
            <w:pPr>
              <w:jc w:val="center"/>
            </w:pPr>
            <w:r>
              <w:rPr>
                <w:color w:val="000000"/>
                <w:sz w:val="24"/>
              </w:rPr>
              <w:t>18</w:t>
            </w:r>
            <w:r>
              <w:rPr>
                <w:color w:val="000000"/>
                <w:sz w:val="24"/>
              </w:rPr>
              <w:t>盛京银行</w:t>
            </w:r>
            <w:r>
              <w:rPr>
                <w:color w:val="000000"/>
                <w:sz w:val="24"/>
              </w:rPr>
              <w:t>CD115</w:t>
            </w:r>
          </w:p>
        </w:tc>
        <w:tc>
          <w:tcPr>
            <w:tcW w:w="0" w:type="auto"/>
            <w:vAlign w:val="center"/>
          </w:tcPr>
          <w:p w:rsidR="000B6423" w:rsidRDefault="00C13119">
            <w:pPr>
              <w:jc w:val="right"/>
            </w:pPr>
            <w:r>
              <w:rPr>
                <w:color w:val="000000"/>
                <w:sz w:val="24"/>
              </w:rPr>
              <w:t>2,000,000</w:t>
            </w:r>
          </w:p>
        </w:tc>
        <w:tc>
          <w:tcPr>
            <w:tcW w:w="0" w:type="auto"/>
            <w:vAlign w:val="center"/>
          </w:tcPr>
          <w:p w:rsidR="000B6423" w:rsidRDefault="00C13119">
            <w:pPr>
              <w:jc w:val="right"/>
            </w:pPr>
            <w:r>
              <w:rPr>
                <w:color w:val="000000"/>
                <w:sz w:val="24"/>
              </w:rPr>
              <w:t>197,919,415.38</w:t>
            </w:r>
          </w:p>
        </w:tc>
        <w:tc>
          <w:tcPr>
            <w:tcW w:w="0" w:type="auto"/>
            <w:vAlign w:val="center"/>
          </w:tcPr>
          <w:p w:rsidR="000B6423" w:rsidRDefault="00C13119">
            <w:pPr>
              <w:jc w:val="right"/>
            </w:pPr>
            <w:r>
              <w:rPr>
                <w:color w:val="000000"/>
                <w:sz w:val="24"/>
              </w:rPr>
              <w:t>1.24</w:t>
            </w:r>
          </w:p>
        </w:tc>
      </w:tr>
    </w:tbl>
    <w:p w:rsidR="00902E3F" w:rsidRPr="000E4C40" w:rsidRDefault="00902E3F"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5.7</w:t>
      </w:r>
      <w:r w:rsidR="00902E3F" w:rsidRPr="000E4C40">
        <w:rPr>
          <w:b/>
          <w:color w:val="000000"/>
          <w:kern w:val="0"/>
          <w:sz w:val="24"/>
        </w:rPr>
        <w:t>“</w:t>
      </w:r>
      <w:r w:rsidR="00902E3F" w:rsidRPr="000E4C40">
        <w:rPr>
          <w:rFonts w:hAnsi="宋体"/>
          <w:b/>
          <w:color w:val="000000"/>
          <w:kern w:val="0"/>
          <w:sz w:val="24"/>
        </w:rPr>
        <w:t>影子定价</w:t>
      </w:r>
      <w:r w:rsidR="00902E3F" w:rsidRPr="000E4C40">
        <w:rPr>
          <w:b/>
          <w:color w:val="000000"/>
          <w:kern w:val="0"/>
          <w:sz w:val="24"/>
        </w:rPr>
        <w:t>”</w:t>
      </w:r>
      <w:r w:rsidR="00902E3F" w:rsidRPr="000E4C40">
        <w:rPr>
          <w:rFonts w:hAnsi="宋体"/>
          <w:b/>
          <w:color w:val="000000"/>
          <w:kern w:val="0"/>
          <w:sz w:val="24"/>
        </w:rPr>
        <w:t>与</w:t>
      </w:r>
      <w:r w:rsidR="00902E3F" w:rsidRPr="000E4C40">
        <w:rPr>
          <w:b/>
          <w:color w:val="000000"/>
          <w:kern w:val="0"/>
          <w:sz w:val="24"/>
        </w:rPr>
        <w:t>“</w:t>
      </w:r>
      <w:r w:rsidR="00902E3F" w:rsidRPr="000E4C40">
        <w:rPr>
          <w:rFonts w:hAnsi="宋体"/>
          <w:b/>
          <w:color w:val="000000"/>
          <w:kern w:val="0"/>
          <w:sz w:val="24"/>
        </w:rPr>
        <w:t>摊余成本法</w:t>
      </w:r>
      <w:r w:rsidR="00902E3F" w:rsidRPr="000E4C40">
        <w:rPr>
          <w:b/>
          <w:color w:val="000000"/>
          <w:kern w:val="0"/>
          <w:sz w:val="24"/>
        </w:rPr>
        <w:t>”</w:t>
      </w:r>
      <w:r w:rsidR="00902E3F" w:rsidRPr="000E4C40">
        <w:rPr>
          <w:rFonts w:hAnsi="宋体"/>
          <w:b/>
          <w:color w:val="000000"/>
          <w:kern w:val="0"/>
          <w:sz w:val="24"/>
        </w:rPr>
        <w:t>确定的基金资产净值的偏离</w:t>
      </w:r>
    </w:p>
    <w:tbl>
      <w:tblPr>
        <w:tblW w:w="8868" w:type="dxa"/>
        <w:jc w:val="center"/>
        <w:tblLayout w:type="fixed"/>
        <w:tblLook w:val="0000" w:firstRow="0" w:lastRow="0" w:firstColumn="0" w:lastColumn="0" w:noHBand="0" w:noVBand="0"/>
      </w:tblPr>
      <w:tblGrid>
        <w:gridCol w:w="5604"/>
        <w:gridCol w:w="3264"/>
      </w:tblGrid>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偏离情况</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报告期内偏离度的绝对值在</w:t>
            </w:r>
            <w:r w:rsidRPr="000E4C40">
              <w:rPr>
                <w:color w:val="000000"/>
                <w:kern w:val="0"/>
                <w:sz w:val="24"/>
              </w:rPr>
              <w:t>0.25(</w:t>
            </w:r>
            <w:r w:rsidRPr="000E4C40">
              <w:rPr>
                <w:rFonts w:hAnsi="宋体"/>
                <w:color w:val="000000"/>
                <w:kern w:val="0"/>
                <w:sz w:val="24"/>
              </w:rPr>
              <w:t>含</w:t>
            </w:r>
            <w:r w:rsidRPr="000E4C40">
              <w:rPr>
                <w:color w:val="000000"/>
                <w:kern w:val="0"/>
                <w:sz w:val="24"/>
              </w:rPr>
              <w:t>)-0.5%</w:t>
            </w:r>
            <w:r w:rsidRPr="000E4C40">
              <w:rPr>
                <w:rFonts w:hAnsi="宋体"/>
                <w:color w:val="000000"/>
                <w:kern w:val="0"/>
                <w:sz w:val="24"/>
              </w:rPr>
              <w:t>间的次数</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w:t>
            </w:r>
            <w:r w:rsidR="006D4647" w:rsidRPr="000E4C40">
              <w:rPr>
                <w:rFonts w:hAnsi="宋体"/>
                <w:color w:val="000000"/>
                <w:sz w:val="24"/>
              </w:rPr>
              <w:t>次</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报告期内偏离度的最高值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0.1290%</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报告期内偏离度的最低值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0.0088%</w:t>
            </w:r>
          </w:p>
        </w:tc>
      </w:tr>
      <w:tr w:rsidR="00E76F1F" w:rsidRPr="000E4C40" w:rsidTr="00C1039C">
        <w:trPr>
          <w:jc w:val="center"/>
        </w:trPr>
        <w:tc>
          <w:tcPr>
            <w:tcW w:w="581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报告期内每个交易日偏离度的绝对值的简单平均值</w:t>
            </w:r>
          </w:p>
        </w:tc>
        <w:tc>
          <w:tcPr>
            <w:tcW w:w="3382" w:type="dxa"/>
            <w:tcBorders>
              <w:top w:val="single" w:sz="8" w:space="0" w:color="000000"/>
              <w:left w:val="single" w:sz="8" w:space="0" w:color="000000"/>
              <w:bottom w:val="single" w:sz="8" w:space="0" w:color="000000"/>
              <w:right w:val="single" w:sz="8" w:space="0" w:color="000000"/>
            </w:tcBorders>
            <w:vAlign w:val="center"/>
          </w:tcPr>
          <w:p w:rsidR="00E76F1F" w:rsidRPr="000E4C40" w:rsidRDefault="00E76F1F" w:rsidP="00281564">
            <w:pPr>
              <w:spacing w:before="29" w:line="288" w:lineRule="auto"/>
              <w:jc w:val="right"/>
              <w:rPr>
                <w:sz w:val="24"/>
              </w:rPr>
            </w:pPr>
            <w:r w:rsidRPr="000E4C40">
              <w:rPr>
                <w:color w:val="000000"/>
                <w:sz w:val="24"/>
              </w:rPr>
              <w:t>0.0347%</w:t>
            </w:r>
          </w:p>
        </w:tc>
      </w:tr>
    </w:tbl>
    <w:p w:rsidR="00BE5584" w:rsidRDefault="00BE5584" w:rsidP="00281564">
      <w:pPr>
        <w:autoSpaceDE w:val="0"/>
        <w:autoSpaceDN w:val="0"/>
        <w:adjustRightInd w:val="0"/>
        <w:spacing w:before="29" w:line="288" w:lineRule="auto"/>
        <w:jc w:val="left"/>
        <w:rPr>
          <w:color w:val="000000"/>
          <w:kern w:val="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报告期内负偏离度的绝对值达到0.25%情况说明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本基金本报告期内未存在负偏离度的绝对值达到</w:t>
      </w:r>
      <w:r w:rsidRPr="002304D5">
        <w:rPr>
          <w:color w:val="000000"/>
          <w:sz w:val="24"/>
        </w:rPr>
        <w:t>0.25%</w:t>
      </w:r>
      <w:r w:rsidRPr="002304D5">
        <w:rPr>
          <w:color w:val="000000"/>
          <w:sz w:val="24"/>
        </w:rPr>
        <w:t>情况。</w:t>
      </w:r>
    </w:p>
    <w:p w:rsidR="002304D5" w:rsidRPr="002304D5" w:rsidRDefault="002304D5" w:rsidP="002304D5">
      <w:pPr>
        <w:autoSpaceDE w:val="0"/>
        <w:autoSpaceDN w:val="0"/>
        <w:adjustRightInd w:val="0"/>
        <w:spacing w:line="360" w:lineRule="auto"/>
        <w:jc w:val="left"/>
        <w:rPr>
          <w:rFonts w:ascii="宋体" w:hAnsi="宋体"/>
          <w:color w:val="000000"/>
          <w:sz w:val="24"/>
        </w:rPr>
      </w:pPr>
    </w:p>
    <w:p w:rsidR="002304D5" w:rsidRPr="002304D5" w:rsidRDefault="002304D5" w:rsidP="002304D5">
      <w:pPr>
        <w:spacing w:line="360" w:lineRule="auto"/>
        <w:rPr>
          <w:rFonts w:ascii="宋体" w:hAnsi="宋体" w:cs="Arial"/>
          <w:b/>
          <w:bCs/>
          <w:color w:val="000000"/>
          <w:kern w:val="0"/>
          <w:sz w:val="24"/>
        </w:rPr>
      </w:pPr>
      <w:r w:rsidRPr="002304D5">
        <w:rPr>
          <w:rFonts w:ascii="宋体" w:hAnsi="宋体" w:hint="eastAsia"/>
          <w:b/>
          <w:bCs/>
          <w:color w:val="000000"/>
          <w:sz w:val="24"/>
        </w:rPr>
        <w:t>报告期内正偏离度的绝对值达到0.5%情况说明</w:t>
      </w:r>
    </w:p>
    <w:p w:rsidR="002304D5" w:rsidRPr="002304D5" w:rsidRDefault="002304D5" w:rsidP="002304D5">
      <w:pPr>
        <w:autoSpaceDE w:val="0"/>
        <w:autoSpaceDN w:val="0"/>
        <w:adjustRightInd w:val="0"/>
        <w:spacing w:line="360" w:lineRule="auto"/>
        <w:jc w:val="left"/>
        <w:rPr>
          <w:color w:val="000000"/>
          <w:sz w:val="24"/>
        </w:rPr>
      </w:pPr>
      <w:r w:rsidRPr="002304D5">
        <w:rPr>
          <w:color w:val="000000"/>
          <w:sz w:val="24"/>
        </w:rPr>
        <w:t>本基金本报告期内未存在正偏离度的绝对值达到</w:t>
      </w:r>
      <w:r w:rsidRPr="002304D5">
        <w:rPr>
          <w:color w:val="000000"/>
          <w:sz w:val="24"/>
        </w:rPr>
        <w:t>0.5%</w:t>
      </w:r>
      <w:r w:rsidRPr="002304D5">
        <w:rPr>
          <w:color w:val="000000"/>
          <w:sz w:val="24"/>
        </w:rPr>
        <w:t>情况。</w:t>
      </w:r>
    </w:p>
    <w:p w:rsidR="002304D5" w:rsidRPr="002304D5" w:rsidRDefault="002304D5"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5.8</w:t>
      </w:r>
      <w:r w:rsidR="00902E3F" w:rsidRPr="000E4C40">
        <w:rPr>
          <w:rFonts w:hAnsi="宋体"/>
          <w:b/>
          <w:color w:val="000000"/>
          <w:kern w:val="0"/>
          <w:sz w:val="24"/>
        </w:rPr>
        <w:t>报告期末按公允价值占基金资产净值比例大小排</w:t>
      </w:r>
      <w:r w:rsidR="00985C3A" w:rsidRPr="000E4C40">
        <w:rPr>
          <w:rFonts w:hAnsi="宋体"/>
          <w:b/>
          <w:color w:val="000000"/>
          <w:kern w:val="0"/>
          <w:sz w:val="24"/>
        </w:rPr>
        <w:t>序</w:t>
      </w:r>
      <w:r w:rsidR="00902E3F" w:rsidRPr="000E4C40">
        <w:rPr>
          <w:rFonts w:hAnsi="宋体"/>
          <w:b/>
          <w:color w:val="000000"/>
          <w:kern w:val="0"/>
          <w:sz w:val="24"/>
        </w:rPr>
        <w:t>的前十名资产支持证券投资明细</w:t>
      </w:r>
    </w:p>
    <w:p w:rsidR="00902E3F" w:rsidRPr="000E4C40" w:rsidRDefault="00835BDD" w:rsidP="00281564">
      <w:pPr>
        <w:autoSpaceDE w:val="0"/>
        <w:autoSpaceDN w:val="0"/>
        <w:adjustRightInd w:val="0"/>
        <w:spacing w:before="29" w:line="288" w:lineRule="auto"/>
        <w:jc w:val="left"/>
        <w:rPr>
          <w:color w:val="000000"/>
          <w:sz w:val="24"/>
        </w:rPr>
      </w:pPr>
      <w:r w:rsidRPr="000E4C40">
        <w:rPr>
          <w:color w:val="000000"/>
          <w:sz w:val="24"/>
        </w:rPr>
        <w:t>本基金本报告期末未持有资产支持证券。</w:t>
      </w:r>
    </w:p>
    <w:p w:rsidR="00D40363" w:rsidRPr="000E4C40" w:rsidRDefault="00D40363" w:rsidP="00281564">
      <w:pPr>
        <w:autoSpaceDE w:val="0"/>
        <w:autoSpaceDN w:val="0"/>
        <w:adjustRightInd w:val="0"/>
        <w:spacing w:before="29" w:line="288" w:lineRule="auto"/>
        <w:jc w:val="left"/>
        <w:rPr>
          <w:color w:val="000000"/>
          <w:kern w:val="0"/>
          <w:sz w:val="24"/>
        </w:rPr>
      </w:pPr>
    </w:p>
    <w:p w:rsidR="00902E3F" w:rsidRPr="000E4C40" w:rsidRDefault="002304D5" w:rsidP="00281564">
      <w:pPr>
        <w:spacing w:before="29" w:line="288" w:lineRule="auto"/>
        <w:rPr>
          <w:b/>
          <w:color w:val="000000"/>
          <w:kern w:val="0"/>
          <w:sz w:val="24"/>
        </w:rPr>
      </w:pPr>
      <w:r>
        <w:rPr>
          <w:b/>
          <w:color w:val="000000"/>
          <w:kern w:val="0"/>
          <w:sz w:val="24"/>
        </w:rPr>
        <w:t>5.9</w:t>
      </w:r>
      <w:r w:rsidR="00902E3F" w:rsidRPr="000E4C40">
        <w:rPr>
          <w:rFonts w:hAnsi="宋体"/>
          <w:b/>
          <w:color w:val="000000"/>
          <w:kern w:val="0"/>
          <w:sz w:val="24"/>
        </w:rPr>
        <w:t>投资组合报告附注</w:t>
      </w:r>
    </w:p>
    <w:p w:rsidR="009D74FC" w:rsidRPr="000E4C40" w:rsidRDefault="002304D5" w:rsidP="00281564">
      <w:pPr>
        <w:spacing w:before="29" w:line="288" w:lineRule="auto"/>
        <w:rPr>
          <w:sz w:val="24"/>
        </w:rPr>
      </w:pPr>
      <w:r>
        <w:rPr>
          <w:sz w:val="24"/>
        </w:rPr>
        <w:t>5.9</w:t>
      </w:r>
      <w:r w:rsidR="00902E3F" w:rsidRPr="000E4C40">
        <w:rPr>
          <w:sz w:val="24"/>
        </w:rPr>
        <w:t>.1</w:t>
      </w:r>
      <w:r w:rsidR="009D74FC" w:rsidRPr="000E4C40">
        <w:rPr>
          <w:rFonts w:hAnsi="宋体"/>
          <w:sz w:val="24"/>
        </w:rPr>
        <w:t>基金计价方法说明</w:t>
      </w:r>
    </w:p>
    <w:p w:rsidR="00D40363" w:rsidRPr="000E4C40" w:rsidRDefault="00D40363" w:rsidP="00930856">
      <w:pPr>
        <w:spacing w:before="29" w:line="288" w:lineRule="auto"/>
        <w:rPr>
          <w:color w:val="000000"/>
          <w:sz w:val="24"/>
        </w:rPr>
      </w:pPr>
      <w:r w:rsidRPr="000E4C40">
        <w:rPr>
          <w:color w:val="000000"/>
          <w:sz w:val="24"/>
        </w:rPr>
        <w:t>本基金采用摊余成本法计价，即计价对象以买入成本列示，按票面利率或商定利率并考虑其买入时的溢价与折价，在其剩余期限内按照实际利率和摊余成本逐日摊销计算损益。</w:t>
      </w:r>
    </w:p>
    <w:p w:rsidR="009652D9" w:rsidRPr="009652D9" w:rsidRDefault="002304D5" w:rsidP="009652D9">
      <w:pPr>
        <w:adjustRightInd w:val="0"/>
        <w:spacing w:before="29" w:line="288" w:lineRule="auto"/>
        <w:ind w:left="17"/>
        <w:rPr>
          <w:color w:val="000000"/>
          <w:sz w:val="24"/>
        </w:rPr>
      </w:pPr>
      <w:r>
        <w:rPr>
          <w:bCs/>
          <w:sz w:val="24"/>
        </w:rPr>
        <w:t>5.9</w:t>
      </w:r>
      <w:r w:rsidR="00EB25E4" w:rsidRPr="000E4C40">
        <w:rPr>
          <w:bCs/>
          <w:sz w:val="24"/>
        </w:rPr>
        <w:t>.</w:t>
      </w:r>
      <w:r>
        <w:rPr>
          <w:bCs/>
          <w:sz w:val="24"/>
        </w:rPr>
        <w:t>2</w:t>
      </w:r>
      <w:r w:rsidR="009652D9" w:rsidRPr="009652D9">
        <w:rPr>
          <w:rFonts w:hint="eastAsia"/>
          <w:color w:val="000000"/>
          <w:sz w:val="24"/>
        </w:rPr>
        <w:t>报告期内本基金投资的前十名证券的发行主体除</w:t>
      </w:r>
      <w:r w:rsidR="009652D9" w:rsidRPr="009652D9">
        <w:rPr>
          <w:rFonts w:hint="eastAsia"/>
          <w:color w:val="000000"/>
          <w:sz w:val="24"/>
        </w:rPr>
        <w:t>17</w:t>
      </w:r>
      <w:r w:rsidR="009652D9" w:rsidRPr="009652D9">
        <w:rPr>
          <w:rFonts w:hint="eastAsia"/>
          <w:color w:val="000000"/>
          <w:sz w:val="24"/>
        </w:rPr>
        <w:t>浦发银行</w:t>
      </w:r>
      <w:r w:rsidR="009652D9" w:rsidRPr="009652D9">
        <w:rPr>
          <w:rFonts w:hint="eastAsia"/>
          <w:color w:val="000000"/>
          <w:sz w:val="24"/>
        </w:rPr>
        <w:t>CD484</w:t>
      </w:r>
      <w:r w:rsidR="009652D9" w:rsidRPr="009652D9">
        <w:rPr>
          <w:rFonts w:hint="eastAsia"/>
          <w:color w:val="000000"/>
          <w:sz w:val="24"/>
        </w:rPr>
        <w:t>（证券代码：</w:t>
      </w:r>
      <w:r w:rsidR="009652D9" w:rsidRPr="009652D9">
        <w:rPr>
          <w:rFonts w:hint="eastAsia"/>
          <w:color w:val="000000"/>
          <w:sz w:val="24"/>
        </w:rPr>
        <w:t>111709484</w:t>
      </w:r>
      <w:r w:rsidR="009652D9" w:rsidRPr="009652D9">
        <w:rPr>
          <w:rFonts w:hint="eastAsia"/>
          <w:color w:val="000000"/>
          <w:sz w:val="24"/>
        </w:rPr>
        <w:t>）、</w:t>
      </w:r>
      <w:r w:rsidR="009652D9" w:rsidRPr="009652D9">
        <w:rPr>
          <w:rFonts w:hint="eastAsia"/>
          <w:color w:val="000000"/>
          <w:sz w:val="24"/>
        </w:rPr>
        <w:t>18</w:t>
      </w:r>
      <w:r w:rsidR="009652D9" w:rsidRPr="009652D9">
        <w:rPr>
          <w:rFonts w:hint="eastAsia"/>
          <w:color w:val="000000"/>
          <w:sz w:val="24"/>
        </w:rPr>
        <w:t>浦发银行</w:t>
      </w:r>
      <w:r w:rsidR="009652D9" w:rsidRPr="009652D9">
        <w:rPr>
          <w:rFonts w:hint="eastAsia"/>
          <w:color w:val="000000"/>
          <w:sz w:val="24"/>
        </w:rPr>
        <w:t>CD075</w:t>
      </w:r>
      <w:r w:rsidR="009652D9" w:rsidRPr="009652D9">
        <w:rPr>
          <w:rFonts w:hint="eastAsia"/>
          <w:color w:val="000000"/>
          <w:sz w:val="24"/>
        </w:rPr>
        <w:t>（证券代码：</w:t>
      </w:r>
      <w:r w:rsidR="009652D9" w:rsidRPr="009652D9">
        <w:rPr>
          <w:rFonts w:hint="eastAsia"/>
          <w:color w:val="000000"/>
          <w:sz w:val="24"/>
        </w:rPr>
        <w:t>111809075</w:t>
      </w:r>
      <w:r w:rsidR="009652D9" w:rsidRPr="009652D9">
        <w:rPr>
          <w:rFonts w:hint="eastAsia"/>
          <w:color w:val="000000"/>
          <w:sz w:val="24"/>
        </w:rPr>
        <w:t>）外，未出现被监管部门立案调查，或在报告编制日前一年内受到公开谴责、处罚的情形。</w:t>
      </w:r>
    </w:p>
    <w:p w:rsidR="009652D9" w:rsidRPr="009652D9" w:rsidRDefault="009652D9" w:rsidP="009652D9">
      <w:pPr>
        <w:adjustRightInd w:val="0"/>
        <w:spacing w:before="29" w:line="288" w:lineRule="auto"/>
        <w:ind w:left="17"/>
        <w:rPr>
          <w:color w:val="000000"/>
          <w:sz w:val="24"/>
        </w:rPr>
      </w:pPr>
      <w:r w:rsidRPr="009652D9">
        <w:rPr>
          <w:rFonts w:hint="eastAsia"/>
          <w:color w:val="000000"/>
          <w:sz w:val="24"/>
        </w:rPr>
        <w:t>报告期内本基金投资的前十名证券之一</w:t>
      </w:r>
      <w:r w:rsidRPr="009652D9">
        <w:rPr>
          <w:rFonts w:hint="eastAsia"/>
          <w:color w:val="000000"/>
          <w:sz w:val="24"/>
        </w:rPr>
        <w:t>17</w:t>
      </w:r>
      <w:r w:rsidRPr="009652D9">
        <w:rPr>
          <w:rFonts w:hint="eastAsia"/>
          <w:color w:val="000000"/>
          <w:sz w:val="24"/>
        </w:rPr>
        <w:t>浦发银行</w:t>
      </w:r>
      <w:r w:rsidRPr="009652D9">
        <w:rPr>
          <w:rFonts w:hint="eastAsia"/>
          <w:color w:val="000000"/>
          <w:sz w:val="24"/>
        </w:rPr>
        <w:t>CD484</w:t>
      </w:r>
      <w:r w:rsidRPr="009652D9">
        <w:rPr>
          <w:rFonts w:hint="eastAsia"/>
          <w:color w:val="000000"/>
          <w:sz w:val="24"/>
        </w:rPr>
        <w:t>（证券代码：</w:t>
      </w:r>
      <w:r w:rsidRPr="009652D9">
        <w:rPr>
          <w:rFonts w:hint="eastAsia"/>
          <w:color w:val="000000"/>
          <w:sz w:val="24"/>
        </w:rPr>
        <w:t>111709484</w:t>
      </w:r>
      <w:r w:rsidRPr="009652D9">
        <w:rPr>
          <w:rFonts w:hint="eastAsia"/>
          <w:color w:val="000000"/>
          <w:sz w:val="24"/>
        </w:rPr>
        <w:t>）的发行主体浦发银行于</w:t>
      </w:r>
      <w:r w:rsidRPr="009652D9">
        <w:rPr>
          <w:rFonts w:hint="eastAsia"/>
          <w:color w:val="000000"/>
          <w:sz w:val="24"/>
        </w:rPr>
        <w:t>2018</w:t>
      </w:r>
      <w:r w:rsidRPr="009652D9">
        <w:rPr>
          <w:rFonts w:hint="eastAsia"/>
          <w:color w:val="000000"/>
          <w:sz w:val="24"/>
        </w:rPr>
        <w:t>年</w:t>
      </w:r>
      <w:r w:rsidRPr="009652D9">
        <w:rPr>
          <w:rFonts w:hint="eastAsia"/>
          <w:color w:val="000000"/>
          <w:sz w:val="24"/>
        </w:rPr>
        <w:t>1</w:t>
      </w:r>
      <w:r w:rsidRPr="009652D9">
        <w:rPr>
          <w:rFonts w:hint="eastAsia"/>
          <w:color w:val="000000"/>
          <w:sz w:val="24"/>
        </w:rPr>
        <w:t>月</w:t>
      </w:r>
      <w:r w:rsidRPr="009652D9">
        <w:rPr>
          <w:rFonts w:hint="eastAsia"/>
          <w:color w:val="000000"/>
          <w:sz w:val="24"/>
        </w:rPr>
        <w:t>20</w:t>
      </w:r>
      <w:r w:rsidRPr="009652D9">
        <w:rPr>
          <w:rFonts w:hint="eastAsia"/>
          <w:color w:val="000000"/>
          <w:sz w:val="24"/>
        </w:rPr>
        <w:t>日公告，公司收到中国银行业监督管理委员会四川监管局（以下简称“银监会四川监管局”）行政处罚决定书（川银监罚字【</w:t>
      </w:r>
      <w:r w:rsidRPr="009652D9">
        <w:rPr>
          <w:rFonts w:hint="eastAsia"/>
          <w:color w:val="000000"/>
          <w:sz w:val="24"/>
        </w:rPr>
        <w:t>2018</w:t>
      </w:r>
      <w:r w:rsidRPr="009652D9">
        <w:rPr>
          <w:rFonts w:hint="eastAsia"/>
          <w:color w:val="000000"/>
          <w:sz w:val="24"/>
        </w:rPr>
        <w:t>】</w:t>
      </w:r>
      <w:r w:rsidRPr="009652D9">
        <w:rPr>
          <w:rFonts w:hint="eastAsia"/>
          <w:color w:val="000000"/>
          <w:sz w:val="24"/>
        </w:rPr>
        <w:t>2</w:t>
      </w:r>
      <w:r w:rsidRPr="009652D9">
        <w:rPr>
          <w:rFonts w:hint="eastAsia"/>
          <w:color w:val="000000"/>
          <w:sz w:val="24"/>
        </w:rPr>
        <w:t>号）</w:t>
      </w:r>
      <w:r w:rsidRPr="009652D9">
        <w:rPr>
          <w:rFonts w:hint="eastAsia"/>
          <w:color w:val="000000"/>
          <w:sz w:val="24"/>
        </w:rPr>
        <w:t>,</w:t>
      </w:r>
      <w:r w:rsidRPr="009652D9">
        <w:rPr>
          <w:rFonts w:hint="eastAsia"/>
          <w:color w:val="000000"/>
          <w:sz w:val="24"/>
        </w:rPr>
        <w:t>对成都分行内控管理严重失效</w:t>
      </w:r>
      <w:r w:rsidRPr="009652D9">
        <w:rPr>
          <w:rFonts w:hint="eastAsia"/>
          <w:color w:val="000000"/>
          <w:sz w:val="24"/>
        </w:rPr>
        <w:t>,</w:t>
      </w:r>
      <w:r w:rsidRPr="009652D9">
        <w:rPr>
          <w:rFonts w:hint="eastAsia"/>
          <w:color w:val="000000"/>
          <w:sz w:val="24"/>
        </w:rPr>
        <w:t>授信管理违规，违规办理信贷业务等严重违反审慎经营规则的违规行为依法查处，执行罚款</w:t>
      </w:r>
      <w:r w:rsidRPr="009652D9">
        <w:rPr>
          <w:rFonts w:hint="eastAsia"/>
          <w:color w:val="000000"/>
          <w:sz w:val="24"/>
        </w:rPr>
        <w:t>46,175</w:t>
      </w:r>
      <w:r w:rsidRPr="009652D9">
        <w:rPr>
          <w:rFonts w:hint="eastAsia"/>
          <w:color w:val="000000"/>
          <w:sz w:val="24"/>
        </w:rPr>
        <w:t>万元人民币。</w:t>
      </w:r>
    </w:p>
    <w:p w:rsidR="009652D9" w:rsidRPr="009652D9" w:rsidRDefault="009652D9" w:rsidP="009652D9">
      <w:pPr>
        <w:adjustRightInd w:val="0"/>
        <w:spacing w:before="29" w:line="288" w:lineRule="auto"/>
        <w:ind w:left="17"/>
        <w:rPr>
          <w:color w:val="000000"/>
          <w:sz w:val="24"/>
        </w:rPr>
      </w:pPr>
      <w:r w:rsidRPr="009652D9">
        <w:rPr>
          <w:rFonts w:hint="eastAsia"/>
          <w:color w:val="000000"/>
          <w:sz w:val="24"/>
        </w:rPr>
        <w:t>报告期内本基金投资的前十名证券之一</w:t>
      </w:r>
      <w:r w:rsidRPr="009652D9">
        <w:rPr>
          <w:rFonts w:hint="eastAsia"/>
          <w:color w:val="000000"/>
          <w:sz w:val="24"/>
        </w:rPr>
        <w:t>18</w:t>
      </w:r>
      <w:r w:rsidRPr="009652D9">
        <w:rPr>
          <w:rFonts w:hint="eastAsia"/>
          <w:color w:val="000000"/>
          <w:sz w:val="24"/>
        </w:rPr>
        <w:t>浦发银行</w:t>
      </w:r>
      <w:r w:rsidRPr="009652D9">
        <w:rPr>
          <w:rFonts w:hint="eastAsia"/>
          <w:color w:val="000000"/>
          <w:sz w:val="24"/>
        </w:rPr>
        <w:t>CD075</w:t>
      </w:r>
      <w:r w:rsidRPr="009652D9">
        <w:rPr>
          <w:rFonts w:hint="eastAsia"/>
          <w:color w:val="000000"/>
          <w:sz w:val="24"/>
        </w:rPr>
        <w:t>（证券代码：</w:t>
      </w:r>
      <w:r w:rsidRPr="009652D9">
        <w:rPr>
          <w:rFonts w:hint="eastAsia"/>
          <w:color w:val="000000"/>
          <w:sz w:val="24"/>
        </w:rPr>
        <w:t>111809075</w:t>
      </w:r>
      <w:r w:rsidRPr="009652D9">
        <w:rPr>
          <w:rFonts w:hint="eastAsia"/>
          <w:color w:val="000000"/>
          <w:sz w:val="24"/>
        </w:rPr>
        <w:t>）的发行主体浦发银行于</w:t>
      </w:r>
      <w:r w:rsidRPr="009652D9">
        <w:rPr>
          <w:rFonts w:hint="eastAsia"/>
          <w:color w:val="000000"/>
          <w:sz w:val="24"/>
        </w:rPr>
        <w:t>2018</w:t>
      </w:r>
      <w:r w:rsidRPr="009652D9">
        <w:rPr>
          <w:rFonts w:hint="eastAsia"/>
          <w:color w:val="000000"/>
          <w:sz w:val="24"/>
        </w:rPr>
        <w:t>年</w:t>
      </w:r>
      <w:r w:rsidRPr="009652D9">
        <w:rPr>
          <w:rFonts w:hint="eastAsia"/>
          <w:color w:val="000000"/>
          <w:sz w:val="24"/>
        </w:rPr>
        <w:t>1</w:t>
      </w:r>
      <w:r w:rsidRPr="009652D9">
        <w:rPr>
          <w:rFonts w:hint="eastAsia"/>
          <w:color w:val="000000"/>
          <w:sz w:val="24"/>
        </w:rPr>
        <w:t>月</w:t>
      </w:r>
      <w:r w:rsidRPr="009652D9">
        <w:rPr>
          <w:rFonts w:hint="eastAsia"/>
          <w:color w:val="000000"/>
          <w:sz w:val="24"/>
        </w:rPr>
        <w:t>20</w:t>
      </w:r>
      <w:r w:rsidRPr="009652D9">
        <w:rPr>
          <w:rFonts w:hint="eastAsia"/>
          <w:color w:val="000000"/>
          <w:sz w:val="24"/>
        </w:rPr>
        <w:t>日公告，公司收到中国银行业监督管理委员会四川监管局（以下简称“银监会四川监管局”）行政处罚决定书（川银监罚字【</w:t>
      </w:r>
      <w:r w:rsidRPr="009652D9">
        <w:rPr>
          <w:rFonts w:hint="eastAsia"/>
          <w:color w:val="000000"/>
          <w:sz w:val="24"/>
        </w:rPr>
        <w:t>2018</w:t>
      </w:r>
      <w:r w:rsidRPr="009652D9">
        <w:rPr>
          <w:rFonts w:hint="eastAsia"/>
          <w:color w:val="000000"/>
          <w:sz w:val="24"/>
        </w:rPr>
        <w:t>】</w:t>
      </w:r>
      <w:r w:rsidRPr="009652D9">
        <w:rPr>
          <w:rFonts w:hint="eastAsia"/>
          <w:color w:val="000000"/>
          <w:sz w:val="24"/>
        </w:rPr>
        <w:t>2</w:t>
      </w:r>
      <w:r w:rsidRPr="009652D9">
        <w:rPr>
          <w:rFonts w:hint="eastAsia"/>
          <w:color w:val="000000"/>
          <w:sz w:val="24"/>
        </w:rPr>
        <w:t>号）</w:t>
      </w:r>
      <w:r w:rsidRPr="009652D9">
        <w:rPr>
          <w:rFonts w:hint="eastAsia"/>
          <w:color w:val="000000"/>
          <w:sz w:val="24"/>
        </w:rPr>
        <w:t>,</w:t>
      </w:r>
      <w:r w:rsidRPr="009652D9">
        <w:rPr>
          <w:rFonts w:hint="eastAsia"/>
          <w:color w:val="000000"/>
          <w:sz w:val="24"/>
        </w:rPr>
        <w:lastRenderedPageBreak/>
        <w:t>对成都分行内控管理严重失效</w:t>
      </w:r>
      <w:r w:rsidRPr="009652D9">
        <w:rPr>
          <w:rFonts w:hint="eastAsia"/>
          <w:color w:val="000000"/>
          <w:sz w:val="24"/>
        </w:rPr>
        <w:t>,</w:t>
      </w:r>
      <w:r w:rsidRPr="009652D9">
        <w:rPr>
          <w:rFonts w:hint="eastAsia"/>
          <w:color w:val="000000"/>
          <w:sz w:val="24"/>
        </w:rPr>
        <w:t>授信管理违规，违规办理信贷业务等严重违反审慎经营规则的违规行为依法查处，执行罚款</w:t>
      </w:r>
      <w:r w:rsidRPr="009652D9">
        <w:rPr>
          <w:rFonts w:hint="eastAsia"/>
          <w:color w:val="000000"/>
          <w:sz w:val="24"/>
        </w:rPr>
        <w:t>46,175</w:t>
      </w:r>
      <w:r w:rsidRPr="009652D9">
        <w:rPr>
          <w:rFonts w:hint="eastAsia"/>
          <w:color w:val="000000"/>
          <w:sz w:val="24"/>
        </w:rPr>
        <w:t>万元人民币。</w:t>
      </w:r>
    </w:p>
    <w:p w:rsidR="000B6423" w:rsidRDefault="009652D9" w:rsidP="009652D9">
      <w:pPr>
        <w:adjustRightInd w:val="0"/>
        <w:spacing w:before="29" w:line="288" w:lineRule="auto"/>
        <w:ind w:left="17"/>
        <w:rPr>
          <w:color w:val="000000"/>
          <w:sz w:val="24"/>
        </w:rPr>
      </w:pPr>
      <w:r w:rsidRPr="009652D9">
        <w:rPr>
          <w:rFonts w:hint="eastAsia"/>
          <w:color w:val="000000"/>
          <w:sz w:val="24"/>
        </w:rPr>
        <w:t>本基金管理人对上述证券投资决策程序的说明如下：本基金管理人对证券投资特别是重仓个券的投资有严格的投资决策流程控制。本基金在对上述证券的投资也严格执行投资决策流程。在对上述证券的选择上，严格执行公司个券审核流程。在对上述证券的持有过程中研究员密切关注债券发行主体动向。在上述处罚发生时及时分析其对投资决策的影响，经过分析认为此事件对债券发行主体财务状况、经营成果和现金流量未产生重大的实质性影响，所以不影响对该债券基本面和投资价值的判断。</w:t>
      </w:r>
    </w:p>
    <w:p w:rsidR="00623E3A" w:rsidRPr="000E4C40" w:rsidRDefault="00623E3A" w:rsidP="00281564">
      <w:pPr>
        <w:adjustRightInd w:val="0"/>
        <w:spacing w:before="29" w:line="288" w:lineRule="auto"/>
        <w:ind w:left="17"/>
        <w:rPr>
          <w:color w:val="000000"/>
          <w:sz w:val="24"/>
        </w:rPr>
      </w:pPr>
    </w:p>
    <w:p w:rsidR="009D74FC" w:rsidRPr="000E4C40" w:rsidRDefault="002304D5" w:rsidP="00281564">
      <w:pPr>
        <w:spacing w:before="29" w:line="288" w:lineRule="auto"/>
        <w:rPr>
          <w:color w:val="000000"/>
          <w:kern w:val="0"/>
          <w:sz w:val="24"/>
        </w:rPr>
      </w:pPr>
      <w:r>
        <w:rPr>
          <w:color w:val="000000"/>
          <w:kern w:val="0"/>
          <w:sz w:val="24"/>
        </w:rPr>
        <w:t>5.9</w:t>
      </w:r>
      <w:r w:rsidR="009D74FC" w:rsidRPr="000E4C40">
        <w:rPr>
          <w:color w:val="000000"/>
          <w:kern w:val="0"/>
          <w:sz w:val="24"/>
        </w:rPr>
        <w:t>.</w:t>
      </w:r>
      <w:r>
        <w:rPr>
          <w:color w:val="000000"/>
          <w:kern w:val="0"/>
          <w:sz w:val="24"/>
        </w:rPr>
        <w:t>3</w:t>
      </w:r>
      <w:r w:rsidR="003B36B4" w:rsidRPr="000E4C40">
        <w:rPr>
          <w:rFonts w:hAnsi="宋体"/>
          <w:color w:val="000000"/>
          <w:kern w:val="0"/>
          <w:sz w:val="24"/>
        </w:rPr>
        <w:t>其他各项资产构成</w:t>
      </w:r>
    </w:p>
    <w:tbl>
      <w:tblPr>
        <w:tblStyle w:val="aa"/>
        <w:tblW w:w="8868" w:type="dxa"/>
        <w:jc w:val="center"/>
        <w:tblLayout w:type="fixed"/>
        <w:tblLook w:val="04A0" w:firstRow="1" w:lastRow="0" w:firstColumn="1" w:lastColumn="0" w:noHBand="0" w:noVBand="1"/>
      </w:tblPr>
      <w:tblGrid>
        <w:gridCol w:w="907"/>
        <w:gridCol w:w="3375"/>
        <w:gridCol w:w="4586"/>
      </w:tblGrid>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序号</w:t>
            </w:r>
          </w:p>
        </w:tc>
        <w:tc>
          <w:tcPr>
            <w:tcW w:w="3535"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名称</w:t>
            </w:r>
          </w:p>
        </w:tc>
        <w:tc>
          <w:tcPr>
            <w:tcW w:w="4808" w:type="dxa"/>
            <w:vAlign w:val="center"/>
          </w:tcPr>
          <w:p w:rsidR="00633177" w:rsidRPr="000E4C40" w:rsidRDefault="00633177" w:rsidP="00281564">
            <w:pPr>
              <w:autoSpaceDE w:val="0"/>
              <w:autoSpaceDN w:val="0"/>
              <w:adjustRightInd w:val="0"/>
              <w:spacing w:before="29" w:line="288" w:lineRule="auto"/>
              <w:ind w:left="17"/>
              <w:jc w:val="center"/>
              <w:rPr>
                <w:color w:val="000000"/>
                <w:kern w:val="0"/>
                <w:sz w:val="24"/>
              </w:rPr>
            </w:pPr>
            <w:r w:rsidRPr="000E4C40">
              <w:rPr>
                <w:rFonts w:hAnsi="宋体"/>
                <w:color w:val="000000"/>
                <w:kern w:val="0"/>
                <w:sz w:val="24"/>
              </w:rPr>
              <w:t>金额</w:t>
            </w:r>
            <w:r w:rsidR="005B0F46" w:rsidRPr="000E4C40">
              <w:rPr>
                <w:rFonts w:hAnsi="宋体"/>
                <w:color w:val="000000"/>
                <w:kern w:val="0"/>
                <w:sz w:val="24"/>
              </w:rPr>
              <w:t>（元）</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kern w:val="0"/>
                <w:sz w:val="24"/>
              </w:rPr>
            </w:pPr>
            <w:r w:rsidRPr="000E4C40">
              <w:rPr>
                <w:color w:val="000000"/>
                <w:sz w:val="24"/>
              </w:rPr>
              <w:t>1</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存出保证金</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2</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应收证券清算款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3</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应收利息</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74,930,363.27</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4</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应收申购款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633177" w:rsidRPr="000E4C40" w:rsidTr="00CB7680">
        <w:trPr>
          <w:jc w:val="center"/>
        </w:trPr>
        <w:tc>
          <w:tcPr>
            <w:tcW w:w="942" w:type="dxa"/>
            <w:vAlign w:val="center"/>
          </w:tcPr>
          <w:p w:rsidR="00633177" w:rsidRPr="000E4C40" w:rsidRDefault="00633177" w:rsidP="00281564">
            <w:pPr>
              <w:autoSpaceDE w:val="0"/>
              <w:autoSpaceDN w:val="0"/>
              <w:adjustRightInd w:val="0"/>
              <w:spacing w:before="29" w:line="288" w:lineRule="auto"/>
              <w:ind w:left="15"/>
              <w:jc w:val="center"/>
              <w:rPr>
                <w:color w:val="000000"/>
                <w:sz w:val="24"/>
              </w:rPr>
            </w:pPr>
            <w:r w:rsidRPr="000E4C40">
              <w:rPr>
                <w:color w:val="000000"/>
                <w:sz w:val="24"/>
              </w:rPr>
              <w:t>5</w:t>
            </w:r>
          </w:p>
        </w:tc>
        <w:tc>
          <w:tcPr>
            <w:tcW w:w="3535" w:type="dxa"/>
            <w:vAlign w:val="center"/>
          </w:tcPr>
          <w:p w:rsidR="00633177" w:rsidRPr="000E4C40" w:rsidRDefault="00633177"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其他应收款</w:t>
            </w:r>
          </w:p>
        </w:tc>
        <w:tc>
          <w:tcPr>
            <w:tcW w:w="4808" w:type="dxa"/>
            <w:vAlign w:val="center"/>
          </w:tcPr>
          <w:p w:rsidR="00633177" w:rsidRPr="000E4C40" w:rsidRDefault="00633177"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418.53</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6</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待摊费用</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7</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其他</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w:t>
            </w:r>
          </w:p>
        </w:tc>
      </w:tr>
      <w:tr w:rsidR="00F85D7E" w:rsidRPr="000E4C40" w:rsidTr="00CB7680">
        <w:trPr>
          <w:jc w:val="center"/>
        </w:trPr>
        <w:tc>
          <w:tcPr>
            <w:tcW w:w="942" w:type="dxa"/>
            <w:vAlign w:val="center"/>
          </w:tcPr>
          <w:p w:rsidR="00F85D7E" w:rsidRPr="000E4C40" w:rsidRDefault="00F85D7E" w:rsidP="00281564">
            <w:pPr>
              <w:autoSpaceDE w:val="0"/>
              <w:autoSpaceDN w:val="0"/>
              <w:adjustRightInd w:val="0"/>
              <w:spacing w:before="29" w:line="288" w:lineRule="auto"/>
              <w:ind w:left="15"/>
              <w:jc w:val="center"/>
              <w:rPr>
                <w:color w:val="000000"/>
                <w:sz w:val="24"/>
              </w:rPr>
            </w:pPr>
            <w:r w:rsidRPr="000E4C40">
              <w:rPr>
                <w:color w:val="000000"/>
                <w:sz w:val="24"/>
              </w:rPr>
              <w:t>8</w:t>
            </w:r>
          </w:p>
        </w:tc>
        <w:tc>
          <w:tcPr>
            <w:tcW w:w="3535" w:type="dxa"/>
            <w:vAlign w:val="center"/>
          </w:tcPr>
          <w:p w:rsidR="00F85D7E" w:rsidRPr="000E4C40" w:rsidRDefault="00F85D7E"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合计</w:t>
            </w:r>
          </w:p>
        </w:tc>
        <w:tc>
          <w:tcPr>
            <w:tcW w:w="4808" w:type="dxa"/>
            <w:vAlign w:val="center"/>
          </w:tcPr>
          <w:p w:rsidR="00F85D7E" w:rsidRPr="000E4C40" w:rsidRDefault="00F85D7E" w:rsidP="00281564">
            <w:pPr>
              <w:autoSpaceDE w:val="0"/>
              <w:autoSpaceDN w:val="0"/>
              <w:adjustRightInd w:val="0"/>
              <w:spacing w:before="29" w:line="288" w:lineRule="auto"/>
              <w:ind w:left="15"/>
              <w:jc w:val="right"/>
              <w:rPr>
                <w:color w:val="000000"/>
                <w:kern w:val="0"/>
                <w:sz w:val="24"/>
              </w:rPr>
            </w:pPr>
            <w:r w:rsidRPr="000E4C40">
              <w:rPr>
                <w:color w:val="000000"/>
                <w:kern w:val="0"/>
                <w:sz w:val="24"/>
              </w:rPr>
              <w:t>74,930,781.80</w:t>
            </w:r>
          </w:p>
        </w:tc>
      </w:tr>
    </w:tbl>
    <w:p w:rsidR="00D1705E" w:rsidRPr="000E4C40" w:rsidRDefault="00D1705E" w:rsidP="00281564">
      <w:pPr>
        <w:autoSpaceDE w:val="0"/>
        <w:autoSpaceDN w:val="0"/>
        <w:adjustRightInd w:val="0"/>
        <w:spacing w:before="29" w:line="288" w:lineRule="auto"/>
        <w:jc w:val="left"/>
        <w:rPr>
          <w:color w:val="000000"/>
          <w:sz w:val="24"/>
        </w:rPr>
      </w:pPr>
    </w:p>
    <w:p w:rsidR="00452D31" w:rsidRPr="000E4C40" w:rsidRDefault="002304D5" w:rsidP="00281564">
      <w:pPr>
        <w:spacing w:before="29" w:line="288" w:lineRule="auto"/>
        <w:rPr>
          <w:color w:val="000000"/>
          <w:kern w:val="0"/>
          <w:sz w:val="24"/>
        </w:rPr>
      </w:pPr>
      <w:r>
        <w:rPr>
          <w:color w:val="000000"/>
          <w:kern w:val="0"/>
          <w:sz w:val="24"/>
        </w:rPr>
        <w:t>5.9.4</w:t>
      </w:r>
      <w:r w:rsidR="00DE7C60" w:rsidRPr="000E4C40">
        <w:rPr>
          <w:rFonts w:hAnsi="宋体"/>
          <w:color w:val="000000"/>
          <w:kern w:val="0"/>
          <w:sz w:val="24"/>
        </w:rPr>
        <w:t>投资组合报告附注的其他文字描述部分</w:t>
      </w:r>
    </w:p>
    <w:p w:rsidR="00452D31" w:rsidRPr="000E4C40" w:rsidRDefault="00452D31" w:rsidP="00930856">
      <w:pPr>
        <w:spacing w:before="29" w:line="288" w:lineRule="auto"/>
        <w:rPr>
          <w:color w:val="000000"/>
          <w:sz w:val="24"/>
        </w:rPr>
      </w:pPr>
      <w:r w:rsidRPr="000E4C40">
        <w:rPr>
          <w:color w:val="000000"/>
          <w:sz w:val="24"/>
        </w:rPr>
        <w:t>由于四舍五入的原因，分项之和与合计项之间可能存在尾差。</w:t>
      </w:r>
    </w:p>
    <w:p w:rsidR="00504B75" w:rsidRPr="000E4C40" w:rsidRDefault="00504B75" w:rsidP="00281564">
      <w:pPr>
        <w:spacing w:before="29" w:line="288" w:lineRule="auto"/>
        <w:rPr>
          <w:color w:val="000000"/>
          <w:sz w:val="24"/>
        </w:rPr>
      </w:pPr>
    </w:p>
    <w:p w:rsidR="00902E3F" w:rsidRPr="000E4C40" w:rsidRDefault="00902E3F"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§6  </w:t>
      </w:r>
      <w:r w:rsidRPr="000E4C40">
        <w:rPr>
          <w:rFonts w:hAnsi="宋体"/>
          <w:color w:val="000000"/>
          <w:kern w:val="0"/>
          <w:sz w:val="24"/>
          <w:szCs w:val="24"/>
        </w:rPr>
        <w:t>开放式基金份额变动</w:t>
      </w:r>
    </w:p>
    <w:p w:rsidR="00902E3F" w:rsidRPr="000E4C40" w:rsidRDefault="00902E3F" w:rsidP="00281564">
      <w:pPr>
        <w:autoSpaceDE w:val="0"/>
        <w:autoSpaceDN w:val="0"/>
        <w:adjustRightInd w:val="0"/>
        <w:spacing w:before="29" w:line="288" w:lineRule="auto"/>
        <w:ind w:left="15"/>
        <w:jc w:val="right"/>
        <w:rPr>
          <w:color w:val="000000"/>
          <w:kern w:val="0"/>
          <w:sz w:val="24"/>
        </w:rPr>
      </w:pPr>
      <w:r w:rsidRPr="000E4C40">
        <w:rPr>
          <w:rFonts w:hAnsi="宋体"/>
          <w:color w:val="000000"/>
          <w:kern w:val="0"/>
          <w:sz w:val="24"/>
        </w:rPr>
        <w:t>单位：份</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8"/>
        <w:gridCol w:w="2600"/>
        <w:gridCol w:w="2600"/>
      </w:tblGrid>
      <w:tr w:rsidR="006F1C55" w:rsidRPr="000E4C40" w:rsidTr="009D1870">
        <w:trPr>
          <w:jc w:val="center"/>
        </w:trPr>
        <w:tc>
          <w:tcPr>
            <w:tcW w:w="4134"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rFonts w:hAnsi="宋体"/>
                <w:color w:val="000000"/>
                <w:kern w:val="0"/>
                <w:sz w:val="24"/>
              </w:rPr>
              <w:t>项目</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60</w:t>
            </w:r>
            <w:r w:rsidRPr="000E4C40">
              <w:rPr>
                <w:sz w:val="24"/>
              </w:rPr>
              <w:t>天债券</w:t>
            </w:r>
            <w:r w:rsidRPr="000E4C40">
              <w:rPr>
                <w:sz w:val="24"/>
              </w:rPr>
              <w:t>A</w:t>
            </w:r>
          </w:p>
        </w:tc>
        <w:tc>
          <w:tcPr>
            <w:tcW w:w="2920" w:type="dxa"/>
            <w:vAlign w:val="center"/>
          </w:tcPr>
          <w:p w:rsidR="006F1C55" w:rsidRPr="000E4C40" w:rsidRDefault="006F1C55" w:rsidP="00281564">
            <w:pPr>
              <w:autoSpaceDE w:val="0"/>
              <w:autoSpaceDN w:val="0"/>
              <w:adjustRightInd w:val="0"/>
              <w:spacing w:before="29" w:line="288" w:lineRule="auto"/>
              <w:ind w:left="15"/>
              <w:jc w:val="center"/>
              <w:rPr>
                <w:color w:val="000000"/>
                <w:kern w:val="0"/>
                <w:sz w:val="24"/>
              </w:rPr>
            </w:pPr>
            <w:r w:rsidRPr="000E4C40">
              <w:rPr>
                <w:sz w:val="24"/>
              </w:rPr>
              <w:t>交银理财</w:t>
            </w:r>
            <w:r w:rsidRPr="000E4C40">
              <w:rPr>
                <w:sz w:val="24"/>
              </w:rPr>
              <w:t>60</w:t>
            </w:r>
            <w:r w:rsidRPr="000E4C40">
              <w:rPr>
                <w:sz w:val="24"/>
              </w:rPr>
              <w:t>天债券</w:t>
            </w:r>
            <w:r w:rsidRPr="000E4C40">
              <w:rPr>
                <w:sz w:val="24"/>
              </w:rPr>
              <w:t>B</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报告期期初基金份额总额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9,650,918.64</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4,947,259,751.92</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基金总申购份额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697,310.58</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12,297,201,052.65</w:t>
            </w:r>
          </w:p>
        </w:tc>
      </w:tr>
      <w:tr w:rsidR="000417E0" w:rsidRPr="000E4C40" w:rsidTr="009D1870">
        <w:trPr>
          <w:jc w:val="center"/>
        </w:trPr>
        <w:tc>
          <w:tcPr>
            <w:tcW w:w="4134" w:type="dxa"/>
            <w:vAlign w:val="center"/>
          </w:tcPr>
          <w:p w:rsidR="000417E0" w:rsidRPr="000E4C40" w:rsidRDefault="000A2D74"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w:t>
            </w:r>
            <w:r w:rsidR="00CD6E50">
              <w:rPr>
                <w:rFonts w:hAnsi="宋体" w:hint="eastAsia"/>
                <w:color w:val="000000"/>
                <w:kern w:val="0"/>
                <w:sz w:val="24"/>
              </w:rPr>
              <w:t>期间</w:t>
            </w:r>
            <w:r w:rsidRPr="000E4C40">
              <w:rPr>
                <w:rFonts w:hAnsi="宋体"/>
                <w:color w:val="000000"/>
                <w:kern w:val="0"/>
                <w:sz w:val="24"/>
              </w:rPr>
              <w:t>基金总赎回份额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4,837,237.92</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1,314,030,000.00</w:t>
            </w:r>
          </w:p>
        </w:tc>
      </w:tr>
      <w:tr w:rsidR="000417E0" w:rsidRPr="000E4C40" w:rsidTr="009D1870">
        <w:trPr>
          <w:jc w:val="center"/>
        </w:trPr>
        <w:tc>
          <w:tcPr>
            <w:tcW w:w="4134" w:type="dxa"/>
            <w:vAlign w:val="center"/>
          </w:tcPr>
          <w:p w:rsidR="000417E0" w:rsidRPr="000E4C40" w:rsidRDefault="00786879" w:rsidP="00281564">
            <w:pPr>
              <w:autoSpaceDE w:val="0"/>
              <w:autoSpaceDN w:val="0"/>
              <w:adjustRightInd w:val="0"/>
              <w:spacing w:before="29" w:line="288" w:lineRule="auto"/>
              <w:ind w:left="15"/>
              <w:jc w:val="left"/>
              <w:rPr>
                <w:color w:val="000000"/>
                <w:kern w:val="0"/>
                <w:sz w:val="24"/>
              </w:rPr>
            </w:pPr>
            <w:r w:rsidRPr="000E4C40">
              <w:rPr>
                <w:rFonts w:hAnsi="宋体"/>
                <w:color w:val="000000"/>
                <w:kern w:val="0"/>
                <w:sz w:val="24"/>
              </w:rPr>
              <w:t>报告期期末基金份额总额</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5,510,991.30</w:t>
            </w:r>
          </w:p>
        </w:tc>
        <w:tc>
          <w:tcPr>
            <w:tcW w:w="2920" w:type="dxa"/>
            <w:vAlign w:val="center"/>
          </w:tcPr>
          <w:p w:rsidR="000417E0" w:rsidRPr="000E4C40" w:rsidRDefault="000417E0" w:rsidP="00281564">
            <w:pPr>
              <w:autoSpaceDE w:val="0"/>
              <w:autoSpaceDN w:val="0"/>
              <w:adjustRightInd w:val="0"/>
              <w:spacing w:before="29" w:line="288" w:lineRule="auto"/>
              <w:ind w:left="15"/>
              <w:jc w:val="right"/>
              <w:rPr>
                <w:color w:val="000000"/>
                <w:kern w:val="0"/>
                <w:sz w:val="24"/>
              </w:rPr>
            </w:pPr>
            <w:r w:rsidRPr="000E4C40">
              <w:rPr>
                <w:color w:val="000000"/>
                <w:kern w:val="0"/>
                <w:sz w:val="24"/>
              </w:rPr>
              <w:t>15,930,430,804.57</w:t>
            </w:r>
          </w:p>
        </w:tc>
      </w:tr>
    </w:tbl>
    <w:p w:rsidR="000B6423" w:rsidRDefault="00C13119">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、如果本报告期间发生转换入、份额类别调整、红利再投业务，则总申购份额中</w:t>
      </w:r>
      <w:r>
        <w:rPr>
          <w:color w:val="000000"/>
          <w:sz w:val="24"/>
        </w:rPr>
        <w:lastRenderedPageBreak/>
        <w:t>包含该业务；</w:t>
      </w:r>
      <w:r>
        <w:rPr>
          <w:color w:val="000000"/>
          <w:sz w:val="24"/>
        </w:rPr>
        <w:t xml:space="preserve"> </w:t>
      </w:r>
    </w:p>
    <w:p w:rsidR="000B6423" w:rsidRDefault="00C13119">
      <w:pPr>
        <w:autoSpaceDE w:val="0"/>
        <w:autoSpaceDN w:val="0"/>
        <w:adjustRightInd w:val="0"/>
        <w:spacing w:before="29" w:line="288" w:lineRule="auto"/>
        <w:jc w:val="left"/>
        <w:rPr>
          <w:color w:val="000000"/>
          <w:sz w:val="24"/>
        </w:rPr>
      </w:pPr>
      <w:r>
        <w:rPr>
          <w:color w:val="000000"/>
          <w:sz w:val="24"/>
        </w:rPr>
        <w:t xml:space="preserve"> 2</w:t>
      </w:r>
      <w:r>
        <w:rPr>
          <w:color w:val="000000"/>
          <w:sz w:val="24"/>
        </w:rPr>
        <w:t>、如果本报告期间发生转换出业务，则总赎回份额中包含该业务。</w:t>
      </w:r>
    </w:p>
    <w:p w:rsidR="00AA5B03" w:rsidRPr="000E4C40" w:rsidRDefault="00AA5B03" w:rsidP="00281564">
      <w:pPr>
        <w:autoSpaceDE w:val="0"/>
        <w:autoSpaceDN w:val="0"/>
        <w:adjustRightInd w:val="0"/>
        <w:spacing w:before="29" w:line="288" w:lineRule="auto"/>
        <w:jc w:val="left"/>
        <w:rPr>
          <w:color w:val="000000"/>
          <w:sz w:val="24"/>
        </w:rPr>
      </w:pPr>
    </w:p>
    <w:p w:rsidR="006E2890" w:rsidRPr="000E4C40" w:rsidRDefault="006E2890" w:rsidP="00281564">
      <w:pPr>
        <w:autoSpaceDE w:val="0"/>
        <w:autoSpaceDN w:val="0"/>
        <w:adjustRightInd w:val="0"/>
        <w:spacing w:before="29" w:line="288" w:lineRule="auto"/>
        <w:jc w:val="left"/>
        <w:rPr>
          <w:color w:val="000000"/>
          <w:sz w:val="24"/>
        </w:rPr>
      </w:pPr>
    </w:p>
    <w:p w:rsidR="000F2DA3" w:rsidRPr="000E4C40" w:rsidRDefault="000F2DA3"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 xml:space="preserve">§7  </w:t>
      </w:r>
      <w:r w:rsidRPr="000E4C40">
        <w:rPr>
          <w:rFonts w:hAnsi="宋体"/>
          <w:color w:val="000000"/>
          <w:kern w:val="0"/>
          <w:sz w:val="24"/>
          <w:szCs w:val="24"/>
        </w:rPr>
        <w:t>基金管理人运用固有资金投资本基金交易明细</w:t>
      </w:r>
    </w:p>
    <w:p w:rsidR="000F2DA3" w:rsidRPr="000E4C40" w:rsidRDefault="000F2DA3" w:rsidP="00281564">
      <w:pPr>
        <w:autoSpaceDE w:val="0"/>
        <w:autoSpaceDN w:val="0"/>
        <w:adjustRightInd w:val="0"/>
        <w:spacing w:before="29" w:line="288" w:lineRule="auto"/>
        <w:jc w:val="left"/>
        <w:rPr>
          <w:color w:val="000000"/>
          <w:sz w:val="24"/>
        </w:rPr>
      </w:pPr>
      <w:r w:rsidRPr="000E4C40">
        <w:rPr>
          <w:color w:val="000000"/>
          <w:sz w:val="24"/>
        </w:rPr>
        <w:t>本基金管理人本报告期内未进行本基金的申购、赎回、红利再投等；本基金管理人本报告期末持有本基金份额</w:t>
      </w:r>
      <w:r w:rsidRPr="000E4C40">
        <w:rPr>
          <w:color w:val="000000"/>
          <w:sz w:val="24"/>
        </w:rPr>
        <w:t>0.00</w:t>
      </w:r>
      <w:r w:rsidRPr="000E4C40">
        <w:rPr>
          <w:color w:val="000000"/>
          <w:sz w:val="24"/>
        </w:rPr>
        <w:t>份，占本基金期末总份额的</w:t>
      </w:r>
      <w:r w:rsidRPr="000E4C40">
        <w:rPr>
          <w:color w:val="000000"/>
          <w:sz w:val="24"/>
        </w:rPr>
        <w:t>0.00%</w:t>
      </w:r>
      <w:r w:rsidRPr="000E4C40">
        <w:rPr>
          <w:color w:val="000000"/>
          <w:sz w:val="24"/>
        </w:rPr>
        <w:t>。</w:t>
      </w:r>
    </w:p>
    <w:p w:rsidR="0018245B" w:rsidRPr="000E4C40" w:rsidRDefault="0018245B" w:rsidP="00281564">
      <w:pPr>
        <w:autoSpaceDE w:val="0"/>
        <w:autoSpaceDN w:val="0"/>
        <w:adjustRightInd w:val="0"/>
        <w:spacing w:before="29" w:line="288" w:lineRule="auto"/>
        <w:jc w:val="left"/>
        <w:rPr>
          <w:color w:val="000000"/>
          <w:sz w:val="24"/>
        </w:rPr>
      </w:pPr>
    </w:p>
    <w:p w:rsidR="003D1E1A" w:rsidRDefault="003D1E1A" w:rsidP="00841EB4">
      <w:pPr>
        <w:pStyle w:val="1"/>
        <w:spacing w:beforeLines="100" w:before="312" w:afterLines="100" w:after="312" w:line="360" w:lineRule="auto"/>
        <w:jc w:val="center"/>
        <w:rPr>
          <w:rFonts w:asciiTheme="minorEastAsia" w:eastAsiaTheme="minorEastAsia" w:hAnsiTheme="minorEastAsia" w:cs="Arial"/>
          <w:color w:val="000000" w:themeColor="text1"/>
          <w:kern w:val="0"/>
          <w:sz w:val="24"/>
          <w:szCs w:val="24"/>
        </w:rPr>
      </w:pPr>
      <w:r>
        <w:rPr>
          <w:rFonts w:asciiTheme="minorEastAsia" w:eastAsiaTheme="minorEastAsia" w:hAnsiTheme="minorEastAsia" w:cs="Arial" w:hint="eastAsia"/>
          <w:color w:val="000000" w:themeColor="text1"/>
          <w:kern w:val="0"/>
          <w:sz w:val="24"/>
          <w:szCs w:val="24"/>
        </w:rPr>
        <w:t>§8  影响投资者决策的其他重要信息</w:t>
      </w:r>
    </w:p>
    <w:p w:rsidR="003D1E1A" w:rsidRDefault="003D1E1A" w:rsidP="003D1E1A">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8.1 报告期内单一投资者持有基金份额比例达到或超过20%的情况</w:t>
      </w:r>
    </w:p>
    <w:tbl>
      <w:tblPr>
        <w:tblW w:w="9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1"/>
        <w:gridCol w:w="1843"/>
        <w:gridCol w:w="851"/>
        <w:gridCol w:w="850"/>
        <w:gridCol w:w="1134"/>
        <w:gridCol w:w="1419"/>
        <w:gridCol w:w="1130"/>
      </w:tblGrid>
      <w:tr w:rsidR="003D1E1A" w:rsidTr="003D1E1A">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 xml:space="preserve">投资者类别  </w:t>
            </w:r>
          </w:p>
        </w:tc>
        <w:tc>
          <w:tcPr>
            <w:tcW w:w="5670" w:type="dxa"/>
            <w:gridSpan w:val="5"/>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报告期内持有基金份额变化情况</w:t>
            </w:r>
          </w:p>
        </w:tc>
        <w:tc>
          <w:tcPr>
            <w:tcW w:w="2549" w:type="dxa"/>
            <w:gridSpan w:val="2"/>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报告期末持有基金情况</w:t>
            </w:r>
          </w:p>
        </w:tc>
      </w:tr>
      <w:tr w:rsidR="003D1E1A" w:rsidTr="003D1E1A">
        <w:tc>
          <w:tcPr>
            <w:tcW w:w="993" w:type="dxa"/>
            <w:vMerge/>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left"/>
              <w:rPr>
                <w:rFonts w:ascii="宋体" w:hAnsi="宋体"/>
                <w:b/>
                <w:bCs/>
                <w:color w:val="000000"/>
                <w:kern w:val="0"/>
                <w:szCs w:val="21"/>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持有基金份额比例达到或者超过20%的时间区间</w:t>
            </w:r>
          </w:p>
        </w:tc>
        <w:tc>
          <w:tcPr>
            <w:tcW w:w="851"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期初份额</w:t>
            </w:r>
          </w:p>
        </w:tc>
        <w:tc>
          <w:tcPr>
            <w:tcW w:w="85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申购份额</w:t>
            </w:r>
          </w:p>
        </w:tc>
        <w:tc>
          <w:tcPr>
            <w:tcW w:w="1134" w:type="dxa"/>
            <w:tcBorders>
              <w:top w:val="single" w:sz="4" w:space="0" w:color="auto"/>
              <w:left w:val="single" w:sz="4" w:space="0" w:color="auto"/>
              <w:bottom w:val="single" w:sz="4" w:space="0" w:color="auto"/>
              <w:right w:val="single" w:sz="4" w:space="0" w:color="auto"/>
            </w:tcBorders>
            <w:vAlign w:val="center"/>
            <w:hideMark/>
          </w:tcPr>
          <w:p w:rsidR="003D1E1A" w:rsidRDefault="003D1E1A">
            <w:pPr>
              <w:widowControl/>
              <w:jc w:val="center"/>
              <w:rPr>
                <w:rFonts w:ascii="宋体" w:hAnsi="宋体"/>
                <w:b/>
                <w:bCs/>
                <w:color w:val="000000"/>
                <w:kern w:val="0"/>
                <w:szCs w:val="21"/>
              </w:rPr>
            </w:pPr>
            <w:r>
              <w:rPr>
                <w:rFonts w:ascii="宋体" w:hAnsi="宋体" w:hint="eastAsia"/>
                <w:color w:val="000000"/>
                <w:kern w:val="0"/>
                <w:szCs w:val="21"/>
              </w:rPr>
              <w:t>赎回份额</w:t>
            </w:r>
          </w:p>
        </w:tc>
        <w:tc>
          <w:tcPr>
            <w:tcW w:w="1419"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持有份额</w:t>
            </w:r>
          </w:p>
        </w:tc>
        <w:tc>
          <w:tcPr>
            <w:tcW w:w="1130" w:type="dxa"/>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b/>
                <w:bCs/>
                <w:color w:val="000000"/>
                <w:kern w:val="0"/>
                <w:szCs w:val="21"/>
              </w:rPr>
            </w:pPr>
            <w:r>
              <w:rPr>
                <w:rFonts w:ascii="宋体" w:hAnsi="宋体" w:hint="eastAsia"/>
                <w:color w:val="000000"/>
                <w:kern w:val="0"/>
                <w:szCs w:val="21"/>
              </w:rPr>
              <w:t>份额占比</w:t>
            </w:r>
          </w:p>
        </w:tc>
      </w:tr>
      <w:tr w:rsidR="000B6423">
        <w:tc>
          <w:tcPr>
            <w:tcW w:w="992" w:type="dxa"/>
            <w:vMerge w:val="restart"/>
          </w:tcPr>
          <w:p w:rsidR="000B6423" w:rsidRDefault="000B6423"/>
          <w:p w:rsidR="000B6423" w:rsidRDefault="00C13119">
            <w:r>
              <w:rPr>
                <w:rFonts w:ascii="宋体" w:hAnsi="宋体" w:hint="eastAsia"/>
                <w:bCs/>
                <w:color w:val="000000"/>
                <w:kern w:val="0"/>
                <w:szCs w:val="21"/>
              </w:rPr>
              <w:t>机构</w:t>
            </w:r>
          </w:p>
        </w:tc>
        <w:tc>
          <w:tcPr>
            <w:tcW w:w="991" w:type="dxa"/>
            <w:vAlign w:val="center"/>
          </w:tcPr>
          <w:p w:rsidR="000B6423" w:rsidRDefault="00C13119">
            <w:pPr>
              <w:jc w:val="center"/>
            </w:pPr>
            <w:r>
              <w:rPr>
                <w:rFonts w:ascii="宋体" w:hAnsi="宋体" w:hint="eastAsia"/>
                <w:color w:val="000000"/>
                <w:kern w:val="0"/>
                <w:szCs w:val="21"/>
              </w:rPr>
              <w:t>1</w:t>
            </w:r>
          </w:p>
        </w:tc>
        <w:tc>
          <w:tcPr>
            <w:tcW w:w="1843" w:type="dxa"/>
            <w:vAlign w:val="center"/>
          </w:tcPr>
          <w:p w:rsidR="000B6423" w:rsidRDefault="00C13119">
            <w:pPr>
              <w:jc w:val="center"/>
            </w:pPr>
            <w:r>
              <w:rPr>
                <w:rFonts w:ascii="宋体" w:hAnsi="宋体" w:hint="eastAsia"/>
                <w:color w:val="000000"/>
                <w:kern w:val="0"/>
                <w:szCs w:val="21"/>
              </w:rPr>
              <w:t>2018/1/1-2018/3/31</w:t>
            </w:r>
          </w:p>
        </w:tc>
        <w:tc>
          <w:tcPr>
            <w:tcW w:w="851" w:type="dxa"/>
            <w:vAlign w:val="center"/>
          </w:tcPr>
          <w:p w:rsidR="000B6423" w:rsidRDefault="00C13119">
            <w:pPr>
              <w:jc w:val="center"/>
            </w:pPr>
            <w:r>
              <w:rPr>
                <w:rFonts w:ascii="宋体" w:hAnsi="宋体" w:hint="eastAsia"/>
                <w:color w:val="000000"/>
                <w:kern w:val="0"/>
                <w:szCs w:val="21"/>
              </w:rPr>
              <w:t>-</w:t>
            </w:r>
          </w:p>
        </w:tc>
        <w:tc>
          <w:tcPr>
            <w:tcW w:w="850" w:type="dxa"/>
            <w:vAlign w:val="center"/>
          </w:tcPr>
          <w:p w:rsidR="000B6423" w:rsidRDefault="00C13119">
            <w:pPr>
              <w:jc w:val="center"/>
            </w:pPr>
            <w:r>
              <w:rPr>
                <w:rFonts w:ascii="宋体" w:hAnsi="宋体" w:hint="eastAsia"/>
                <w:color w:val="000000"/>
                <w:kern w:val="0"/>
                <w:szCs w:val="21"/>
              </w:rPr>
              <w:t>2,000,000,000.00</w:t>
            </w:r>
          </w:p>
        </w:tc>
        <w:tc>
          <w:tcPr>
            <w:tcW w:w="1134" w:type="dxa"/>
            <w:vAlign w:val="center"/>
          </w:tcPr>
          <w:p w:rsidR="000B6423" w:rsidRDefault="00C13119">
            <w:pPr>
              <w:jc w:val="center"/>
            </w:pPr>
            <w:r>
              <w:rPr>
                <w:rFonts w:ascii="宋体" w:hAnsi="宋体" w:hint="eastAsia"/>
                <w:color w:val="000000"/>
                <w:kern w:val="0"/>
                <w:szCs w:val="21"/>
              </w:rPr>
              <w:t>-</w:t>
            </w:r>
          </w:p>
        </w:tc>
        <w:tc>
          <w:tcPr>
            <w:tcW w:w="1419" w:type="dxa"/>
            <w:vAlign w:val="center"/>
          </w:tcPr>
          <w:p w:rsidR="000B6423" w:rsidRDefault="00C13119">
            <w:pPr>
              <w:jc w:val="center"/>
            </w:pPr>
            <w:r>
              <w:rPr>
                <w:rFonts w:ascii="宋体" w:hAnsi="宋体" w:hint="eastAsia"/>
                <w:color w:val="000000"/>
                <w:kern w:val="0"/>
                <w:szCs w:val="21"/>
              </w:rPr>
              <w:t>2,000,000,000.00</w:t>
            </w:r>
          </w:p>
        </w:tc>
        <w:tc>
          <w:tcPr>
            <w:tcW w:w="1130" w:type="dxa"/>
            <w:vAlign w:val="center"/>
          </w:tcPr>
          <w:p w:rsidR="000B6423" w:rsidRDefault="00C13119">
            <w:pPr>
              <w:jc w:val="center"/>
            </w:pPr>
            <w:r>
              <w:rPr>
                <w:rFonts w:ascii="宋体" w:hAnsi="宋体" w:hint="eastAsia"/>
                <w:color w:val="000000"/>
                <w:kern w:val="0"/>
                <w:szCs w:val="21"/>
              </w:rPr>
              <w:t>12.55%</w:t>
            </w:r>
          </w:p>
        </w:tc>
      </w:tr>
      <w:tr w:rsidR="000B6423">
        <w:tc>
          <w:tcPr>
            <w:tcW w:w="992" w:type="dxa"/>
            <w:vMerge/>
          </w:tcPr>
          <w:p w:rsidR="000B6423" w:rsidRDefault="000B6423"/>
        </w:tc>
        <w:tc>
          <w:tcPr>
            <w:tcW w:w="991" w:type="dxa"/>
            <w:vAlign w:val="center"/>
          </w:tcPr>
          <w:p w:rsidR="000B6423" w:rsidRDefault="00C13119">
            <w:pPr>
              <w:jc w:val="center"/>
            </w:pPr>
            <w:r>
              <w:rPr>
                <w:rFonts w:ascii="宋体" w:hAnsi="宋体" w:hint="eastAsia"/>
                <w:color w:val="000000"/>
                <w:kern w:val="0"/>
                <w:szCs w:val="21"/>
              </w:rPr>
              <w:t>2</w:t>
            </w:r>
          </w:p>
        </w:tc>
        <w:tc>
          <w:tcPr>
            <w:tcW w:w="1843" w:type="dxa"/>
            <w:vAlign w:val="center"/>
          </w:tcPr>
          <w:p w:rsidR="000B6423" w:rsidRDefault="00C13119">
            <w:pPr>
              <w:jc w:val="center"/>
            </w:pPr>
            <w:r>
              <w:rPr>
                <w:rFonts w:ascii="宋体" w:hAnsi="宋体" w:hint="eastAsia"/>
                <w:color w:val="000000"/>
                <w:kern w:val="0"/>
                <w:szCs w:val="21"/>
              </w:rPr>
              <w:t>2018/1/1-2018/3/31</w:t>
            </w:r>
          </w:p>
        </w:tc>
        <w:tc>
          <w:tcPr>
            <w:tcW w:w="851" w:type="dxa"/>
            <w:vAlign w:val="center"/>
          </w:tcPr>
          <w:p w:rsidR="000B6423" w:rsidRDefault="00C13119">
            <w:pPr>
              <w:jc w:val="center"/>
            </w:pPr>
            <w:r>
              <w:rPr>
                <w:rFonts w:ascii="宋体" w:hAnsi="宋体" w:hint="eastAsia"/>
                <w:color w:val="000000"/>
                <w:kern w:val="0"/>
                <w:szCs w:val="21"/>
              </w:rPr>
              <w:t>-</w:t>
            </w:r>
          </w:p>
        </w:tc>
        <w:tc>
          <w:tcPr>
            <w:tcW w:w="850" w:type="dxa"/>
            <w:vAlign w:val="center"/>
          </w:tcPr>
          <w:p w:rsidR="000B6423" w:rsidRDefault="00C13119">
            <w:pPr>
              <w:jc w:val="center"/>
            </w:pPr>
            <w:r>
              <w:rPr>
                <w:rFonts w:ascii="宋体" w:hAnsi="宋体" w:hint="eastAsia"/>
                <w:color w:val="000000"/>
                <w:kern w:val="0"/>
                <w:szCs w:val="21"/>
              </w:rPr>
              <w:t>4,000,000,000.00</w:t>
            </w:r>
          </w:p>
        </w:tc>
        <w:tc>
          <w:tcPr>
            <w:tcW w:w="1134" w:type="dxa"/>
            <w:vAlign w:val="center"/>
          </w:tcPr>
          <w:p w:rsidR="000B6423" w:rsidRDefault="00C13119">
            <w:pPr>
              <w:jc w:val="center"/>
            </w:pPr>
            <w:r>
              <w:rPr>
                <w:rFonts w:ascii="宋体" w:hAnsi="宋体" w:hint="eastAsia"/>
                <w:color w:val="000000"/>
                <w:kern w:val="0"/>
                <w:szCs w:val="21"/>
              </w:rPr>
              <w:t>-</w:t>
            </w:r>
          </w:p>
        </w:tc>
        <w:tc>
          <w:tcPr>
            <w:tcW w:w="1419" w:type="dxa"/>
            <w:vAlign w:val="center"/>
          </w:tcPr>
          <w:p w:rsidR="000B6423" w:rsidRDefault="00C13119">
            <w:pPr>
              <w:jc w:val="center"/>
            </w:pPr>
            <w:r>
              <w:rPr>
                <w:rFonts w:ascii="宋体" w:hAnsi="宋体" w:hint="eastAsia"/>
                <w:color w:val="000000"/>
                <w:kern w:val="0"/>
                <w:szCs w:val="21"/>
              </w:rPr>
              <w:t>4,000,000,000.00</w:t>
            </w:r>
          </w:p>
        </w:tc>
        <w:tc>
          <w:tcPr>
            <w:tcW w:w="1130" w:type="dxa"/>
            <w:vAlign w:val="center"/>
          </w:tcPr>
          <w:p w:rsidR="000B6423" w:rsidRDefault="00C13119">
            <w:pPr>
              <w:jc w:val="center"/>
            </w:pPr>
            <w:r>
              <w:rPr>
                <w:rFonts w:ascii="宋体" w:hAnsi="宋体" w:hint="eastAsia"/>
                <w:color w:val="000000"/>
                <w:kern w:val="0"/>
                <w:szCs w:val="21"/>
              </w:rPr>
              <w:t>25.10%</w:t>
            </w:r>
          </w:p>
        </w:tc>
      </w:tr>
      <w:tr w:rsidR="000B6423">
        <w:tc>
          <w:tcPr>
            <w:tcW w:w="992" w:type="dxa"/>
            <w:vMerge/>
          </w:tcPr>
          <w:p w:rsidR="000B6423" w:rsidRDefault="000B6423"/>
        </w:tc>
        <w:tc>
          <w:tcPr>
            <w:tcW w:w="991" w:type="dxa"/>
            <w:vAlign w:val="center"/>
          </w:tcPr>
          <w:p w:rsidR="000B6423" w:rsidRDefault="00C13119">
            <w:pPr>
              <w:jc w:val="center"/>
            </w:pPr>
            <w:r>
              <w:rPr>
                <w:rFonts w:ascii="宋体" w:hAnsi="宋体" w:hint="eastAsia"/>
                <w:color w:val="000000"/>
                <w:kern w:val="0"/>
                <w:szCs w:val="21"/>
              </w:rPr>
              <w:t>3</w:t>
            </w:r>
          </w:p>
        </w:tc>
        <w:tc>
          <w:tcPr>
            <w:tcW w:w="1843" w:type="dxa"/>
            <w:vAlign w:val="center"/>
          </w:tcPr>
          <w:p w:rsidR="000B6423" w:rsidRDefault="00C13119">
            <w:pPr>
              <w:jc w:val="center"/>
            </w:pPr>
            <w:r>
              <w:rPr>
                <w:rFonts w:ascii="宋体" w:hAnsi="宋体" w:hint="eastAsia"/>
                <w:color w:val="000000"/>
                <w:kern w:val="0"/>
                <w:szCs w:val="21"/>
              </w:rPr>
              <w:t>2018/1/1-2018/3/31</w:t>
            </w:r>
          </w:p>
        </w:tc>
        <w:tc>
          <w:tcPr>
            <w:tcW w:w="851" w:type="dxa"/>
            <w:vAlign w:val="center"/>
          </w:tcPr>
          <w:p w:rsidR="000B6423" w:rsidRDefault="00C13119">
            <w:pPr>
              <w:jc w:val="center"/>
            </w:pPr>
            <w:r>
              <w:rPr>
                <w:rFonts w:ascii="宋体" w:hAnsi="宋体" w:hint="eastAsia"/>
                <w:color w:val="000000"/>
                <w:kern w:val="0"/>
                <w:szCs w:val="21"/>
              </w:rPr>
              <w:t>2,493,498,933.23</w:t>
            </w:r>
          </w:p>
        </w:tc>
        <w:tc>
          <w:tcPr>
            <w:tcW w:w="850" w:type="dxa"/>
            <w:vAlign w:val="center"/>
          </w:tcPr>
          <w:p w:rsidR="000B6423" w:rsidRDefault="00C13119">
            <w:pPr>
              <w:jc w:val="center"/>
            </w:pPr>
            <w:r>
              <w:rPr>
                <w:rFonts w:ascii="宋体" w:hAnsi="宋体" w:hint="eastAsia"/>
                <w:color w:val="000000"/>
                <w:kern w:val="0"/>
                <w:szCs w:val="21"/>
              </w:rPr>
              <w:t>23,228,398.16</w:t>
            </w:r>
          </w:p>
        </w:tc>
        <w:tc>
          <w:tcPr>
            <w:tcW w:w="1134" w:type="dxa"/>
            <w:vAlign w:val="center"/>
          </w:tcPr>
          <w:p w:rsidR="000B6423" w:rsidRDefault="00C13119">
            <w:pPr>
              <w:jc w:val="center"/>
            </w:pPr>
            <w:r>
              <w:rPr>
                <w:rFonts w:ascii="宋体" w:hAnsi="宋体" w:hint="eastAsia"/>
                <w:color w:val="000000"/>
                <w:kern w:val="0"/>
                <w:szCs w:val="21"/>
              </w:rPr>
              <w:t>14,000,000.00</w:t>
            </w:r>
          </w:p>
        </w:tc>
        <w:tc>
          <w:tcPr>
            <w:tcW w:w="1419" w:type="dxa"/>
            <w:vAlign w:val="center"/>
          </w:tcPr>
          <w:p w:rsidR="000B6423" w:rsidRDefault="00C13119">
            <w:pPr>
              <w:jc w:val="center"/>
            </w:pPr>
            <w:r>
              <w:rPr>
                <w:rFonts w:ascii="宋体" w:hAnsi="宋体" w:hint="eastAsia"/>
                <w:color w:val="000000"/>
                <w:kern w:val="0"/>
                <w:szCs w:val="21"/>
              </w:rPr>
              <w:t>2,502,727,331.39</w:t>
            </w:r>
          </w:p>
        </w:tc>
        <w:tc>
          <w:tcPr>
            <w:tcW w:w="1130" w:type="dxa"/>
            <w:vAlign w:val="center"/>
          </w:tcPr>
          <w:p w:rsidR="000B6423" w:rsidRDefault="00C13119">
            <w:pPr>
              <w:jc w:val="center"/>
            </w:pPr>
            <w:r>
              <w:rPr>
                <w:rFonts w:ascii="宋体" w:hAnsi="宋体" w:hint="eastAsia"/>
                <w:color w:val="000000"/>
                <w:kern w:val="0"/>
                <w:szCs w:val="21"/>
              </w:rPr>
              <w:t>15.70%</w:t>
            </w:r>
          </w:p>
        </w:tc>
      </w:tr>
      <w:tr w:rsidR="000B6423">
        <w:tc>
          <w:tcPr>
            <w:tcW w:w="992" w:type="dxa"/>
            <w:vMerge/>
          </w:tcPr>
          <w:p w:rsidR="000B6423" w:rsidRDefault="000B6423"/>
        </w:tc>
        <w:tc>
          <w:tcPr>
            <w:tcW w:w="991" w:type="dxa"/>
            <w:vAlign w:val="center"/>
          </w:tcPr>
          <w:p w:rsidR="000B6423" w:rsidRDefault="00C13119">
            <w:pPr>
              <w:jc w:val="center"/>
            </w:pPr>
            <w:r>
              <w:rPr>
                <w:rFonts w:ascii="宋体" w:hAnsi="宋体" w:hint="eastAsia"/>
                <w:color w:val="000000"/>
                <w:kern w:val="0"/>
                <w:szCs w:val="21"/>
              </w:rPr>
              <w:t>4</w:t>
            </w:r>
          </w:p>
        </w:tc>
        <w:tc>
          <w:tcPr>
            <w:tcW w:w="1843" w:type="dxa"/>
            <w:vAlign w:val="center"/>
          </w:tcPr>
          <w:p w:rsidR="000B6423" w:rsidRDefault="00C13119">
            <w:pPr>
              <w:jc w:val="center"/>
            </w:pPr>
            <w:r>
              <w:rPr>
                <w:rFonts w:ascii="宋体" w:hAnsi="宋体" w:hint="eastAsia"/>
                <w:color w:val="000000"/>
                <w:kern w:val="0"/>
                <w:szCs w:val="21"/>
              </w:rPr>
              <w:t>2018/1/1-2018/3/31</w:t>
            </w:r>
          </w:p>
        </w:tc>
        <w:tc>
          <w:tcPr>
            <w:tcW w:w="851" w:type="dxa"/>
            <w:vAlign w:val="center"/>
          </w:tcPr>
          <w:p w:rsidR="000B6423" w:rsidRDefault="00C13119">
            <w:pPr>
              <w:jc w:val="center"/>
            </w:pPr>
            <w:r>
              <w:rPr>
                <w:rFonts w:ascii="宋体" w:hAnsi="宋体" w:hint="eastAsia"/>
                <w:color w:val="000000"/>
                <w:kern w:val="0"/>
                <w:szCs w:val="21"/>
              </w:rPr>
              <w:t>503,760,818.69</w:t>
            </w:r>
          </w:p>
        </w:tc>
        <w:tc>
          <w:tcPr>
            <w:tcW w:w="850" w:type="dxa"/>
            <w:vAlign w:val="center"/>
          </w:tcPr>
          <w:p w:rsidR="000B6423" w:rsidRDefault="00C13119">
            <w:pPr>
              <w:jc w:val="center"/>
            </w:pPr>
            <w:r>
              <w:rPr>
                <w:rFonts w:ascii="宋体" w:hAnsi="宋体" w:hint="eastAsia"/>
                <w:color w:val="000000"/>
                <w:kern w:val="0"/>
                <w:szCs w:val="21"/>
              </w:rPr>
              <w:t>1,012,242,981.32</w:t>
            </w:r>
          </w:p>
        </w:tc>
        <w:tc>
          <w:tcPr>
            <w:tcW w:w="1134" w:type="dxa"/>
            <w:vAlign w:val="center"/>
          </w:tcPr>
          <w:p w:rsidR="000B6423" w:rsidRDefault="00C13119">
            <w:pPr>
              <w:jc w:val="center"/>
            </w:pPr>
            <w:r>
              <w:rPr>
                <w:rFonts w:ascii="宋体" w:hAnsi="宋体" w:hint="eastAsia"/>
                <w:color w:val="000000"/>
                <w:kern w:val="0"/>
                <w:szCs w:val="21"/>
              </w:rPr>
              <w:t>-</w:t>
            </w:r>
          </w:p>
        </w:tc>
        <w:tc>
          <w:tcPr>
            <w:tcW w:w="1419" w:type="dxa"/>
            <w:vAlign w:val="center"/>
          </w:tcPr>
          <w:p w:rsidR="000B6423" w:rsidRDefault="00C13119">
            <w:pPr>
              <w:jc w:val="center"/>
            </w:pPr>
            <w:r>
              <w:rPr>
                <w:rFonts w:ascii="宋体" w:hAnsi="宋体" w:hint="eastAsia"/>
                <w:color w:val="000000"/>
                <w:kern w:val="0"/>
                <w:szCs w:val="21"/>
              </w:rPr>
              <w:t>1,516,003,800.01</w:t>
            </w:r>
          </w:p>
        </w:tc>
        <w:tc>
          <w:tcPr>
            <w:tcW w:w="1130" w:type="dxa"/>
            <w:vAlign w:val="center"/>
          </w:tcPr>
          <w:p w:rsidR="000B6423" w:rsidRDefault="00C13119">
            <w:pPr>
              <w:jc w:val="center"/>
            </w:pPr>
            <w:r>
              <w:rPr>
                <w:rFonts w:ascii="宋体" w:hAnsi="宋体" w:hint="eastAsia"/>
                <w:color w:val="000000"/>
                <w:kern w:val="0"/>
                <w:szCs w:val="21"/>
              </w:rPr>
              <w:t>9.51%</w:t>
            </w:r>
          </w:p>
        </w:tc>
      </w:tr>
      <w:tr w:rsidR="000B6423">
        <w:tc>
          <w:tcPr>
            <w:tcW w:w="992" w:type="dxa"/>
            <w:vMerge/>
          </w:tcPr>
          <w:p w:rsidR="000B6423" w:rsidRDefault="000B6423"/>
        </w:tc>
        <w:tc>
          <w:tcPr>
            <w:tcW w:w="991" w:type="dxa"/>
            <w:vAlign w:val="center"/>
          </w:tcPr>
          <w:p w:rsidR="000B6423" w:rsidRDefault="00C13119">
            <w:pPr>
              <w:jc w:val="center"/>
            </w:pPr>
            <w:r>
              <w:rPr>
                <w:rFonts w:ascii="宋体" w:hAnsi="宋体" w:hint="eastAsia"/>
                <w:color w:val="000000"/>
                <w:kern w:val="0"/>
                <w:szCs w:val="21"/>
              </w:rPr>
              <w:t>5</w:t>
            </w:r>
          </w:p>
        </w:tc>
        <w:tc>
          <w:tcPr>
            <w:tcW w:w="1843" w:type="dxa"/>
            <w:vAlign w:val="center"/>
          </w:tcPr>
          <w:p w:rsidR="000B6423" w:rsidRDefault="00C13119">
            <w:pPr>
              <w:jc w:val="center"/>
            </w:pPr>
            <w:r>
              <w:rPr>
                <w:rFonts w:ascii="宋体" w:hAnsi="宋体" w:hint="eastAsia"/>
                <w:color w:val="000000"/>
                <w:kern w:val="0"/>
                <w:szCs w:val="21"/>
              </w:rPr>
              <w:t>2018/1/1-2018/3/31</w:t>
            </w:r>
          </w:p>
        </w:tc>
        <w:tc>
          <w:tcPr>
            <w:tcW w:w="851" w:type="dxa"/>
            <w:vAlign w:val="center"/>
          </w:tcPr>
          <w:p w:rsidR="000B6423" w:rsidRDefault="00C13119">
            <w:pPr>
              <w:jc w:val="center"/>
            </w:pPr>
            <w:r>
              <w:rPr>
                <w:rFonts w:ascii="宋体" w:hAnsi="宋体" w:hint="eastAsia"/>
                <w:color w:val="000000"/>
                <w:kern w:val="0"/>
                <w:szCs w:val="21"/>
              </w:rPr>
              <w:t>1,000,000,000.00</w:t>
            </w:r>
          </w:p>
        </w:tc>
        <w:tc>
          <w:tcPr>
            <w:tcW w:w="850" w:type="dxa"/>
            <w:vAlign w:val="center"/>
          </w:tcPr>
          <w:p w:rsidR="000B6423" w:rsidRDefault="00C13119">
            <w:pPr>
              <w:jc w:val="center"/>
            </w:pPr>
            <w:r>
              <w:rPr>
                <w:rFonts w:ascii="宋体" w:hAnsi="宋体" w:hint="eastAsia"/>
                <w:color w:val="000000"/>
                <w:kern w:val="0"/>
                <w:szCs w:val="21"/>
              </w:rPr>
              <w:t>1,000,000,000.00</w:t>
            </w:r>
          </w:p>
        </w:tc>
        <w:tc>
          <w:tcPr>
            <w:tcW w:w="1134" w:type="dxa"/>
            <w:vAlign w:val="center"/>
          </w:tcPr>
          <w:p w:rsidR="000B6423" w:rsidRDefault="00C13119">
            <w:pPr>
              <w:jc w:val="center"/>
            </w:pPr>
            <w:r>
              <w:rPr>
                <w:rFonts w:ascii="宋体" w:hAnsi="宋体" w:hint="eastAsia"/>
                <w:color w:val="000000"/>
                <w:kern w:val="0"/>
                <w:szCs w:val="21"/>
              </w:rPr>
              <w:t>1,000,000,000.00</w:t>
            </w:r>
          </w:p>
        </w:tc>
        <w:tc>
          <w:tcPr>
            <w:tcW w:w="1419" w:type="dxa"/>
            <w:vAlign w:val="center"/>
          </w:tcPr>
          <w:p w:rsidR="000B6423" w:rsidRDefault="00C13119">
            <w:pPr>
              <w:jc w:val="center"/>
            </w:pPr>
            <w:r>
              <w:rPr>
                <w:rFonts w:ascii="宋体" w:hAnsi="宋体" w:hint="eastAsia"/>
                <w:color w:val="000000"/>
                <w:kern w:val="0"/>
                <w:szCs w:val="21"/>
              </w:rPr>
              <w:t>1,000,000,000.00</w:t>
            </w:r>
          </w:p>
        </w:tc>
        <w:tc>
          <w:tcPr>
            <w:tcW w:w="1130" w:type="dxa"/>
            <w:vAlign w:val="center"/>
          </w:tcPr>
          <w:p w:rsidR="000B6423" w:rsidRDefault="00C13119">
            <w:pPr>
              <w:jc w:val="center"/>
            </w:pPr>
            <w:r>
              <w:rPr>
                <w:rFonts w:ascii="宋体" w:hAnsi="宋体" w:hint="eastAsia"/>
                <w:color w:val="000000"/>
                <w:kern w:val="0"/>
                <w:szCs w:val="21"/>
              </w:rPr>
              <w:t>6.28%</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center"/>
              <w:rPr>
                <w:rFonts w:ascii="宋体" w:hAnsi="宋体"/>
                <w:kern w:val="0"/>
                <w:szCs w:val="21"/>
              </w:rPr>
            </w:pPr>
            <w:r>
              <w:rPr>
                <w:rFonts w:ascii="宋体" w:hAnsi="宋体" w:hint="eastAsia"/>
                <w:color w:val="000000"/>
                <w:kern w:val="0"/>
                <w:szCs w:val="21"/>
              </w:rPr>
              <w:t>产品特有风险</w:t>
            </w:r>
          </w:p>
        </w:tc>
      </w:tr>
      <w:tr w:rsidR="003D1E1A" w:rsidTr="003D1E1A">
        <w:tc>
          <w:tcPr>
            <w:tcW w:w="9212" w:type="dxa"/>
            <w:gridSpan w:val="8"/>
            <w:tcBorders>
              <w:top w:val="single" w:sz="4" w:space="0" w:color="auto"/>
              <w:left w:val="single" w:sz="4" w:space="0" w:color="auto"/>
              <w:bottom w:val="single" w:sz="4" w:space="0" w:color="auto"/>
              <w:right w:val="single" w:sz="4" w:space="0" w:color="auto"/>
            </w:tcBorders>
            <w:vAlign w:val="center"/>
            <w:hideMark/>
          </w:tcPr>
          <w:p w:rsidR="003D1E1A" w:rsidRDefault="003D1E1A">
            <w:pPr>
              <w:autoSpaceDE w:val="0"/>
              <w:autoSpaceDN w:val="0"/>
              <w:adjustRightInd w:val="0"/>
              <w:jc w:val="left"/>
              <w:rPr>
                <w:rFonts w:ascii="宋体" w:hAnsi="宋体"/>
                <w:kern w:val="0"/>
                <w:szCs w:val="21"/>
              </w:rPr>
            </w:pPr>
            <w:r>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3D1E1A" w:rsidRDefault="003D1E1A" w:rsidP="003D1E1A">
      <w:pPr>
        <w:autoSpaceDE w:val="0"/>
        <w:autoSpaceDN w:val="0"/>
        <w:adjustRightInd w:val="0"/>
        <w:spacing w:line="360" w:lineRule="auto"/>
        <w:jc w:val="left"/>
        <w:rPr>
          <w:rFonts w:ascii="宋体" w:hAnsi="宋体"/>
          <w:b/>
          <w:bCs/>
          <w:color w:val="000000"/>
          <w:kern w:val="0"/>
          <w:sz w:val="24"/>
        </w:rPr>
      </w:pPr>
      <w:r>
        <w:rPr>
          <w:rFonts w:ascii="宋体" w:hAnsi="宋体" w:hint="eastAsia"/>
          <w:b/>
          <w:bCs/>
          <w:color w:val="000000"/>
          <w:kern w:val="0"/>
          <w:sz w:val="24"/>
        </w:rPr>
        <w:t>8.2 影响投资者决策的其他重要信息</w:t>
      </w:r>
    </w:p>
    <w:p w:rsidR="000B6423" w:rsidRPr="00864423" w:rsidRDefault="00C13119" w:rsidP="00864423">
      <w:pPr>
        <w:spacing w:before="29" w:line="288" w:lineRule="auto"/>
        <w:ind w:firstLineChars="200" w:firstLine="480"/>
        <w:rPr>
          <w:color w:val="000000"/>
          <w:sz w:val="24"/>
        </w:rPr>
      </w:pPr>
      <w:r w:rsidRPr="00864423">
        <w:rPr>
          <w:rFonts w:hint="eastAsia"/>
          <w:color w:val="000000"/>
          <w:sz w:val="24"/>
        </w:rPr>
        <w:lastRenderedPageBreak/>
        <w:t>1</w:t>
      </w:r>
      <w:r w:rsidRPr="00864423">
        <w:rPr>
          <w:rFonts w:hint="eastAsia"/>
          <w:color w:val="000000"/>
          <w:sz w:val="24"/>
        </w:rPr>
        <w:t>、根据财政部和国家税务总局于</w:t>
      </w:r>
      <w:r w:rsidRPr="00864423">
        <w:rPr>
          <w:rFonts w:hint="eastAsia"/>
          <w:color w:val="000000"/>
          <w:sz w:val="24"/>
        </w:rPr>
        <w:t>2016</w:t>
      </w:r>
      <w:r w:rsidRPr="00864423">
        <w:rPr>
          <w:rFonts w:hint="eastAsia"/>
          <w:color w:val="000000"/>
          <w:sz w:val="24"/>
        </w:rPr>
        <w:t>年</w:t>
      </w:r>
      <w:r w:rsidRPr="00864423">
        <w:rPr>
          <w:rFonts w:hint="eastAsia"/>
          <w:color w:val="000000"/>
          <w:sz w:val="24"/>
        </w:rPr>
        <w:t>12</w:t>
      </w:r>
      <w:r w:rsidRPr="00864423">
        <w:rPr>
          <w:rFonts w:hint="eastAsia"/>
          <w:color w:val="000000"/>
          <w:sz w:val="24"/>
        </w:rPr>
        <w:t>月</w:t>
      </w:r>
      <w:r w:rsidRPr="00864423">
        <w:rPr>
          <w:rFonts w:hint="eastAsia"/>
          <w:color w:val="000000"/>
          <w:sz w:val="24"/>
        </w:rPr>
        <w:t>21</w:t>
      </w:r>
      <w:r w:rsidRPr="00864423">
        <w:rPr>
          <w:rFonts w:hint="eastAsia"/>
          <w:color w:val="000000"/>
          <w:sz w:val="24"/>
        </w:rPr>
        <w:t>日联合发布的《关于明确金融、房地产开发、教育辅助服务等增值税政策的通知》（财税</w:t>
      </w:r>
      <w:r w:rsidRPr="00864423">
        <w:rPr>
          <w:rFonts w:hint="eastAsia"/>
          <w:color w:val="000000"/>
          <w:sz w:val="24"/>
        </w:rPr>
        <w:t>[2016]140</w:t>
      </w:r>
      <w:r w:rsidRPr="00864423">
        <w:rPr>
          <w:rFonts w:hint="eastAsia"/>
          <w:color w:val="000000"/>
          <w:sz w:val="24"/>
        </w:rPr>
        <w:t>号）以及于</w:t>
      </w:r>
      <w:r w:rsidRPr="00864423">
        <w:rPr>
          <w:rFonts w:hint="eastAsia"/>
          <w:color w:val="000000"/>
          <w:sz w:val="24"/>
        </w:rPr>
        <w:t>2017</w:t>
      </w:r>
      <w:r w:rsidRPr="00864423">
        <w:rPr>
          <w:rFonts w:hint="eastAsia"/>
          <w:color w:val="000000"/>
          <w:sz w:val="24"/>
        </w:rPr>
        <w:t>年</w:t>
      </w:r>
      <w:r w:rsidRPr="00864423">
        <w:rPr>
          <w:rFonts w:hint="eastAsia"/>
          <w:color w:val="000000"/>
          <w:sz w:val="24"/>
        </w:rPr>
        <w:t>6</w:t>
      </w:r>
      <w:r w:rsidRPr="00864423">
        <w:rPr>
          <w:rFonts w:hint="eastAsia"/>
          <w:color w:val="000000"/>
          <w:sz w:val="24"/>
        </w:rPr>
        <w:t>月</w:t>
      </w:r>
      <w:r w:rsidRPr="00864423">
        <w:rPr>
          <w:rFonts w:hint="eastAsia"/>
          <w:color w:val="000000"/>
          <w:sz w:val="24"/>
        </w:rPr>
        <w:t>30</w:t>
      </w:r>
      <w:r w:rsidRPr="00864423">
        <w:rPr>
          <w:rFonts w:hint="eastAsia"/>
          <w:color w:val="000000"/>
          <w:sz w:val="24"/>
        </w:rPr>
        <w:t>日联合发布的《财政部、税务总局关于资管产品增值税有关问题的通知》（财税</w:t>
      </w:r>
      <w:r w:rsidRPr="00864423">
        <w:rPr>
          <w:rFonts w:hint="eastAsia"/>
          <w:color w:val="000000"/>
          <w:sz w:val="24"/>
        </w:rPr>
        <w:t>[2017]56</w:t>
      </w:r>
      <w:r w:rsidRPr="00864423">
        <w:rPr>
          <w:rFonts w:hint="eastAsia"/>
          <w:color w:val="000000"/>
          <w:sz w:val="24"/>
        </w:rPr>
        <w:t>号）等规定，自</w:t>
      </w:r>
      <w:r w:rsidRPr="00864423">
        <w:rPr>
          <w:rFonts w:hint="eastAsia"/>
          <w:color w:val="000000"/>
          <w:sz w:val="24"/>
        </w:rPr>
        <w:t>2018</w:t>
      </w:r>
      <w:r w:rsidRPr="00864423">
        <w:rPr>
          <w:rFonts w:hint="eastAsia"/>
          <w:color w:val="000000"/>
          <w:sz w:val="24"/>
        </w:rPr>
        <w:t>年</w:t>
      </w:r>
      <w:r w:rsidRPr="00864423">
        <w:rPr>
          <w:rFonts w:hint="eastAsia"/>
          <w:color w:val="000000"/>
          <w:sz w:val="24"/>
        </w:rPr>
        <w:t>1</w:t>
      </w:r>
      <w:r w:rsidRPr="00864423">
        <w:rPr>
          <w:rFonts w:hint="eastAsia"/>
          <w:color w:val="000000"/>
          <w:sz w:val="24"/>
        </w:rPr>
        <w:t>月</w:t>
      </w:r>
      <w:r w:rsidRPr="00864423">
        <w:rPr>
          <w:rFonts w:hint="eastAsia"/>
          <w:color w:val="000000"/>
          <w:sz w:val="24"/>
        </w:rPr>
        <w:t>1</w:t>
      </w:r>
      <w:r w:rsidRPr="00864423">
        <w:rPr>
          <w:rFonts w:hint="eastAsia"/>
          <w:color w:val="000000"/>
          <w:sz w:val="24"/>
        </w:rPr>
        <w:t>日（含）起，基金管理人运营公开募集证券投资基金（以下</w:t>
      </w:r>
      <w:bookmarkStart w:id="2" w:name="_GoBack"/>
      <w:bookmarkEnd w:id="2"/>
      <w:r w:rsidRPr="00864423">
        <w:rPr>
          <w:rFonts w:hint="eastAsia"/>
          <w:color w:val="000000"/>
          <w:sz w:val="24"/>
        </w:rPr>
        <w:t>简称“基金”）过程中发生的增值税应税行为，应按照现行规定缴纳增值税。本基金管理人将依据国家税收法律、法规、规章及税收规范性文件的规定，对管理的基金产品运营过程中产生的应税收入，计提及缴纳增值税及附加税费，该部分税费由基金资产承担。如后续国家法律法规、税收政策进行调整的，或者对基金产品的税收政策作出补充规定的，基金管理人将及时根据所涉及的税收政策作出相应调整，切实履行基金管理人的职责。</w:t>
      </w:r>
    </w:p>
    <w:p w:rsidR="003D1E1A" w:rsidRPr="00864423" w:rsidRDefault="003D1E1A" w:rsidP="00864423">
      <w:pPr>
        <w:spacing w:before="29" w:line="288" w:lineRule="auto"/>
        <w:ind w:firstLineChars="200" w:firstLine="480"/>
        <w:rPr>
          <w:color w:val="000000"/>
          <w:sz w:val="24"/>
        </w:rPr>
      </w:pPr>
      <w:r w:rsidRPr="00864423">
        <w:rPr>
          <w:rFonts w:hint="eastAsia"/>
          <w:color w:val="000000"/>
          <w:sz w:val="24"/>
        </w:rPr>
        <w:t>2</w:t>
      </w:r>
      <w:r w:rsidRPr="00864423">
        <w:rPr>
          <w:rFonts w:hint="eastAsia"/>
          <w:color w:val="000000"/>
          <w:sz w:val="24"/>
        </w:rPr>
        <w:t>、根据《公开募集开放式证券投资基金流动性风险管理规定》的有关规定及相关监管要求，经与基金托管人协商一致并报监管机构备案，基金管理人对本基金基金合同等法律文件作相应修改。欲知详情请查阅本基金管理人于</w:t>
      </w:r>
      <w:r w:rsidRPr="00864423">
        <w:rPr>
          <w:rFonts w:hint="eastAsia"/>
          <w:color w:val="000000"/>
          <w:sz w:val="24"/>
        </w:rPr>
        <w:t>2018</w:t>
      </w:r>
      <w:r w:rsidRPr="00864423">
        <w:rPr>
          <w:rFonts w:hint="eastAsia"/>
          <w:color w:val="000000"/>
          <w:sz w:val="24"/>
        </w:rPr>
        <w:t>年</w:t>
      </w:r>
      <w:r w:rsidRPr="00864423">
        <w:rPr>
          <w:rFonts w:hint="eastAsia"/>
          <w:color w:val="000000"/>
          <w:sz w:val="24"/>
        </w:rPr>
        <w:t>3</w:t>
      </w:r>
      <w:r w:rsidRPr="00864423">
        <w:rPr>
          <w:rFonts w:hint="eastAsia"/>
          <w:color w:val="000000"/>
          <w:sz w:val="24"/>
        </w:rPr>
        <w:t>月</w:t>
      </w:r>
      <w:r w:rsidRPr="00864423">
        <w:rPr>
          <w:rFonts w:hint="eastAsia"/>
          <w:color w:val="000000"/>
          <w:sz w:val="24"/>
        </w:rPr>
        <w:t>22</w:t>
      </w:r>
      <w:r w:rsidRPr="00864423">
        <w:rPr>
          <w:rFonts w:hint="eastAsia"/>
          <w:color w:val="000000"/>
          <w:sz w:val="24"/>
        </w:rPr>
        <w:t>日发布的有关公告及法律文件。</w:t>
      </w:r>
    </w:p>
    <w:p w:rsidR="001B3FBF" w:rsidRPr="000E4C40" w:rsidRDefault="001B3FBF" w:rsidP="00281564">
      <w:pPr>
        <w:spacing w:before="29" w:line="288" w:lineRule="auto"/>
        <w:ind w:firstLineChars="200" w:firstLine="480"/>
        <w:rPr>
          <w:color w:val="000000"/>
          <w:sz w:val="24"/>
        </w:rPr>
      </w:pPr>
    </w:p>
    <w:p w:rsidR="00C03EF8" w:rsidRPr="009268A2" w:rsidRDefault="009D74FC" w:rsidP="00841EB4">
      <w:pPr>
        <w:pStyle w:val="1"/>
        <w:spacing w:beforeLines="100" w:before="312" w:afterLines="100" w:after="312" w:line="288" w:lineRule="auto"/>
        <w:jc w:val="center"/>
        <w:rPr>
          <w:color w:val="000000"/>
          <w:kern w:val="0"/>
          <w:sz w:val="24"/>
          <w:szCs w:val="24"/>
        </w:rPr>
      </w:pPr>
      <w:r w:rsidRPr="000E4C40">
        <w:rPr>
          <w:color w:val="000000"/>
          <w:kern w:val="0"/>
          <w:sz w:val="24"/>
          <w:szCs w:val="24"/>
        </w:rPr>
        <w:t>§</w:t>
      </w:r>
      <w:r w:rsidR="00DA5831" w:rsidRPr="000E4C40">
        <w:rPr>
          <w:color w:val="000000"/>
          <w:kern w:val="0"/>
          <w:sz w:val="24"/>
          <w:szCs w:val="24"/>
        </w:rPr>
        <w:t>9</w:t>
      </w:r>
      <w:r w:rsidRPr="000E4C40">
        <w:rPr>
          <w:rFonts w:hAnsi="宋体"/>
          <w:color w:val="000000"/>
          <w:kern w:val="0"/>
          <w:sz w:val="24"/>
          <w:szCs w:val="24"/>
        </w:rPr>
        <w:t>备查文件目录</w:t>
      </w: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1</w:t>
      </w:r>
      <w:r w:rsidR="00AB373C" w:rsidRPr="000E4C40">
        <w:rPr>
          <w:rFonts w:hAnsi="宋体"/>
          <w:b/>
          <w:bCs/>
          <w:color w:val="000000"/>
          <w:kern w:val="0"/>
          <w:sz w:val="24"/>
        </w:rPr>
        <w:t>备查文件目录</w:t>
      </w:r>
    </w:p>
    <w:p w:rsidR="000B6423" w:rsidRDefault="00C13119">
      <w:pPr>
        <w:spacing w:before="29" w:line="288" w:lineRule="auto"/>
        <w:ind w:firstLineChars="200" w:firstLine="480"/>
        <w:rPr>
          <w:color w:val="000000"/>
          <w:sz w:val="24"/>
        </w:rPr>
      </w:pPr>
      <w:r>
        <w:rPr>
          <w:color w:val="000000"/>
          <w:sz w:val="24"/>
        </w:rPr>
        <w:t>1</w:t>
      </w:r>
      <w:r>
        <w:rPr>
          <w:color w:val="000000"/>
          <w:sz w:val="24"/>
        </w:rPr>
        <w:t>、中国证监会批准交银施罗德理财</w:t>
      </w:r>
      <w:r>
        <w:rPr>
          <w:color w:val="000000"/>
          <w:sz w:val="24"/>
        </w:rPr>
        <w:t>60</w:t>
      </w:r>
      <w:r>
        <w:rPr>
          <w:color w:val="000000"/>
          <w:sz w:val="24"/>
        </w:rPr>
        <w:t>天债券型证券投资基金募集的文件；</w:t>
      </w:r>
      <w:r>
        <w:rPr>
          <w:color w:val="000000"/>
          <w:sz w:val="24"/>
        </w:rPr>
        <w:t xml:space="preserve"> </w:t>
      </w:r>
    </w:p>
    <w:p w:rsidR="000B6423" w:rsidRDefault="00C13119">
      <w:pPr>
        <w:spacing w:before="29" w:line="288" w:lineRule="auto"/>
        <w:ind w:firstLineChars="200" w:firstLine="480"/>
        <w:rPr>
          <w:color w:val="000000"/>
          <w:sz w:val="24"/>
        </w:rPr>
      </w:pPr>
      <w:r>
        <w:rPr>
          <w:color w:val="000000"/>
          <w:sz w:val="24"/>
        </w:rPr>
        <w:t>2</w:t>
      </w:r>
      <w:r>
        <w:rPr>
          <w:color w:val="000000"/>
          <w:sz w:val="24"/>
        </w:rPr>
        <w:t>、《交银施罗德理财</w:t>
      </w:r>
      <w:r>
        <w:rPr>
          <w:color w:val="000000"/>
          <w:sz w:val="24"/>
        </w:rPr>
        <w:t>60</w:t>
      </w:r>
      <w:r>
        <w:rPr>
          <w:color w:val="000000"/>
          <w:sz w:val="24"/>
        </w:rPr>
        <w:t>天债券型证券投资基金基金合同》；</w:t>
      </w:r>
      <w:r>
        <w:rPr>
          <w:color w:val="000000"/>
          <w:sz w:val="24"/>
        </w:rPr>
        <w:t xml:space="preserve"> </w:t>
      </w:r>
    </w:p>
    <w:p w:rsidR="000B6423" w:rsidRDefault="00C13119">
      <w:pPr>
        <w:spacing w:before="29" w:line="288" w:lineRule="auto"/>
        <w:ind w:firstLineChars="200" w:firstLine="480"/>
        <w:rPr>
          <w:color w:val="000000"/>
          <w:sz w:val="24"/>
        </w:rPr>
      </w:pPr>
      <w:r>
        <w:rPr>
          <w:color w:val="000000"/>
          <w:sz w:val="24"/>
        </w:rPr>
        <w:t>3</w:t>
      </w:r>
      <w:r>
        <w:rPr>
          <w:color w:val="000000"/>
          <w:sz w:val="24"/>
        </w:rPr>
        <w:t>、《交银施罗德理财</w:t>
      </w:r>
      <w:r>
        <w:rPr>
          <w:color w:val="000000"/>
          <w:sz w:val="24"/>
        </w:rPr>
        <w:t>60</w:t>
      </w:r>
      <w:r>
        <w:rPr>
          <w:color w:val="000000"/>
          <w:sz w:val="24"/>
        </w:rPr>
        <w:t>天债券型证券投资基金招募说明书》；</w:t>
      </w:r>
      <w:r>
        <w:rPr>
          <w:color w:val="000000"/>
          <w:sz w:val="24"/>
        </w:rPr>
        <w:t xml:space="preserve"> </w:t>
      </w:r>
    </w:p>
    <w:p w:rsidR="000B6423" w:rsidRDefault="00C13119">
      <w:pPr>
        <w:spacing w:before="29" w:line="288" w:lineRule="auto"/>
        <w:ind w:firstLineChars="200" w:firstLine="480"/>
        <w:rPr>
          <w:color w:val="000000"/>
          <w:sz w:val="24"/>
        </w:rPr>
      </w:pPr>
      <w:r>
        <w:rPr>
          <w:color w:val="000000"/>
          <w:sz w:val="24"/>
        </w:rPr>
        <w:t>4</w:t>
      </w:r>
      <w:r>
        <w:rPr>
          <w:color w:val="000000"/>
          <w:sz w:val="24"/>
        </w:rPr>
        <w:t>、《交银施罗德理财</w:t>
      </w:r>
      <w:r>
        <w:rPr>
          <w:color w:val="000000"/>
          <w:sz w:val="24"/>
        </w:rPr>
        <w:t>60</w:t>
      </w:r>
      <w:r>
        <w:rPr>
          <w:color w:val="000000"/>
          <w:sz w:val="24"/>
        </w:rPr>
        <w:t>天债券型证券投资基金托管协议》；</w:t>
      </w:r>
      <w:r>
        <w:rPr>
          <w:color w:val="000000"/>
          <w:sz w:val="24"/>
        </w:rPr>
        <w:t xml:space="preserve"> </w:t>
      </w:r>
    </w:p>
    <w:p w:rsidR="000B6423" w:rsidRDefault="00C13119">
      <w:pPr>
        <w:spacing w:before="29" w:line="288" w:lineRule="auto"/>
        <w:ind w:firstLineChars="200" w:firstLine="480"/>
        <w:rPr>
          <w:color w:val="000000"/>
          <w:sz w:val="24"/>
        </w:rPr>
      </w:pPr>
      <w:r>
        <w:rPr>
          <w:color w:val="000000"/>
          <w:sz w:val="24"/>
        </w:rPr>
        <w:t>5</w:t>
      </w:r>
      <w:r>
        <w:rPr>
          <w:color w:val="000000"/>
          <w:sz w:val="24"/>
        </w:rPr>
        <w:t>、关于募集交银施罗德理财</w:t>
      </w:r>
      <w:r>
        <w:rPr>
          <w:color w:val="000000"/>
          <w:sz w:val="24"/>
        </w:rPr>
        <w:t>60</w:t>
      </w:r>
      <w:r>
        <w:rPr>
          <w:color w:val="000000"/>
          <w:sz w:val="24"/>
        </w:rPr>
        <w:t>天债券型证券投资基金之法律意见书；</w:t>
      </w:r>
      <w:r>
        <w:rPr>
          <w:color w:val="000000"/>
          <w:sz w:val="24"/>
        </w:rPr>
        <w:t xml:space="preserve"> </w:t>
      </w:r>
    </w:p>
    <w:p w:rsidR="000B6423" w:rsidRDefault="00C13119">
      <w:pPr>
        <w:spacing w:before="29" w:line="288" w:lineRule="auto"/>
        <w:ind w:firstLineChars="200" w:firstLine="480"/>
        <w:rPr>
          <w:color w:val="000000"/>
          <w:sz w:val="24"/>
        </w:rPr>
      </w:pPr>
      <w:r>
        <w:rPr>
          <w:color w:val="000000"/>
          <w:sz w:val="24"/>
        </w:rPr>
        <w:t>6</w:t>
      </w:r>
      <w:r>
        <w:rPr>
          <w:color w:val="000000"/>
          <w:sz w:val="24"/>
        </w:rPr>
        <w:t>、基金管理人业务资格批件、营业执照；</w:t>
      </w:r>
      <w:r>
        <w:rPr>
          <w:color w:val="000000"/>
          <w:sz w:val="24"/>
        </w:rPr>
        <w:t xml:space="preserve"> </w:t>
      </w:r>
    </w:p>
    <w:p w:rsidR="000B6423" w:rsidRDefault="00C13119">
      <w:pPr>
        <w:spacing w:before="29" w:line="288" w:lineRule="auto"/>
        <w:ind w:firstLineChars="200" w:firstLine="480"/>
        <w:rPr>
          <w:color w:val="000000"/>
          <w:sz w:val="24"/>
        </w:rPr>
      </w:pPr>
      <w:r>
        <w:rPr>
          <w:color w:val="000000"/>
          <w:sz w:val="24"/>
        </w:rPr>
        <w:t>7</w:t>
      </w:r>
      <w:r>
        <w:rPr>
          <w:color w:val="000000"/>
          <w:sz w:val="24"/>
        </w:rPr>
        <w:t>、基金托管人业务资格批件、营业执照；</w:t>
      </w:r>
      <w:r>
        <w:rPr>
          <w:color w:val="000000"/>
          <w:sz w:val="24"/>
        </w:rPr>
        <w:t xml:space="preserve"> </w:t>
      </w:r>
    </w:p>
    <w:p w:rsidR="00AB373C" w:rsidRPr="000E4C40" w:rsidRDefault="00AB373C" w:rsidP="00281564">
      <w:pPr>
        <w:spacing w:before="29" w:line="288" w:lineRule="auto"/>
        <w:ind w:firstLineChars="200" w:firstLine="480"/>
        <w:rPr>
          <w:color w:val="000000"/>
          <w:sz w:val="24"/>
        </w:rPr>
      </w:pPr>
      <w:r w:rsidRPr="000E4C40">
        <w:rPr>
          <w:color w:val="000000"/>
          <w:sz w:val="24"/>
        </w:rPr>
        <w:t>8</w:t>
      </w:r>
      <w:r w:rsidRPr="000E4C40">
        <w:rPr>
          <w:color w:val="000000"/>
          <w:sz w:val="24"/>
        </w:rPr>
        <w:t>、报告期内交银施罗德理财</w:t>
      </w:r>
      <w:r w:rsidRPr="000E4C40">
        <w:rPr>
          <w:color w:val="000000"/>
          <w:sz w:val="24"/>
        </w:rPr>
        <w:t>60</w:t>
      </w:r>
      <w:r w:rsidRPr="000E4C40">
        <w:rPr>
          <w:color w:val="000000"/>
          <w:sz w:val="24"/>
        </w:rPr>
        <w:t>天债券型证券投资基金在指定报刊上各项公告的原稿。</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2</w:t>
      </w:r>
      <w:r w:rsidR="00AB373C" w:rsidRPr="000E4C40">
        <w:rPr>
          <w:rFonts w:hAnsi="宋体"/>
          <w:b/>
          <w:bCs/>
          <w:color w:val="000000"/>
          <w:kern w:val="0"/>
          <w:sz w:val="24"/>
        </w:rPr>
        <w:t>存放地点</w:t>
      </w:r>
    </w:p>
    <w:p w:rsidR="00AB373C" w:rsidRPr="000E4C40" w:rsidRDefault="00AB373C" w:rsidP="00281564">
      <w:pPr>
        <w:spacing w:before="29" w:line="288" w:lineRule="auto"/>
        <w:ind w:firstLineChars="200" w:firstLine="480"/>
        <w:rPr>
          <w:color w:val="000000"/>
          <w:sz w:val="24"/>
        </w:rPr>
      </w:pPr>
      <w:r w:rsidRPr="000E4C40">
        <w:rPr>
          <w:color w:val="000000"/>
          <w:sz w:val="24"/>
        </w:rPr>
        <w:t>备查文件存放于基金管理人的办公场所。</w:t>
      </w:r>
    </w:p>
    <w:p w:rsidR="00162222" w:rsidRPr="000E4C40" w:rsidRDefault="00162222" w:rsidP="00281564">
      <w:pPr>
        <w:spacing w:before="29" w:line="288" w:lineRule="auto"/>
        <w:ind w:firstLineChars="200" w:firstLine="480"/>
        <w:rPr>
          <w:color w:val="000000"/>
          <w:sz w:val="24"/>
        </w:rPr>
      </w:pPr>
    </w:p>
    <w:p w:rsidR="00AB373C" w:rsidRPr="000E4C40" w:rsidRDefault="00DA5831" w:rsidP="00281564">
      <w:pPr>
        <w:autoSpaceDE w:val="0"/>
        <w:autoSpaceDN w:val="0"/>
        <w:adjustRightInd w:val="0"/>
        <w:spacing w:before="29" w:line="288" w:lineRule="auto"/>
        <w:jc w:val="left"/>
        <w:rPr>
          <w:b/>
          <w:bCs/>
          <w:color w:val="000000"/>
          <w:kern w:val="0"/>
          <w:sz w:val="24"/>
        </w:rPr>
      </w:pPr>
      <w:r w:rsidRPr="000E4C40">
        <w:rPr>
          <w:b/>
          <w:color w:val="000000"/>
          <w:kern w:val="0"/>
          <w:sz w:val="24"/>
        </w:rPr>
        <w:t>9</w:t>
      </w:r>
      <w:r w:rsidR="00AB373C" w:rsidRPr="000E4C40">
        <w:rPr>
          <w:b/>
          <w:bCs/>
          <w:color w:val="000000"/>
          <w:kern w:val="0"/>
          <w:sz w:val="24"/>
        </w:rPr>
        <w:t>.</w:t>
      </w:r>
      <w:r w:rsidR="00F1658B" w:rsidRPr="000E4C40">
        <w:rPr>
          <w:b/>
          <w:bCs/>
          <w:color w:val="000000"/>
          <w:kern w:val="0"/>
          <w:sz w:val="24"/>
        </w:rPr>
        <w:t>3</w:t>
      </w:r>
      <w:r w:rsidR="00AB373C" w:rsidRPr="000E4C40">
        <w:rPr>
          <w:rFonts w:hAnsi="宋体"/>
          <w:b/>
          <w:bCs/>
          <w:color w:val="000000"/>
          <w:kern w:val="0"/>
          <w:sz w:val="24"/>
        </w:rPr>
        <w:t>查阅方式</w:t>
      </w:r>
    </w:p>
    <w:p w:rsidR="000B6423" w:rsidRDefault="00C13119">
      <w:pPr>
        <w:spacing w:before="29" w:line="288" w:lineRule="auto"/>
        <w:ind w:firstLineChars="200" w:firstLine="480"/>
        <w:rPr>
          <w:color w:val="000000"/>
          <w:sz w:val="24"/>
        </w:rPr>
      </w:pPr>
      <w:r>
        <w:rPr>
          <w:color w:val="000000"/>
          <w:sz w:val="24"/>
        </w:rPr>
        <w:t>投资者可在办公时间内至基金管理人的办公场所免费查阅备查文件，或者登录基金</w:t>
      </w:r>
      <w:r>
        <w:rPr>
          <w:color w:val="000000"/>
          <w:sz w:val="24"/>
        </w:rPr>
        <w:lastRenderedPageBreak/>
        <w:t>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D74FC" w:rsidRPr="000E4C40" w:rsidRDefault="00AB373C" w:rsidP="00281564">
      <w:pPr>
        <w:spacing w:before="29" w:line="288" w:lineRule="auto"/>
        <w:ind w:firstLineChars="200" w:firstLine="480"/>
        <w:rPr>
          <w:color w:val="000000"/>
          <w:sz w:val="24"/>
        </w:rPr>
      </w:pPr>
      <w:r w:rsidRPr="000E4C40">
        <w:rPr>
          <w:color w:val="000000"/>
          <w:sz w:val="24"/>
        </w:rPr>
        <w:t>投资者对本报告书如有疑问，可咨询本基金管理人交银施罗德基金管理有限公司。本公司客户服务中心电话：</w:t>
      </w:r>
      <w:r w:rsidRPr="000E4C40">
        <w:rPr>
          <w:color w:val="000000"/>
          <w:sz w:val="24"/>
        </w:rPr>
        <w:t>400-700-5000</w:t>
      </w:r>
      <w:r w:rsidRPr="000E4C40">
        <w:rPr>
          <w:color w:val="000000"/>
          <w:sz w:val="24"/>
        </w:rPr>
        <w:t>（免长途话费），</w:t>
      </w:r>
      <w:r w:rsidRPr="000E4C40">
        <w:rPr>
          <w:color w:val="000000"/>
          <w:sz w:val="24"/>
        </w:rPr>
        <w:t>021-61055000</w:t>
      </w:r>
      <w:r w:rsidRPr="000E4C40">
        <w:rPr>
          <w:color w:val="000000"/>
          <w:sz w:val="24"/>
        </w:rPr>
        <w:t>，电子邮件：</w:t>
      </w:r>
      <w:r w:rsidRPr="000E4C40">
        <w:rPr>
          <w:color w:val="000000"/>
          <w:sz w:val="24"/>
        </w:rPr>
        <w:t>services@jysld.com</w:t>
      </w:r>
      <w:r w:rsidRPr="000E4C40">
        <w:rPr>
          <w:color w:val="000000"/>
          <w:sz w:val="24"/>
        </w:rPr>
        <w:t>。</w:t>
      </w:r>
    </w:p>
    <w:p w:rsidR="003B6DC6" w:rsidRPr="000E4C40" w:rsidRDefault="003B6DC6" w:rsidP="00281564">
      <w:pPr>
        <w:spacing w:before="29" w:line="288" w:lineRule="auto"/>
        <w:ind w:right="480"/>
        <w:rPr>
          <w:b/>
          <w:bCs/>
          <w:sz w:val="24"/>
        </w:rPr>
      </w:pPr>
    </w:p>
    <w:sectPr w:rsidR="003B6DC6" w:rsidRPr="000E4C40" w:rsidSect="00075BBB">
      <w:pgSz w:w="11926" w:h="15840"/>
      <w:pgMar w:top="1420" w:right="1420" w:bottom="852" w:left="1420" w:header="851" w:footer="992" w:gutter="0"/>
      <w:cols w:space="720"/>
      <w:noEndnote/>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E68" w:rsidRDefault="00E44E68">
      <w:r>
        <w:separator/>
      </w:r>
    </w:p>
  </w:endnote>
  <w:endnote w:type="continuationSeparator" w:id="0">
    <w:p w:rsidR="00E44E68" w:rsidRDefault="00E44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1D0DB0" w:rsidRDefault="00D1705E" w:rsidP="001D0DB0">
    <w:pPr>
      <w:pStyle w:val="a5"/>
      <w:jc w:val="center"/>
    </w:pPr>
    <w:r>
      <w:rPr>
        <w:rFonts w:hint="eastAsia"/>
        <w:kern w:val="0"/>
        <w:szCs w:val="21"/>
      </w:rPr>
      <w:t>第</w:t>
    </w:r>
    <w:r w:rsidR="00457CD3">
      <w:rPr>
        <w:kern w:val="0"/>
        <w:szCs w:val="21"/>
      </w:rPr>
      <w:fldChar w:fldCharType="begin"/>
    </w:r>
    <w:r>
      <w:rPr>
        <w:kern w:val="0"/>
        <w:szCs w:val="21"/>
      </w:rPr>
      <w:instrText xml:space="preserve"> PAGE </w:instrText>
    </w:r>
    <w:r w:rsidR="00457CD3">
      <w:rPr>
        <w:kern w:val="0"/>
        <w:szCs w:val="21"/>
      </w:rPr>
      <w:fldChar w:fldCharType="separate"/>
    </w:r>
    <w:r w:rsidR="00864423">
      <w:rPr>
        <w:noProof/>
        <w:kern w:val="0"/>
        <w:szCs w:val="21"/>
      </w:rPr>
      <w:t>14</w:t>
    </w:r>
    <w:r w:rsidR="00457CD3">
      <w:rPr>
        <w:kern w:val="0"/>
        <w:szCs w:val="21"/>
      </w:rPr>
      <w:fldChar w:fldCharType="end"/>
    </w:r>
    <w:r>
      <w:rPr>
        <w:rFonts w:hint="eastAsia"/>
        <w:kern w:val="0"/>
        <w:szCs w:val="21"/>
      </w:rPr>
      <w:t>页共</w:t>
    </w:r>
    <w:r w:rsidR="00457CD3">
      <w:rPr>
        <w:rFonts w:hint="eastAsia"/>
        <w:kern w:val="0"/>
        <w:szCs w:val="21"/>
      </w:rPr>
      <w:fldChar w:fldCharType="begin"/>
    </w:r>
    <w:r>
      <w:rPr>
        <w:kern w:val="0"/>
        <w:szCs w:val="21"/>
      </w:rPr>
      <w:instrText xml:space="preserve"> NUMPAGES </w:instrText>
    </w:r>
    <w:r w:rsidR="00457CD3">
      <w:rPr>
        <w:rFonts w:hint="eastAsia"/>
        <w:kern w:val="0"/>
        <w:szCs w:val="21"/>
      </w:rPr>
      <w:fldChar w:fldCharType="separate"/>
    </w:r>
    <w:r w:rsidR="00864423">
      <w:rPr>
        <w:noProof/>
        <w:kern w:val="0"/>
        <w:szCs w:val="21"/>
      </w:rPr>
      <w:t>16</w:t>
    </w:r>
    <w:r w:rsidR="00457CD3">
      <w:rPr>
        <w:rFonts w:hint="eastAsia"/>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E68" w:rsidRDefault="00E44E68">
      <w:r>
        <w:separator/>
      </w:r>
    </w:p>
  </w:footnote>
  <w:footnote w:type="continuationSeparator" w:id="0">
    <w:p w:rsidR="00E44E68" w:rsidRDefault="00E44E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05E" w:rsidRPr="00841EB4" w:rsidRDefault="00841EB4" w:rsidP="008379E2">
    <w:pPr>
      <w:pStyle w:val="a4"/>
      <w:pBdr>
        <w:bottom w:val="single" w:sz="6" w:space="0" w:color="auto"/>
      </w:pBdr>
      <w:jc w:val="right"/>
      <w:rPr>
        <w:sz w:val="24"/>
        <w:szCs w:val="24"/>
      </w:rPr>
    </w:pPr>
    <w:r w:rsidRPr="003E676C">
      <w:rPr>
        <w:sz w:val="24"/>
        <w:szCs w:val="24"/>
      </w:rPr>
      <w:t>交银施罗德理财</w:t>
    </w:r>
    <w:r w:rsidRPr="003E676C">
      <w:rPr>
        <w:sz w:val="24"/>
        <w:szCs w:val="24"/>
      </w:rPr>
      <w:t>60</w:t>
    </w:r>
    <w:r w:rsidRPr="003E676C">
      <w:rPr>
        <w:sz w:val="24"/>
        <w:szCs w:val="24"/>
      </w:rPr>
      <w:t>天债券型证券投资基金</w:t>
    </w:r>
    <w:r w:rsidRPr="003E676C">
      <w:rPr>
        <w:sz w:val="24"/>
        <w:szCs w:val="24"/>
      </w:rPr>
      <w:t>2018</w:t>
    </w:r>
    <w:r w:rsidRPr="003E676C">
      <w:rPr>
        <w:sz w:val="24"/>
        <w:szCs w:val="24"/>
      </w:rPr>
      <w:t>年第</w:t>
    </w:r>
    <w:r w:rsidRPr="003E676C">
      <w:rPr>
        <w:sz w:val="24"/>
        <w:szCs w:val="24"/>
      </w:rPr>
      <w:t>1</w:t>
    </w:r>
    <w:r w:rsidRPr="003E676C">
      <w:rPr>
        <w:sz w:val="24"/>
        <w:szCs w:val="24"/>
      </w:rPr>
      <w:t>季度报告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EB4" w:rsidRDefault="00841EB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25ACF"/>
    <w:multiLevelType w:val="hybridMultilevel"/>
    <w:tmpl w:val="A1BADB72"/>
    <w:lvl w:ilvl="0" w:tplc="1694A2F2">
      <w:start w:val="1"/>
      <w:numFmt w:val="decimal"/>
      <w:lvlText w:val="%1、"/>
      <w:lvlJc w:val="left"/>
      <w:pPr>
        <w:tabs>
          <w:tab w:val="num" w:pos="830"/>
        </w:tabs>
        <w:ind w:left="830" w:hanging="360"/>
      </w:pPr>
      <w:rPr>
        <w:rFonts w:ascii="宋体" w:hint="default"/>
        <w:color w:val="auto"/>
      </w:rPr>
    </w:lvl>
    <w:lvl w:ilvl="1" w:tplc="04090019" w:tentative="1">
      <w:start w:val="1"/>
      <w:numFmt w:val="lowerLetter"/>
      <w:lvlText w:val="%2)"/>
      <w:lvlJc w:val="left"/>
      <w:pPr>
        <w:tabs>
          <w:tab w:val="num" w:pos="1310"/>
        </w:tabs>
        <w:ind w:left="1310" w:hanging="420"/>
      </w:pPr>
    </w:lvl>
    <w:lvl w:ilvl="2" w:tplc="0409001B" w:tentative="1">
      <w:start w:val="1"/>
      <w:numFmt w:val="lowerRoman"/>
      <w:lvlText w:val="%3."/>
      <w:lvlJc w:val="right"/>
      <w:pPr>
        <w:tabs>
          <w:tab w:val="num" w:pos="1730"/>
        </w:tabs>
        <w:ind w:left="1730" w:hanging="420"/>
      </w:pPr>
    </w:lvl>
    <w:lvl w:ilvl="3" w:tplc="0409000F" w:tentative="1">
      <w:start w:val="1"/>
      <w:numFmt w:val="decimal"/>
      <w:lvlText w:val="%4."/>
      <w:lvlJc w:val="left"/>
      <w:pPr>
        <w:tabs>
          <w:tab w:val="num" w:pos="2150"/>
        </w:tabs>
        <w:ind w:left="2150" w:hanging="420"/>
      </w:pPr>
    </w:lvl>
    <w:lvl w:ilvl="4" w:tplc="04090019" w:tentative="1">
      <w:start w:val="1"/>
      <w:numFmt w:val="lowerLetter"/>
      <w:lvlText w:val="%5)"/>
      <w:lvlJc w:val="left"/>
      <w:pPr>
        <w:tabs>
          <w:tab w:val="num" w:pos="2570"/>
        </w:tabs>
        <w:ind w:left="2570" w:hanging="420"/>
      </w:pPr>
    </w:lvl>
    <w:lvl w:ilvl="5" w:tplc="0409001B" w:tentative="1">
      <w:start w:val="1"/>
      <w:numFmt w:val="lowerRoman"/>
      <w:lvlText w:val="%6."/>
      <w:lvlJc w:val="right"/>
      <w:pPr>
        <w:tabs>
          <w:tab w:val="num" w:pos="2990"/>
        </w:tabs>
        <w:ind w:left="2990" w:hanging="420"/>
      </w:pPr>
    </w:lvl>
    <w:lvl w:ilvl="6" w:tplc="0409000F" w:tentative="1">
      <w:start w:val="1"/>
      <w:numFmt w:val="decimal"/>
      <w:lvlText w:val="%7."/>
      <w:lvlJc w:val="left"/>
      <w:pPr>
        <w:tabs>
          <w:tab w:val="num" w:pos="3410"/>
        </w:tabs>
        <w:ind w:left="3410" w:hanging="420"/>
      </w:pPr>
    </w:lvl>
    <w:lvl w:ilvl="7" w:tplc="04090019" w:tentative="1">
      <w:start w:val="1"/>
      <w:numFmt w:val="lowerLetter"/>
      <w:lvlText w:val="%8)"/>
      <w:lvlJc w:val="left"/>
      <w:pPr>
        <w:tabs>
          <w:tab w:val="num" w:pos="3830"/>
        </w:tabs>
        <w:ind w:left="3830" w:hanging="420"/>
      </w:pPr>
    </w:lvl>
    <w:lvl w:ilvl="8" w:tplc="0409001B" w:tentative="1">
      <w:start w:val="1"/>
      <w:numFmt w:val="lowerRoman"/>
      <w:lvlText w:val="%9."/>
      <w:lvlJc w:val="right"/>
      <w:pPr>
        <w:tabs>
          <w:tab w:val="num" w:pos="4250"/>
        </w:tabs>
        <w:ind w:left="425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7283"/>
    <w:rsid w:val="000028CE"/>
    <w:rsid w:val="00004DE7"/>
    <w:rsid w:val="00005433"/>
    <w:rsid w:val="00005660"/>
    <w:rsid w:val="00011D5A"/>
    <w:rsid w:val="000126D2"/>
    <w:rsid w:val="0001552D"/>
    <w:rsid w:val="0001566B"/>
    <w:rsid w:val="0002085F"/>
    <w:rsid w:val="00035596"/>
    <w:rsid w:val="000417E0"/>
    <w:rsid w:val="00044724"/>
    <w:rsid w:val="00052CA4"/>
    <w:rsid w:val="0005518A"/>
    <w:rsid w:val="00057D26"/>
    <w:rsid w:val="000607E9"/>
    <w:rsid w:val="00063BA4"/>
    <w:rsid w:val="00064E6F"/>
    <w:rsid w:val="0006697D"/>
    <w:rsid w:val="00070092"/>
    <w:rsid w:val="0007109E"/>
    <w:rsid w:val="00075BBB"/>
    <w:rsid w:val="00075CA2"/>
    <w:rsid w:val="0007770D"/>
    <w:rsid w:val="000873A2"/>
    <w:rsid w:val="000911B4"/>
    <w:rsid w:val="000A2D74"/>
    <w:rsid w:val="000A6B57"/>
    <w:rsid w:val="000A7480"/>
    <w:rsid w:val="000B2044"/>
    <w:rsid w:val="000B2266"/>
    <w:rsid w:val="000B6423"/>
    <w:rsid w:val="000B6615"/>
    <w:rsid w:val="000C469F"/>
    <w:rsid w:val="000D0F44"/>
    <w:rsid w:val="000D6294"/>
    <w:rsid w:val="000D66F0"/>
    <w:rsid w:val="000E0F6E"/>
    <w:rsid w:val="000E4C40"/>
    <w:rsid w:val="000E5695"/>
    <w:rsid w:val="000F1795"/>
    <w:rsid w:val="000F2DA3"/>
    <w:rsid w:val="000F3C21"/>
    <w:rsid w:val="000F4826"/>
    <w:rsid w:val="000F5947"/>
    <w:rsid w:val="000F78F3"/>
    <w:rsid w:val="00101278"/>
    <w:rsid w:val="0010236C"/>
    <w:rsid w:val="001038EF"/>
    <w:rsid w:val="00103B93"/>
    <w:rsid w:val="001074D6"/>
    <w:rsid w:val="00113777"/>
    <w:rsid w:val="00114C97"/>
    <w:rsid w:val="00124BE3"/>
    <w:rsid w:val="0012707C"/>
    <w:rsid w:val="001302DB"/>
    <w:rsid w:val="00134628"/>
    <w:rsid w:val="00144663"/>
    <w:rsid w:val="00157B55"/>
    <w:rsid w:val="00162222"/>
    <w:rsid w:val="001635C7"/>
    <w:rsid w:val="0018245B"/>
    <w:rsid w:val="0018401C"/>
    <w:rsid w:val="00186667"/>
    <w:rsid w:val="00191B28"/>
    <w:rsid w:val="00193BCF"/>
    <w:rsid w:val="00195C6F"/>
    <w:rsid w:val="00196812"/>
    <w:rsid w:val="00197ED0"/>
    <w:rsid w:val="001A2524"/>
    <w:rsid w:val="001B1302"/>
    <w:rsid w:val="001B1BC6"/>
    <w:rsid w:val="001B3FBF"/>
    <w:rsid w:val="001B42BE"/>
    <w:rsid w:val="001B72D6"/>
    <w:rsid w:val="001B7CC6"/>
    <w:rsid w:val="001C5D80"/>
    <w:rsid w:val="001C668D"/>
    <w:rsid w:val="001C69EF"/>
    <w:rsid w:val="001D0D4C"/>
    <w:rsid w:val="001D0DB0"/>
    <w:rsid w:val="001D3FAC"/>
    <w:rsid w:val="001D65C8"/>
    <w:rsid w:val="001D6ECD"/>
    <w:rsid w:val="001D75D9"/>
    <w:rsid w:val="001E15D0"/>
    <w:rsid w:val="001E1B20"/>
    <w:rsid w:val="001E2E91"/>
    <w:rsid w:val="001E6FA5"/>
    <w:rsid w:val="001F0286"/>
    <w:rsid w:val="00205A5F"/>
    <w:rsid w:val="0020640F"/>
    <w:rsid w:val="0021251E"/>
    <w:rsid w:val="00220DD8"/>
    <w:rsid w:val="00223D01"/>
    <w:rsid w:val="002304D5"/>
    <w:rsid w:val="00232095"/>
    <w:rsid w:val="00233014"/>
    <w:rsid w:val="0024424F"/>
    <w:rsid w:val="002473A1"/>
    <w:rsid w:val="0025028B"/>
    <w:rsid w:val="002507FE"/>
    <w:rsid w:val="002525C7"/>
    <w:rsid w:val="00254E7F"/>
    <w:rsid w:val="002611C3"/>
    <w:rsid w:val="002622E8"/>
    <w:rsid w:val="002648B5"/>
    <w:rsid w:val="00267283"/>
    <w:rsid w:val="00274FAC"/>
    <w:rsid w:val="00281564"/>
    <w:rsid w:val="0029349C"/>
    <w:rsid w:val="002A4B7F"/>
    <w:rsid w:val="002A55E5"/>
    <w:rsid w:val="002B45A4"/>
    <w:rsid w:val="002C019C"/>
    <w:rsid w:val="002C1941"/>
    <w:rsid w:val="002C29B1"/>
    <w:rsid w:val="002D3ADF"/>
    <w:rsid w:val="002E040C"/>
    <w:rsid w:val="002E0F4A"/>
    <w:rsid w:val="002F0E9D"/>
    <w:rsid w:val="002F62AD"/>
    <w:rsid w:val="002F6539"/>
    <w:rsid w:val="00305FAF"/>
    <w:rsid w:val="00307062"/>
    <w:rsid w:val="00311ADA"/>
    <w:rsid w:val="00311AEB"/>
    <w:rsid w:val="00311BDC"/>
    <w:rsid w:val="00322B07"/>
    <w:rsid w:val="0032323A"/>
    <w:rsid w:val="00323377"/>
    <w:rsid w:val="00325E07"/>
    <w:rsid w:val="00327FB0"/>
    <w:rsid w:val="00340292"/>
    <w:rsid w:val="00340C3A"/>
    <w:rsid w:val="00343648"/>
    <w:rsid w:val="00343AF0"/>
    <w:rsid w:val="003446AD"/>
    <w:rsid w:val="00346359"/>
    <w:rsid w:val="00346B82"/>
    <w:rsid w:val="0035022C"/>
    <w:rsid w:val="0035215C"/>
    <w:rsid w:val="00362E2A"/>
    <w:rsid w:val="00363ED1"/>
    <w:rsid w:val="00371E26"/>
    <w:rsid w:val="00373AAB"/>
    <w:rsid w:val="00383631"/>
    <w:rsid w:val="00383960"/>
    <w:rsid w:val="00384942"/>
    <w:rsid w:val="0039276A"/>
    <w:rsid w:val="00394BC1"/>
    <w:rsid w:val="003A0EC1"/>
    <w:rsid w:val="003B36B4"/>
    <w:rsid w:val="003B6DC6"/>
    <w:rsid w:val="003C0E8C"/>
    <w:rsid w:val="003C1137"/>
    <w:rsid w:val="003C495A"/>
    <w:rsid w:val="003D1E1A"/>
    <w:rsid w:val="003D1ECF"/>
    <w:rsid w:val="003D21F4"/>
    <w:rsid w:val="003D44FC"/>
    <w:rsid w:val="003D799E"/>
    <w:rsid w:val="003E14FE"/>
    <w:rsid w:val="003E565B"/>
    <w:rsid w:val="003F0FE7"/>
    <w:rsid w:val="003F2742"/>
    <w:rsid w:val="003F43EB"/>
    <w:rsid w:val="00402654"/>
    <w:rsid w:val="00403ED2"/>
    <w:rsid w:val="00410A6D"/>
    <w:rsid w:val="00423C71"/>
    <w:rsid w:val="004250C5"/>
    <w:rsid w:val="00425438"/>
    <w:rsid w:val="004330DF"/>
    <w:rsid w:val="00433C1E"/>
    <w:rsid w:val="004369B0"/>
    <w:rsid w:val="00440828"/>
    <w:rsid w:val="0044257C"/>
    <w:rsid w:val="00444A55"/>
    <w:rsid w:val="00446474"/>
    <w:rsid w:val="0044671E"/>
    <w:rsid w:val="00451FCA"/>
    <w:rsid w:val="004527E3"/>
    <w:rsid w:val="00452D31"/>
    <w:rsid w:val="00457CD3"/>
    <w:rsid w:val="00460000"/>
    <w:rsid w:val="00460350"/>
    <w:rsid w:val="00461A70"/>
    <w:rsid w:val="0046349D"/>
    <w:rsid w:val="00464ABB"/>
    <w:rsid w:val="004702DF"/>
    <w:rsid w:val="00470341"/>
    <w:rsid w:val="00473E10"/>
    <w:rsid w:val="00473EC9"/>
    <w:rsid w:val="00474896"/>
    <w:rsid w:val="004771B9"/>
    <w:rsid w:val="00496B2E"/>
    <w:rsid w:val="00496DD2"/>
    <w:rsid w:val="004A2432"/>
    <w:rsid w:val="004A357E"/>
    <w:rsid w:val="004A46A0"/>
    <w:rsid w:val="004A67CC"/>
    <w:rsid w:val="004A6E66"/>
    <w:rsid w:val="004B1C09"/>
    <w:rsid w:val="004C5B7C"/>
    <w:rsid w:val="004D22E1"/>
    <w:rsid w:val="004E041A"/>
    <w:rsid w:val="004E3452"/>
    <w:rsid w:val="004E4E63"/>
    <w:rsid w:val="004F2B3F"/>
    <w:rsid w:val="00501282"/>
    <w:rsid w:val="00504B75"/>
    <w:rsid w:val="00506EF6"/>
    <w:rsid w:val="005141F5"/>
    <w:rsid w:val="00515166"/>
    <w:rsid w:val="0051578D"/>
    <w:rsid w:val="005212AE"/>
    <w:rsid w:val="00525834"/>
    <w:rsid w:val="00533490"/>
    <w:rsid w:val="00542985"/>
    <w:rsid w:val="0054464B"/>
    <w:rsid w:val="0054477E"/>
    <w:rsid w:val="0054785C"/>
    <w:rsid w:val="00555883"/>
    <w:rsid w:val="00560F94"/>
    <w:rsid w:val="005633AD"/>
    <w:rsid w:val="00570F8C"/>
    <w:rsid w:val="005721C7"/>
    <w:rsid w:val="00575970"/>
    <w:rsid w:val="00580560"/>
    <w:rsid w:val="00582960"/>
    <w:rsid w:val="00585084"/>
    <w:rsid w:val="00592D0A"/>
    <w:rsid w:val="00592F2C"/>
    <w:rsid w:val="00594DCA"/>
    <w:rsid w:val="00595285"/>
    <w:rsid w:val="005954A4"/>
    <w:rsid w:val="00597A8E"/>
    <w:rsid w:val="005A2388"/>
    <w:rsid w:val="005A60B7"/>
    <w:rsid w:val="005B0F46"/>
    <w:rsid w:val="005B527B"/>
    <w:rsid w:val="005D0779"/>
    <w:rsid w:val="005D596C"/>
    <w:rsid w:val="005D6807"/>
    <w:rsid w:val="005E0463"/>
    <w:rsid w:val="005E05CC"/>
    <w:rsid w:val="005E2087"/>
    <w:rsid w:val="005E6FA5"/>
    <w:rsid w:val="005F05D6"/>
    <w:rsid w:val="005F17EC"/>
    <w:rsid w:val="005F3F29"/>
    <w:rsid w:val="005F41D2"/>
    <w:rsid w:val="005F668B"/>
    <w:rsid w:val="005F6B28"/>
    <w:rsid w:val="0060549B"/>
    <w:rsid w:val="00606BCE"/>
    <w:rsid w:val="00613327"/>
    <w:rsid w:val="00617DD4"/>
    <w:rsid w:val="006214E4"/>
    <w:rsid w:val="00623E3A"/>
    <w:rsid w:val="006245FF"/>
    <w:rsid w:val="00630342"/>
    <w:rsid w:val="0063302E"/>
    <w:rsid w:val="00633177"/>
    <w:rsid w:val="006331F2"/>
    <w:rsid w:val="00633CF7"/>
    <w:rsid w:val="00636261"/>
    <w:rsid w:val="00636B17"/>
    <w:rsid w:val="0064191E"/>
    <w:rsid w:val="00664834"/>
    <w:rsid w:val="006724A2"/>
    <w:rsid w:val="00672BEF"/>
    <w:rsid w:val="00672C2D"/>
    <w:rsid w:val="00673BA5"/>
    <w:rsid w:val="00684A5A"/>
    <w:rsid w:val="0069018A"/>
    <w:rsid w:val="006911A1"/>
    <w:rsid w:val="00693EE6"/>
    <w:rsid w:val="006A1E40"/>
    <w:rsid w:val="006A2D00"/>
    <w:rsid w:val="006B4C67"/>
    <w:rsid w:val="006C671E"/>
    <w:rsid w:val="006C7553"/>
    <w:rsid w:val="006D27DD"/>
    <w:rsid w:val="006D4647"/>
    <w:rsid w:val="006D4C22"/>
    <w:rsid w:val="006E2890"/>
    <w:rsid w:val="006E3E17"/>
    <w:rsid w:val="006E470F"/>
    <w:rsid w:val="006E4EB5"/>
    <w:rsid w:val="006F1C55"/>
    <w:rsid w:val="006F3CEE"/>
    <w:rsid w:val="006F622C"/>
    <w:rsid w:val="0070378F"/>
    <w:rsid w:val="00707CB2"/>
    <w:rsid w:val="00710487"/>
    <w:rsid w:val="00714B3D"/>
    <w:rsid w:val="0071688D"/>
    <w:rsid w:val="007277D1"/>
    <w:rsid w:val="00727EA0"/>
    <w:rsid w:val="00730567"/>
    <w:rsid w:val="0073105A"/>
    <w:rsid w:val="00733AB7"/>
    <w:rsid w:val="00734B8E"/>
    <w:rsid w:val="0073602D"/>
    <w:rsid w:val="00737060"/>
    <w:rsid w:val="00741288"/>
    <w:rsid w:val="00741E1D"/>
    <w:rsid w:val="0074455F"/>
    <w:rsid w:val="00744E84"/>
    <w:rsid w:val="007521F9"/>
    <w:rsid w:val="00756489"/>
    <w:rsid w:val="00756EA2"/>
    <w:rsid w:val="00757F37"/>
    <w:rsid w:val="00762E87"/>
    <w:rsid w:val="00764CF7"/>
    <w:rsid w:val="007723FD"/>
    <w:rsid w:val="00772687"/>
    <w:rsid w:val="00774E1E"/>
    <w:rsid w:val="00780252"/>
    <w:rsid w:val="00782061"/>
    <w:rsid w:val="00785C32"/>
    <w:rsid w:val="00786879"/>
    <w:rsid w:val="00790C4E"/>
    <w:rsid w:val="007B082A"/>
    <w:rsid w:val="007B1C3E"/>
    <w:rsid w:val="007C42E5"/>
    <w:rsid w:val="007C4D1A"/>
    <w:rsid w:val="007E0C02"/>
    <w:rsid w:val="007E263D"/>
    <w:rsid w:val="007F1DE3"/>
    <w:rsid w:val="007F5A8D"/>
    <w:rsid w:val="007F7BD7"/>
    <w:rsid w:val="008056FA"/>
    <w:rsid w:val="0080769B"/>
    <w:rsid w:val="008115B6"/>
    <w:rsid w:val="00813897"/>
    <w:rsid w:val="00814461"/>
    <w:rsid w:val="00824081"/>
    <w:rsid w:val="00824D84"/>
    <w:rsid w:val="00825EA5"/>
    <w:rsid w:val="0082661C"/>
    <w:rsid w:val="00833555"/>
    <w:rsid w:val="008347B3"/>
    <w:rsid w:val="00834F7F"/>
    <w:rsid w:val="00835BDD"/>
    <w:rsid w:val="008379E2"/>
    <w:rsid w:val="00841EB4"/>
    <w:rsid w:val="00844B21"/>
    <w:rsid w:val="00852119"/>
    <w:rsid w:val="0085498E"/>
    <w:rsid w:val="00855BA5"/>
    <w:rsid w:val="0086245E"/>
    <w:rsid w:val="00864423"/>
    <w:rsid w:val="00880EE6"/>
    <w:rsid w:val="00882323"/>
    <w:rsid w:val="00887643"/>
    <w:rsid w:val="0089287A"/>
    <w:rsid w:val="00893021"/>
    <w:rsid w:val="008955D4"/>
    <w:rsid w:val="008A1980"/>
    <w:rsid w:val="008B17AE"/>
    <w:rsid w:val="008B23BD"/>
    <w:rsid w:val="008D0A39"/>
    <w:rsid w:val="008D2405"/>
    <w:rsid w:val="008E4638"/>
    <w:rsid w:val="008E71D2"/>
    <w:rsid w:val="008F44F3"/>
    <w:rsid w:val="009004F7"/>
    <w:rsid w:val="00901503"/>
    <w:rsid w:val="00902E3F"/>
    <w:rsid w:val="00903E98"/>
    <w:rsid w:val="00906C9B"/>
    <w:rsid w:val="00907F97"/>
    <w:rsid w:val="00910FB5"/>
    <w:rsid w:val="00911C0E"/>
    <w:rsid w:val="009153D7"/>
    <w:rsid w:val="00920D1F"/>
    <w:rsid w:val="009268A2"/>
    <w:rsid w:val="00930856"/>
    <w:rsid w:val="0094213C"/>
    <w:rsid w:val="00943AFD"/>
    <w:rsid w:val="00943CEC"/>
    <w:rsid w:val="00945D45"/>
    <w:rsid w:val="00951A65"/>
    <w:rsid w:val="009652D9"/>
    <w:rsid w:val="0097021E"/>
    <w:rsid w:val="00971744"/>
    <w:rsid w:val="00971C19"/>
    <w:rsid w:val="00971D35"/>
    <w:rsid w:val="0097206C"/>
    <w:rsid w:val="00984D79"/>
    <w:rsid w:val="00985C3A"/>
    <w:rsid w:val="0099296A"/>
    <w:rsid w:val="009965A5"/>
    <w:rsid w:val="009A56D7"/>
    <w:rsid w:val="009A755D"/>
    <w:rsid w:val="009B15FD"/>
    <w:rsid w:val="009B2693"/>
    <w:rsid w:val="009B3AF9"/>
    <w:rsid w:val="009B3BAA"/>
    <w:rsid w:val="009B3C3F"/>
    <w:rsid w:val="009B3F21"/>
    <w:rsid w:val="009B4EB9"/>
    <w:rsid w:val="009B73A7"/>
    <w:rsid w:val="009C1A42"/>
    <w:rsid w:val="009D1870"/>
    <w:rsid w:val="009D3E05"/>
    <w:rsid w:val="009D54AB"/>
    <w:rsid w:val="009D60EB"/>
    <w:rsid w:val="009D74FC"/>
    <w:rsid w:val="009E07F4"/>
    <w:rsid w:val="009E2BAA"/>
    <w:rsid w:val="009E2CEC"/>
    <w:rsid w:val="009E3E0B"/>
    <w:rsid w:val="009F480F"/>
    <w:rsid w:val="009F4A7B"/>
    <w:rsid w:val="00A01505"/>
    <w:rsid w:val="00A1530B"/>
    <w:rsid w:val="00A16747"/>
    <w:rsid w:val="00A16D78"/>
    <w:rsid w:val="00A21753"/>
    <w:rsid w:val="00A21EC2"/>
    <w:rsid w:val="00A24DC0"/>
    <w:rsid w:val="00A33AA8"/>
    <w:rsid w:val="00A42A96"/>
    <w:rsid w:val="00A44046"/>
    <w:rsid w:val="00A455A0"/>
    <w:rsid w:val="00A50D92"/>
    <w:rsid w:val="00A55038"/>
    <w:rsid w:val="00A575D2"/>
    <w:rsid w:val="00A62469"/>
    <w:rsid w:val="00A62DD4"/>
    <w:rsid w:val="00A65A66"/>
    <w:rsid w:val="00A7219D"/>
    <w:rsid w:val="00A76B36"/>
    <w:rsid w:val="00A805BC"/>
    <w:rsid w:val="00A80F9F"/>
    <w:rsid w:val="00A81075"/>
    <w:rsid w:val="00A83050"/>
    <w:rsid w:val="00A83F4B"/>
    <w:rsid w:val="00A87550"/>
    <w:rsid w:val="00A948C3"/>
    <w:rsid w:val="00A95FA9"/>
    <w:rsid w:val="00A96BCD"/>
    <w:rsid w:val="00AA1DFA"/>
    <w:rsid w:val="00AA5B03"/>
    <w:rsid w:val="00AA68D4"/>
    <w:rsid w:val="00AB373C"/>
    <w:rsid w:val="00AB5159"/>
    <w:rsid w:val="00AC2ACF"/>
    <w:rsid w:val="00AC2B47"/>
    <w:rsid w:val="00AC3D9E"/>
    <w:rsid w:val="00AC446F"/>
    <w:rsid w:val="00AC6C3D"/>
    <w:rsid w:val="00AD1ADB"/>
    <w:rsid w:val="00AD2F16"/>
    <w:rsid w:val="00AD30B2"/>
    <w:rsid w:val="00AD68B9"/>
    <w:rsid w:val="00AE17F1"/>
    <w:rsid w:val="00AE2FB9"/>
    <w:rsid w:val="00AE342F"/>
    <w:rsid w:val="00AE4F96"/>
    <w:rsid w:val="00AE6D9A"/>
    <w:rsid w:val="00AE7435"/>
    <w:rsid w:val="00AF2397"/>
    <w:rsid w:val="00AF27F9"/>
    <w:rsid w:val="00AF3D19"/>
    <w:rsid w:val="00AF60BA"/>
    <w:rsid w:val="00B040BC"/>
    <w:rsid w:val="00B0441A"/>
    <w:rsid w:val="00B044FC"/>
    <w:rsid w:val="00B06458"/>
    <w:rsid w:val="00B071B2"/>
    <w:rsid w:val="00B07C45"/>
    <w:rsid w:val="00B12EB2"/>
    <w:rsid w:val="00B13F60"/>
    <w:rsid w:val="00B2239A"/>
    <w:rsid w:val="00B25119"/>
    <w:rsid w:val="00B26FE5"/>
    <w:rsid w:val="00B27004"/>
    <w:rsid w:val="00B33F45"/>
    <w:rsid w:val="00B33FA5"/>
    <w:rsid w:val="00B415B8"/>
    <w:rsid w:val="00B420AC"/>
    <w:rsid w:val="00B4354A"/>
    <w:rsid w:val="00B54CC5"/>
    <w:rsid w:val="00B60E27"/>
    <w:rsid w:val="00B64D62"/>
    <w:rsid w:val="00B81F61"/>
    <w:rsid w:val="00B83944"/>
    <w:rsid w:val="00B86A3F"/>
    <w:rsid w:val="00B92FD1"/>
    <w:rsid w:val="00B94B49"/>
    <w:rsid w:val="00BA1773"/>
    <w:rsid w:val="00BA7AF1"/>
    <w:rsid w:val="00BB03CC"/>
    <w:rsid w:val="00BB252C"/>
    <w:rsid w:val="00BB5126"/>
    <w:rsid w:val="00BB7518"/>
    <w:rsid w:val="00BC0205"/>
    <w:rsid w:val="00BC14F5"/>
    <w:rsid w:val="00BC2146"/>
    <w:rsid w:val="00BD4710"/>
    <w:rsid w:val="00BD4DEE"/>
    <w:rsid w:val="00BD6918"/>
    <w:rsid w:val="00BD7053"/>
    <w:rsid w:val="00BE33B1"/>
    <w:rsid w:val="00BE3EB8"/>
    <w:rsid w:val="00BE439F"/>
    <w:rsid w:val="00BE52AF"/>
    <w:rsid w:val="00BE5584"/>
    <w:rsid w:val="00BF1111"/>
    <w:rsid w:val="00BF3886"/>
    <w:rsid w:val="00C009AF"/>
    <w:rsid w:val="00C03EF8"/>
    <w:rsid w:val="00C06606"/>
    <w:rsid w:val="00C1039C"/>
    <w:rsid w:val="00C13119"/>
    <w:rsid w:val="00C17098"/>
    <w:rsid w:val="00C2005E"/>
    <w:rsid w:val="00C205E4"/>
    <w:rsid w:val="00C26FF6"/>
    <w:rsid w:val="00C2782D"/>
    <w:rsid w:val="00C3040F"/>
    <w:rsid w:val="00C31398"/>
    <w:rsid w:val="00C31708"/>
    <w:rsid w:val="00C36C15"/>
    <w:rsid w:val="00C4213A"/>
    <w:rsid w:val="00C4371A"/>
    <w:rsid w:val="00C4627A"/>
    <w:rsid w:val="00C54ED4"/>
    <w:rsid w:val="00C637D1"/>
    <w:rsid w:val="00C640B8"/>
    <w:rsid w:val="00C7033B"/>
    <w:rsid w:val="00C83157"/>
    <w:rsid w:val="00C8683C"/>
    <w:rsid w:val="00C86E1D"/>
    <w:rsid w:val="00C927D5"/>
    <w:rsid w:val="00C97508"/>
    <w:rsid w:val="00CA0730"/>
    <w:rsid w:val="00CA091E"/>
    <w:rsid w:val="00CA1C04"/>
    <w:rsid w:val="00CA3808"/>
    <w:rsid w:val="00CA65DD"/>
    <w:rsid w:val="00CB0E8A"/>
    <w:rsid w:val="00CB7680"/>
    <w:rsid w:val="00CC05B9"/>
    <w:rsid w:val="00CC3F83"/>
    <w:rsid w:val="00CC57FC"/>
    <w:rsid w:val="00CC7DB0"/>
    <w:rsid w:val="00CD5F24"/>
    <w:rsid w:val="00CD6E50"/>
    <w:rsid w:val="00CE0E18"/>
    <w:rsid w:val="00CE193A"/>
    <w:rsid w:val="00CE25BB"/>
    <w:rsid w:val="00CE6A71"/>
    <w:rsid w:val="00CF21C5"/>
    <w:rsid w:val="00CF6DF0"/>
    <w:rsid w:val="00D06255"/>
    <w:rsid w:val="00D12B02"/>
    <w:rsid w:val="00D15D82"/>
    <w:rsid w:val="00D1705E"/>
    <w:rsid w:val="00D25602"/>
    <w:rsid w:val="00D30BD3"/>
    <w:rsid w:val="00D33791"/>
    <w:rsid w:val="00D33BA8"/>
    <w:rsid w:val="00D364EB"/>
    <w:rsid w:val="00D40363"/>
    <w:rsid w:val="00D451BC"/>
    <w:rsid w:val="00D51E96"/>
    <w:rsid w:val="00D5661A"/>
    <w:rsid w:val="00D568BB"/>
    <w:rsid w:val="00D63B9E"/>
    <w:rsid w:val="00D6565D"/>
    <w:rsid w:val="00D65D90"/>
    <w:rsid w:val="00D66016"/>
    <w:rsid w:val="00D769BA"/>
    <w:rsid w:val="00D8034F"/>
    <w:rsid w:val="00D81755"/>
    <w:rsid w:val="00D8505A"/>
    <w:rsid w:val="00D85266"/>
    <w:rsid w:val="00D8617C"/>
    <w:rsid w:val="00D87D00"/>
    <w:rsid w:val="00D92498"/>
    <w:rsid w:val="00D94E23"/>
    <w:rsid w:val="00DA1983"/>
    <w:rsid w:val="00DA2F1E"/>
    <w:rsid w:val="00DA329B"/>
    <w:rsid w:val="00DA5831"/>
    <w:rsid w:val="00DB159D"/>
    <w:rsid w:val="00DB2873"/>
    <w:rsid w:val="00DB6417"/>
    <w:rsid w:val="00DC4482"/>
    <w:rsid w:val="00DC6D2A"/>
    <w:rsid w:val="00DD1CEE"/>
    <w:rsid w:val="00DD2C3B"/>
    <w:rsid w:val="00DD5028"/>
    <w:rsid w:val="00DE7C60"/>
    <w:rsid w:val="00DF1198"/>
    <w:rsid w:val="00DF2D90"/>
    <w:rsid w:val="00E12082"/>
    <w:rsid w:val="00E21589"/>
    <w:rsid w:val="00E24D9E"/>
    <w:rsid w:val="00E257C8"/>
    <w:rsid w:val="00E26581"/>
    <w:rsid w:val="00E2722E"/>
    <w:rsid w:val="00E27752"/>
    <w:rsid w:val="00E3447D"/>
    <w:rsid w:val="00E428F6"/>
    <w:rsid w:val="00E431CE"/>
    <w:rsid w:val="00E445F8"/>
    <w:rsid w:val="00E44E68"/>
    <w:rsid w:val="00E503E4"/>
    <w:rsid w:val="00E5134D"/>
    <w:rsid w:val="00E55E02"/>
    <w:rsid w:val="00E571C4"/>
    <w:rsid w:val="00E62A84"/>
    <w:rsid w:val="00E63B3D"/>
    <w:rsid w:val="00E64272"/>
    <w:rsid w:val="00E64479"/>
    <w:rsid w:val="00E66A12"/>
    <w:rsid w:val="00E67D99"/>
    <w:rsid w:val="00E70E8B"/>
    <w:rsid w:val="00E75556"/>
    <w:rsid w:val="00E76F1F"/>
    <w:rsid w:val="00E80BE2"/>
    <w:rsid w:val="00E8309D"/>
    <w:rsid w:val="00E90A9C"/>
    <w:rsid w:val="00E912B7"/>
    <w:rsid w:val="00E95356"/>
    <w:rsid w:val="00E966E5"/>
    <w:rsid w:val="00E96898"/>
    <w:rsid w:val="00E9710E"/>
    <w:rsid w:val="00EA3D96"/>
    <w:rsid w:val="00EA4C82"/>
    <w:rsid w:val="00EA6B69"/>
    <w:rsid w:val="00EA6B7B"/>
    <w:rsid w:val="00EB25E4"/>
    <w:rsid w:val="00EB3D8B"/>
    <w:rsid w:val="00ED1B77"/>
    <w:rsid w:val="00ED1E31"/>
    <w:rsid w:val="00ED5511"/>
    <w:rsid w:val="00ED57D1"/>
    <w:rsid w:val="00EF3B7C"/>
    <w:rsid w:val="00EF4DD2"/>
    <w:rsid w:val="00EF568A"/>
    <w:rsid w:val="00EF56FA"/>
    <w:rsid w:val="00EF6216"/>
    <w:rsid w:val="00EF6E42"/>
    <w:rsid w:val="00F046FB"/>
    <w:rsid w:val="00F0613C"/>
    <w:rsid w:val="00F06EDE"/>
    <w:rsid w:val="00F10508"/>
    <w:rsid w:val="00F11244"/>
    <w:rsid w:val="00F120D4"/>
    <w:rsid w:val="00F14672"/>
    <w:rsid w:val="00F14A7B"/>
    <w:rsid w:val="00F1658B"/>
    <w:rsid w:val="00F2540D"/>
    <w:rsid w:val="00F26602"/>
    <w:rsid w:val="00F31380"/>
    <w:rsid w:val="00F333BF"/>
    <w:rsid w:val="00F34483"/>
    <w:rsid w:val="00F34499"/>
    <w:rsid w:val="00F406E3"/>
    <w:rsid w:val="00F40C82"/>
    <w:rsid w:val="00F41AA6"/>
    <w:rsid w:val="00F5114E"/>
    <w:rsid w:val="00F53B1A"/>
    <w:rsid w:val="00F54568"/>
    <w:rsid w:val="00F57249"/>
    <w:rsid w:val="00F60094"/>
    <w:rsid w:val="00F62DE3"/>
    <w:rsid w:val="00F77131"/>
    <w:rsid w:val="00F7796E"/>
    <w:rsid w:val="00F85CBF"/>
    <w:rsid w:val="00F85D7E"/>
    <w:rsid w:val="00F92B0F"/>
    <w:rsid w:val="00F94C5A"/>
    <w:rsid w:val="00F9749C"/>
    <w:rsid w:val="00FA379D"/>
    <w:rsid w:val="00FA4C13"/>
    <w:rsid w:val="00FA6E20"/>
    <w:rsid w:val="00FB345F"/>
    <w:rsid w:val="00FB4DA5"/>
    <w:rsid w:val="00FB7A18"/>
    <w:rsid w:val="00FC57A1"/>
    <w:rsid w:val="00FD3820"/>
    <w:rsid w:val="00FE2508"/>
    <w:rsid w:val="00FE3301"/>
    <w:rsid w:val="00FE6E6D"/>
    <w:rsid w:val="00FF0DAE"/>
    <w:rsid w:val="00FF3092"/>
    <w:rsid w:val="00FF6C89"/>
    <w:rsid w:val="00FF72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2BFE993D-6E65-474C-B37A-F05747144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5BBB"/>
    <w:pPr>
      <w:widowControl w:val="0"/>
      <w:jc w:val="both"/>
    </w:pPr>
    <w:rPr>
      <w:kern w:val="2"/>
      <w:sz w:val="21"/>
      <w:szCs w:val="24"/>
    </w:rPr>
  </w:style>
  <w:style w:type="paragraph" w:styleId="1">
    <w:name w:val="heading 1"/>
    <w:basedOn w:val="a"/>
    <w:next w:val="a"/>
    <w:link w:val="1Char"/>
    <w:qFormat/>
    <w:rsid w:val="00CA65DD"/>
    <w:pPr>
      <w:keepNext/>
      <w:keepLines/>
      <w:spacing w:before="340" w:after="330" w:line="578" w:lineRule="auto"/>
      <w:outlineLvl w:val="0"/>
    </w:pPr>
    <w:rPr>
      <w:b/>
      <w:bCs/>
      <w:kern w:val="44"/>
      <w:sz w:val="44"/>
      <w:szCs w:val="44"/>
    </w:rPr>
  </w:style>
  <w:style w:type="paragraph" w:styleId="2">
    <w:name w:val="heading 2"/>
    <w:basedOn w:val="a"/>
    <w:next w:val="a0"/>
    <w:qFormat/>
    <w:rsid w:val="009D74FC"/>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rsid w:val="00613327"/>
    <w:pPr>
      <w:pBdr>
        <w:bottom w:val="single" w:sz="6" w:space="1" w:color="auto"/>
      </w:pBdr>
      <w:tabs>
        <w:tab w:val="center" w:pos="4153"/>
        <w:tab w:val="right" w:pos="8306"/>
      </w:tabs>
      <w:snapToGrid w:val="0"/>
      <w:jc w:val="center"/>
    </w:pPr>
    <w:rPr>
      <w:sz w:val="18"/>
      <w:szCs w:val="18"/>
    </w:rPr>
  </w:style>
  <w:style w:type="paragraph" w:styleId="a5">
    <w:name w:val="footer"/>
    <w:basedOn w:val="a"/>
    <w:rsid w:val="00613327"/>
    <w:pPr>
      <w:tabs>
        <w:tab w:val="center" w:pos="4153"/>
        <w:tab w:val="right" w:pos="8306"/>
      </w:tabs>
      <w:snapToGrid w:val="0"/>
      <w:jc w:val="left"/>
    </w:pPr>
    <w:rPr>
      <w:sz w:val="18"/>
      <w:szCs w:val="18"/>
    </w:rPr>
  </w:style>
  <w:style w:type="paragraph" w:customStyle="1" w:styleId="Char0">
    <w:name w:val="Char"/>
    <w:basedOn w:val="a"/>
    <w:rsid w:val="00186667"/>
  </w:style>
  <w:style w:type="paragraph" w:styleId="20">
    <w:name w:val="Body Text Indent 2"/>
    <w:basedOn w:val="a"/>
    <w:rsid w:val="00186667"/>
    <w:pPr>
      <w:spacing w:line="560" w:lineRule="exact"/>
      <w:ind w:firstLineChars="200" w:firstLine="480"/>
    </w:pPr>
    <w:rPr>
      <w:rFonts w:ascii="宋体" w:hAnsi="宋体"/>
      <w:color w:val="FF0000"/>
      <w:sz w:val="24"/>
    </w:rPr>
  </w:style>
  <w:style w:type="paragraph" w:styleId="a6">
    <w:name w:val="Plain Text"/>
    <w:basedOn w:val="a"/>
    <w:link w:val="Char1"/>
    <w:uiPriority w:val="99"/>
    <w:rsid w:val="004771B9"/>
    <w:rPr>
      <w:rFonts w:ascii="宋体" w:hAnsi="Courier New"/>
      <w:szCs w:val="21"/>
    </w:rPr>
  </w:style>
  <w:style w:type="paragraph" w:styleId="3">
    <w:name w:val="Body Text Indent 3"/>
    <w:basedOn w:val="a"/>
    <w:rsid w:val="004771B9"/>
    <w:pPr>
      <w:spacing w:after="120"/>
      <w:ind w:leftChars="200" w:left="420"/>
    </w:pPr>
    <w:rPr>
      <w:sz w:val="16"/>
      <w:szCs w:val="16"/>
    </w:rPr>
  </w:style>
  <w:style w:type="paragraph" w:styleId="a0">
    <w:name w:val="Normal Indent"/>
    <w:basedOn w:val="a"/>
    <w:rsid w:val="009D74FC"/>
    <w:pPr>
      <w:ind w:firstLineChars="200" w:firstLine="420"/>
    </w:pPr>
  </w:style>
  <w:style w:type="paragraph" w:styleId="a7">
    <w:name w:val="Document Map"/>
    <w:basedOn w:val="a"/>
    <w:semiHidden/>
    <w:rsid w:val="005212AE"/>
    <w:pPr>
      <w:shd w:val="clear" w:color="auto" w:fill="000080"/>
    </w:pPr>
  </w:style>
  <w:style w:type="character" w:customStyle="1" w:styleId="Char1">
    <w:name w:val="纯文本 Char"/>
    <w:link w:val="a6"/>
    <w:uiPriority w:val="99"/>
    <w:rsid w:val="00E63B3D"/>
    <w:rPr>
      <w:rFonts w:ascii="宋体" w:hAnsi="Courier New"/>
      <w:kern w:val="2"/>
      <w:sz w:val="21"/>
      <w:szCs w:val="21"/>
    </w:rPr>
  </w:style>
  <w:style w:type="paragraph" w:styleId="a8">
    <w:name w:val="Balloon Text"/>
    <w:basedOn w:val="a"/>
    <w:link w:val="Char2"/>
    <w:rsid w:val="00E63B3D"/>
    <w:rPr>
      <w:sz w:val="18"/>
      <w:szCs w:val="18"/>
    </w:rPr>
  </w:style>
  <w:style w:type="character" w:customStyle="1" w:styleId="Char2">
    <w:name w:val="批注框文本 Char"/>
    <w:basedOn w:val="a1"/>
    <w:link w:val="a8"/>
    <w:rsid w:val="00E63B3D"/>
    <w:rPr>
      <w:kern w:val="2"/>
      <w:sz w:val="18"/>
      <w:szCs w:val="18"/>
    </w:rPr>
  </w:style>
  <w:style w:type="paragraph" w:styleId="a9">
    <w:name w:val="List Paragraph"/>
    <w:basedOn w:val="a"/>
    <w:uiPriority w:val="34"/>
    <w:qFormat/>
    <w:rsid w:val="005F668B"/>
    <w:pPr>
      <w:ind w:firstLineChars="200" w:firstLine="420"/>
    </w:pPr>
  </w:style>
  <w:style w:type="table" w:styleId="aa">
    <w:name w:val="Table Grid"/>
    <w:basedOn w:val="a2"/>
    <w:qFormat/>
    <w:rsid w:val="005A60B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Normal (Web)"/>
    <w:basedOn w:val="a"/>
    <w:rsid w:val="008B23BD"/>
    <w:pPr>
      <w:widowControl/>
      <w:spacing w:before="100" w:beforeAutospacing="1" w:after="100" w:afterAutospacing="1"/>
    </w:pPr>
    <w:rPr>
      <w:rFonts w:ascii="宋体" w:hAnsi="宋体"/>
      <w:kern w:val="0"/>
      <w:sz w:val="24"/>
      <w:szCs w:val="20"/>
    </w:rPr>
  </w:style>
  <w:style w:type="character" w:customStyle="1" w:styleId="Char">
    <w:name w:val="页眉 Char"/>
    <w:basedOn w:val="a1"/>
    <w:link w:val="a4"/>
    <w:uiPriority w:val="99"/>
    <w:rsid w:val="008379E2"/>
    <w:rPr>
      <w:kern w:val="2"/>
      <w:sz w:val="18"/>
      <w:szCs w:val="18"/>
    </w:rPr>
  </w:style>
  <w:style w:type="character" w:customStyle="1" w:styleId="1Char">
    <w:name w:val="标题 1 Char"/>
    <w:basedOn w:val="a1"/>
    <w:link w:val="1"/>
    <w:rsid w:val="00CA65DD"/>
    <w:rPr>
      <w:b/>
      <w:bCs/>
      <w:kern w:val="44"/>
      <w:sz w:val="44"/>
      <w:szCs w:val="44"/>
    </w:rPr>
  </w:style>
  <w:style w:type="paragraph" w:styleId="ac">
    <w:name w:val="Date"/>
    <w:basedOn w:val="a"/>
    <w:next w:val="a"/>
    <w:link w:val="Char3"/>
    <w:rsid w:val="00D66016"/>
    <w:rPr>
      <w:sz w:val="24"/>
      <w:szCs w:val="20"/>
    </w:rPr>
  </w:style>
  <w:style w:type="character" w:customStyle="1" w:styleId="Char3">
    <w:name w:val="日期 Char"/>
    <w:basedOn w:val="a1"/>
    <w:link w:val="ac"/>
    <w:rsid w:val="00D66016"/>
    <w:rPr>
      <w:kern w:val="2"/>
      <w:sz w:val="24"/>
    </w:rPr>
  </w:style>
  <w:style w:type="character" w:styleId="ad">
    <w:name w:val="Strong"/>
    <w:basedOn w:val="a1"/>
    <w:uiPriority w:val="22"/>
    <w:qFormat/>
    <w:rsid w:val="00A217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37842">
      <w:bodyDiv w:val="1"/>
      <w:marLeft w:val="0"/>
      <w:marRight w:val="0"/>
      <w:marTop w:val="0"/>
      <w:marBottom w:val="0"/>
      <w:divBdr>
        <w:top w:val="none" w:sz="0" w:space="0" w:color="auto"/>
        <w:left w:val="none" w:sz="0" w:space="0" w:color="auto"/>
        <w:bottom w:val="none" w:sz="0" w:space="0" w:color="auto"/>
        <w:right w:val="none" w:sz="0" w:space="0" w:color="auto"/>
      </w:divBdr>
    </w:div>
    <w:div w:id="130173811">
      <w:bodyDiv w:val="1"/>
      <w:marLeft w:val="0"/>
      <w:marRight w:val="0"/>
      <w:marTop w:val="0"/>
      <w:marBottom w:val="0"/>
      <w:divBdr>
        <w:top w:val="none" w:sz="0" w:space="0" w:color="auto"/>
        <w:left w:val="none" w:sz="0" w:space="0" w:color="auto"/>
        <w:bottom w:val="none" w:sz="0" w:space="0" w:color="auto"/>
        <w:right w:val="none" w:sz="0" w:space="0" w:color="auto"/>
      </w:divBdr>
    </w:div>
    <w:div w:id="257716218">
      <w:bodyDiv w:val="1"/>
      <w:marLeft w:val="0"/>
      <w:marRight w:val="0"/>
      <w:marTop w:val="0"/>
      <w:marBottom w:val="0"/>
      <w:divBdr>
        <w:top w:val="none" w:sz="0" w:space="0" w:color="auto"/>
        <w:left w:val="none" w:sz="0" w:space="0" w:color="auto"/>
        <w:bottom w:val="none" w:sz="0" w:space="0" w:color="auto"/>
        <w:right w:val="none" w:sz="0" w:space="0" w:color="auto"/>
      </w:divBdr>
    </w:div>
    <w:div w:id="1061950662">
      <w:bodyDiv w:val="1"/>
      <w:marLeft w:val="0"/>
      <w:marRight w:val="0"/>
      <w:marTop w:val="0"/>
      <w:marBottom w:val="0"/>
      <w:divBdr>
        <w:top w:val="none" w:sz="0" w:space="0" w:color="auto"/>
        <w:left w:val="none" w:sz="0" w:space="0" w:color="auto"/>
        <w:bottom w:val="none" w:sz="0" w:space="0" w:color="auto"/>
        <w:right w:val="none" w:sz="0" w:space="0" w:color="auto"/>
      </w:divBdr>
    </w:div>
    <w:div w:id="1338926825">
      <w:bodyDiv w:val="1"/>
      <w:marLeft w:val="0"/>
      <w:marRight w:val="0"/>
      <w:marTop w:val="0"/>
      <w:marBottom w:val="0"/>
      <w:divBdr>
        <w:top w:val="none" w:sz="0" w:space="0" w:color="auto"/>
        <w:left w:val="none" w:sz="0" w:space="0" w:color="auto"/>
        <w:bottom w:val="none" w:sz="0" w:space="0" w:color="auto"/>
        <w:right w:val="none" w:sz="0" w:space="0" w:color="auto"/>
      </w:divBdr>
    </w:div>
    <w:div w:id="1455054290">
      <w:bodyDiv w:val="1"/>
      <w:marLeft w:val="0"/>
      <w:marRight w:val="0"/>
      <w:marTop w:val="0"/>
      <w:marBottom w:val="0"/>
      <w:divBdr>
        <w:top w:val="none" w:sz="0" w:space="0" w:color="auto"/>
        <w:left w:val="none" w:sz="0" w:space="0" w:color="auto"/>
        <w:bottom w:val="none" w:sz="0" w:space="0" w:color="auto"/>
        <w:right w:val="none" w:sz="0" w:space="0" w:color="auto"/>
      </w:divBdr>
    </w:div>
    <w:div w:id="1487357562">
      <w:bodyDiv w:val="1"/>
      <w:marLeft w:val="0"/>
      <w:marRight w:val="0"/>
      <w:marTop w:val="0"/>
      <w:marBottom w:val="0"/>
      <w:divBdr>
        <w:top w:val="none" w:sz="0" w:space="0" w:color="auto"/>
        <w:left w:val="none" w:sz="0" w:space="0" w:color="auto"/>
        <w:bottom w:val="none" w:sz="0" w:space="0" w:color="auto"/>
        <w:right w:val="none" w:sz="0" w:space="0" w:color="auto"/>
      </w:divBdr>
    </w:div>
    <w:div w:id="1707101621">
      <w:bodyDiv w:val="1"/>
      <w:marLeft w:val="0"/>
      <w:marRight w:val="0"/>
      <w:marTop w:val="0"/>
      <w:marBottom w:val="0"/>
      <w:divBdr>
        <w:top w:val="none" w:sz="0" w:space="0" w:color="auto"/>
        <w:left w:val="none" w:sz="0" w:space="0" w:color="auto"/>
        <w:bottom w:val="none" w:sz="0" w:space="0" w:color="auto"/>
        <w:right w:val="none" w:sz="0" w:space="0" w:color="auto"/>
      </w:divBdr>
    </w:div>
    <w:div w:id="1971396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3B44FEDE-830A-452B-B3B0-04A048D73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16</Pages>
  <Words>1463</Words>
  <Characters>8343</Characters>
  <Application>Microsoft Office Word</Application>
  <DocSecurity>0</DocSecurity>
  <Lines>69</Lines>
  <Paragraphs>19</Paragraphs>
  <ScaleCrop>false</ScaleCrop>
  <Company>jysld</Company>
  <LinksUpToDate>false</LinksUpToDate>
  <CharactersWithSpaces>9787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郝婷婷</cp:lastModifiedBy>
  <cp:revision>318</cp:revision>
  <cp:lastPrinted>2009-01-22T10:11:00Z</cp:lastPrinted>
  <dcterms:created xsi:type="dcterms:W3CDTF">2012-11-21T05:49:00Z</dcterms:created>
  <dcterms:modified xsi:type="dcterms:W3CDTF">2018-04-18T10:06:00Z</dcterms:modified>
</cp:coreProperties>
</file>