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交银施罗德消费新驱动股票型证券投资基金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C34B5" w:rsidRDefault="00176A3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C34B5" w:rsidRDefault="00176A35">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C34B5" w:rsidRDefault="00176A3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C34B5" w:rsidRDefault="00176A3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C34B5" w:rsidRDefault="00176A3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713,129,223.96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中证内地消费主题指数</w:t>
            </w:r>
            <w:r w:rsidRPr="00414345">
              <w:rPr>
                <w:color w:val="000000"/>
                <w:kern w:val="0"/>
                <w:sz w:val="24"/>
                <w:szCs w:val="24"/>
              </w:rPr>
              <w:t>+15%×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76A35" w:rsidRPr="00414345" w:rsidTr="00176A3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176A35" w:rsidRPr="00414345" w:rsidTr="00176A3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39,237,105.43</w:t>
            </w:r>
          </w:p>
        </w:tc>
      </w:tr>
      <w:tr w:rsidR="00176A35" w:rsidRPr="00414345" w:rsidTr="00176A3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34,715,291.58</w:t>
            </w:r>
          </w:p>
        </w:tc>
      </w:tr>
      <w:tr w:rsidR="00176A35" w:rsidRPr="00414345" w:rsidTr="00176A3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0.0520</w:t>
            </w:r>
          </w:p>
        </w:tc>
      </w:tr>
      <w:tr w:rsidR="00176A35" w:rsidRPr="00414345" w:rsidTr="00176A3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772,425,195.20</w:t>
            </w:r>
          </w:p>
        </w:tc>
      </w:tr>
      <w:tr w:rsidR="00176A35" w:rsidRPr="00414345" w:rsidTr="00176A3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1.083</w:t>
            </w:r>
          </w:p>
        </w:tc>
      </w:tr>
    </w:tbl>
    <w:p w:rsidR="004C34B5" w:rsidRDefault="00176A3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C34B5">
        <w:trPr>
          <w:jc w:val="center"/>
        </w:trPr>
        <w:tc>
          <w:tcPr>
            <w:tcW w:w="1701" w:type="dxa"/>
            <w:vAlign w:val="center"/>
          </w:tcPr>
          <w:p w:rsidR="004C34B5" w:rsidRDefault="00176A35">
            <w:pPr>
              <w:jc w:val="left"/>
            </w:pPr>
            <w:r>
              <w:rPr>
                <w:color w:val="000000"/>
                <w:sz w:val="24"/>
                <w:szCs w:val="24"/>
              </w:rPr>
              <w:t>过去三个月</w:t>
            </w:r>
          </w:p>
        </w:tc>
        <w:tc>
          <w:tcPr>
            <w:tcW w:w="1045" w:type="dxa"/>
            <w:vAlign w:val="center"/>
          </w:tcPr>
          <w:p w:rsidR="004C34B5" w:rsidRDefault="00176A35">
            <w:pPr>
              <w:jc w:val="center"/>
            </w:pPr>
            <w:r>
              <w:rPr>
                <w:color w:val="000000"/>
                <w:sz w:val="24"/>
                <w:szCs w:val="24"/>
              </w:rPr>
              <w:t>4.54%</w:t>
            </w:r>
          </w:p>
        </w:tc>
        <w:tc>
          <w:tcPr>
            <w:tcW w:w="1344" w:type="dxa"/>
            <w:vAlign w:val="center"/>
          </w:tcPr>
          <w:p w:rsidR="004C34B5" w:rsidRDefault="00176A35">
            <w:pPr>
              <w:jc w:val="center"/>
            </w:pPr>
            <w:r>
              <w:rPr>
                <w:color w:val="000000"/>
                <w:sz w:val="24"/>
                <w:szCs w:val="24"/>
              </w:rPr>
              <w:t>1.25%</w:t>
            </w:r>
          </w:p>
        </w:tc>
        <w:tc>
          <w:tcPr>
            <w:tcW w:w="1194" w:type="dxa"/>
            <w:vAlign w:val="center"/>
          </w:tcPr>
          <w:p w:rsidR="004C34B5" w:rsidRDefault="00176A35">
            <w:pPr>
              <w:jc w:val="center"/>
            </w:pPr>
            <w:r>
              <w:rPr>
                <w:color w:val="000000"/>
                <w:sz w:val="24"/>
                <w:szCs w:val="24"/>
              </w:rPr>
              <w:t>-3.16%</w:t>
            </w:r>
          </w:p>
        </w:tc>
        <w:tc>
          <w:tcPr>
            <w:tcW w:w="1492" w:type="dxa"/>
            <w:vAlign w:val="center"/>
          </w:tcPr>
          <w:p w:rsidR="004C34B5" w:rsidRDefault="00176A35">
            <w:pPr>
              <w:jc w:val="center"/>
            </w:pPr>
            <w:r>
              <w:rPr>
                <w:color w:val="000000"/>
                <w:sz w:val="24"/>
                <w:szCs w:val="24"/>
              </w:rPr>
              <w:t>1.35%</w:t>
            </w:r>
          </w:p>
        </w:tc>
        <w:tc>
          <w:tcPr>
            <w:tcW w:w="1194" w:type="dxa"/>
            <w:vAlign w:val="center"/>
          </w:tcPr>
          <w:p w:rsidR="004C34B5" w:rsidRDefault="00176A35">
            <w:pPr>
              <w:jc w:val="center"/>
            </w:pPr>
            <w:r>
              <w:rPr>
                <w:color w:val="000000"/>
                <w:sz w:val="24"/>
                <w:szCs w:val="24"/>
              </w:rPr>
              <w:t>7.70%</w:t>
            </w:r>
          </w:p>
        </w:tc>
        <w:tc>
          <w:tcPr>
            <w:tcW w:w="898" w:type="dxa"/>
            <w:vAlign w:val="center"/>
          </w:tcPr>
          <w:p w:rsidR="004C34B5" w:rsidRDefault="00176A35">
            <w:pPr>
              <w:jc w:val="center"/>
            </w:pPr>
            <w:r>
              <w:rPr>
                <w:color w:val="000000"/>
                <w:sz w:val="24"/>
                <w:szCs w:val="24"/>
              </w:rPr>
              <w:t>-0.10%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交银施罗德消费新驱动股票型证券投资基金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注：本基金由交银施罗德沪深</w:t>
      </w:r>
      <w:r w:rsidRPr="00414345">
        <w:rPr>
          <w:color w:val="000000"/>
          <w:sz w:val="24"/>
          <w:szCs w:val="24"/>
        </w:rPr>
        <w:t>300</w:t>
      </w:r>
      <w:r w:rsidRPr="00414345">
        <w:rPr>
          <w:color w:val="000000"/>
          <w:sz w:val="24"/>
          <w:szCs w:val="24"/>
        </w:rPr>
        <w:t>行业分层等权重指数证券投资基金转型而来。基金转型日为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日。本基金的投资转型期为交银施罗德沪深</w:t>
      </w:r>
      <w:r w:rsidRPr="00414345">
        <w:rPr>
          <w:color w:val="000000"/>
          <w:sz w:val="24"/>
          <w:szCs w:val="24"/>
        </w:rPr>
        <w:t>300</w:t>
      </w:r>
      <w:r w:rsidRPr="00414345">
        <w:rPr>
          <w:color w:val="000000"/>
          <w:sz w:val="24"/>
          <w:szCs w:val="24"/>
        </w:rPr>
        <w:t>行业分层等权重指数证券投资基金转型实施日（即</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日）起的</w:t>
      </w:r>
      <w:r w:rsidRPr="00414345">
        <w:rPr>
          <w:color w:val="000000"/>
          <w:sz w:val="24"/>
          <w:szCs w:val="24"/>
        </w:rPr>
        <w:t>6</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C34B5">
        <w:trPr>
          <w:jc w:val="center"/>
        </w:trPr>
        <w:tc>
          <w:tcPr>
            <w:tcW w:w="846" w:type="dxa"/>
            <w:vAlign w:val="center"/>
          </w:tcPr>
          <w:p w:rsidR="004C34B5" w:rsidRDefault="00176A35">
            <w:pPr>
              <w:jc w:val="center"/>
            </w:pPr>
            <w:r>
              <w:rPr>
                <w:color w:val="000000"/>
                <w:sz w:val="24"/>
                <w:szCs w:val="24"/>
              </w:rPr>
              <w:t>盖婷婷</w:t>
            </w:r>
          </w:p>
        </w:tc>
        <w:tc>
          <w:tcPr>
            <w:tcW w:w="845" w:type="dxa"/>
            <w:vAlign w:val="center"/>
          </w:tcPr>
          <w:p w:rsidR="004C34B5" w:rsidRDefault="00176A35">
            <w:pPr>
              <w:jc w:val="center"/>
            </w:pPr>
            <w:r>
              <w:rPr>
                <w:color w:val="000000"/>
                <w:sz w:val="24"/>
                <w:szCs w:val="24"/>
              </w:rPr>
              <w:t>交银消费新驱动股票、交银医</w:t>
            </w:r>
            <w:r>
              <w:rPr>
                <w:color w:val="000000"/>
                <w:sz w:val="24"/>
                <w:szCs w:val="24"/>
              </w:rPr>
              <w:lastRenderedPageBreak/>
              <w:t>药创新股票、交银恒益灵活配置混合的基金经理</w:t>
            </w:r>
          </w:p>
        </w:tc>
        <w:tc>
          <w:tcPr>
            <w:tcW w:w="1549" w:type="dxa"/>
            <w:vAlign w:val="center"/>
          </w:tcPr>
          <w:p w:rsidR="004C34B5" w:rsidRDefault="00176A35">
            <w:pPr>
              <w:jc w:val="center"/>
            </w:pPr>
            <w:r>
              <w:rPr>
                <w:color w:val="000000"/>
                <w:sz w:val="24"/>
                <w:szCs w:val="24"/>
              </w:rPr>
              <w:lastRenderedPageBreak/>
              <w:t>2015-07-01</w:t>
            </w:r>
          </w:p>
        </w:tc>
        <w:tc>
          <w:tcPr>
            <w:tcW w:w="1548" w:type="dxa"/>
            <w:vAlign w:val="center"/>
          </w:tcPr>
          <w:p w:rsidR="004C34B5" w:rsidRDefault="00176A35">
            <w:pPr>
              <w:jc w:val="center"/>
            </w:pPr>
            <w:r>
              <w:rPr>
                <w:color w:val="000000"/>
                <w:sz w:val="24"/>
                <w:szCs w:val="24"/>
              </w:rPr>
              <w:t>-</w:t>
            </w:r>
          </w:p>
        </w:tc>
        <w:tc>
          <w:tcPr>
            <w:tcW w:w="1407" w:type="dxa"/>
            <w:vAlign w:val="center"/>
          </w:tcPr>
          <w:p w:rsidR="004C34B5" w:rsidRDefault="00176A35">
            <w:pPr>
              <w:jc w:val="center"/>
            </w:pPr>
            <w:r>
              <w:rPr>
                <w:color w:val="000000"/>
                <w:sz w:val="24"/>
                <w:szCs w:val="24"/>
              </w:rPr>
              <w:t>12</w:t>
            </w:r>
            <w:r>
              <w:rPr>
                <w:color w:val="000000"/>
                <w:sz w:val="24"/>
                <w:szCs w:val="24"/>
              </w:rPr>
              <w:t>年</w:t>
            </w:r>
          </w:p>
        </w:tc>
        <w:tc>
          <w:tcPr>
            <w:tcW w:w="2673" w:type="dxa"/>
            <w:vAlign w:val="center"/>
          </w:tcPr>
          <w:p w:rsidR="004C34B5" w:rsidRDefault="00176A35">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w:t>
            </w:r>
            <w:r>
              <w:rPr>
                <w:color w:val="000000"/>
                <w:sz w:val="24"/>
                <w:szCs w:val="24"/>
              </w:rPr>
              <w:lastRenderedPageBreak/>
              <w:t>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C34B5" w:rsidRDefault="00176A3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C34B5" w:rsidRDefault="00176A3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C34B5" w:rsidRDefault="00176A3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C34B5" w:rsidRDefault="00176A35">
      <w:pPr>
        <w:spacing w:before="29" w:line="288" w:lineRule="auto"/>
        <w:ind w:firstLineChars="200" w:firstLine="480"/>
        <w:rPr>
          <w:color w:val="000000"/>
          <w:sz w:val="24"/>
          <w:szCs w:val="24"/>
        </w:rPr>
      </w:pPr>
      <w:r>
        <w:rPr>
          <w:color w:val="000000"/>
          <w:sz w:val="24"/>
          <w:szCs w:val="24"/>
        </w:rPr>
        <w:t>2018</w:t>
      </w:r>
      <w:r>
        <w:rPr>
          <w:color w:val="000000"/>
          <w:sz w:val="24"/>
          <w:szCs w:val="24"/>
        </w:rPr>
        <w:t>年一季度市场波动较大，上证综指在一月份反弹之后，在二、三月份出现了明显的下跌。与此同时，创业板指在二月份调整结束后走出了独立行情，大盘股和小盘股完成了一次风格切换。以计算机和医药为代表的成长性行业，经过两年多时间的估值溢价消化，股价更加有吸引力，获得了资金的追捧，取得非常显著的超额收益。</w:t>
      </w:r>
    </w:p>
    <w:p w:rsidR="004C34B5" w:rsidRDefault="00176A35">
      <w:pPr>
        <w:spacing w:before="29" w:line="288" w:lineRule="auto"/>
        <w:ind w:firstLineChars="200" w:firstLine="480"/>
        <w:rPr>
          <w:color w:val="000000"/>
          <w:sz w:val="24"/>
          <w:szCs w:val="24"/>
        </w:rPr>
      </w:pPr>
      <w:r>
        <w:rPr>
          <w:color w:val="000000"/>
          <w:sz w:val="24"/>
          <w:szCs w:val="24"/>
        </w:rPr>
        <w:t>本基金自</w:t>
      </w:r>
      <w:r>
        <w:rPr>
          <w:color w:val="000000"/>
          <w:sz w:val="24"/>
          <w:szCs w:val="24"/>
        </w:rPr>
        <w:t>2017</w:t>
      </w:r>
      <w:r>
        <w:rPr>
          <w:color w:val="000000"/>
          <w:sz w:val="24"/>
          <w:szCs w:val="24"/>
        </w:rPr>
        <w:t>年下半年开始逐渐增加成长股持仓，组合中医药等成长股持仓表现较好，整个一季度取得了一定的正收益。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预计成长股的风格仍然会延续，本基金将继续寻找医药、计算机等新兴成长股票择机配置，同时考虑到近期市场风格偏离度较大，一些基本面较好的大盘股调整较多，本基金也会逢低增加一些优质大盘股的配置力求保持组合的稳定性。</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9C5186" w:rsidRDefault="00176A35" w:rsidP="00C15CAC">
      <w:pPr>
        <w:spacing w:before="29" w:line="288" w:lineRule="auto"/>
        <w:ind w:firstLineChars="200" w:firstLine="480"/>
        <w:rPr>
          <w:color w:val="000000"/>
          <w:sz w:val="24"/>
          <w:szCs w:val="24"/>
        </w:rPr>
      </w:pPr>
      <w:r w:rsidRPr="00176A35">
        <w:rPr>
          <w:rFonts w:hint="eastAsia"/>
          <w:color w:val="000000"/>
          <w:sz w:val="24"/>
          <w:szCs w:val="24"/>
        </w:rPr>
        <w:t>截至</w:t>
      </w:r>
      <w:r w:rsidRPr="00176A35">
        <w:rPr>
          <w:rFonts w:hint="eastAsia"/>
          <w:color w:val="000000"/>
          <w:sz w:val="24"/>
          <w:szCs w:val="24"/>
        </w:rPr>
        <w:t>2018</w:t>
      </w:r>
      <w:r w:rsidRPr="00176A35">
        <w:rPr>
          <w:rFonts w:hint="eastAsia"/>
          <w:color w:val="000000"/>
          <w:sz w:val="24"/>
          <w:szCs w:val="24"/>
        </w:rPr>
        <w:t>年</w:t>
      </w:r>
      <w:r w:rsidRPr="00176A35">
        <w:rPr>
          <w:rFonts w:hint="eastAsia"/>
          <w:color w:val="000000"/>
          <w:sz w:val="24"/>
          <w:szCs w:val="24"/>
        </w:rPr>
        <w:t>3</w:t>
      </w:r>
      <w:r w:rsidRPr="00176A35">
        <w:rPr>
          <w:rFonts w:hint="eastAsia"/>
          <w:color w:val="000000"/>
          <w:sz w:val="24"/>
          <w:szCs w:val="24"/>
        </w:rPr>
        <w:t>月</w:t>
      </w:r>
      <w:r w:rsidRPr="00176A35">
        <w:rPr>
          <w:rFonts w:hint="eastAsia"/>
          <w:color w:val="000000"/>
          <w:sz w:val="24"/>
          <w:szCs w:val="24"/>
        </w:rPr>
        <w:t>31</w:t>
      </w:r>
      <w:r w:rsidRPr="00176A35">
        <w:rPr>
          <w:rFonts w:hint="eastAsia"/>
          <w:color w:val="000000"/>
          <w:sz w:val="24"/>
          <w:szCs w:val="24"/>
        </w:rPr>
        <w:t>日，本基金份额净值为</w:t>
      </w:r>
      <w:r w:rsidRPr="00176A35">
        <w:rPr>
          <w:rFonts w:hint="eastAsia"/>
          <w:color w:val="000000"/>
          <w:sz w:val="24"/>
          <w:szCs w:val="24"/>
        </w:rPr>
        <w:t>1.083</w:t>
      </w:r>
      <w:r w:rsidRPr="00176A35">
        <w:rPr>
          <w:rFonts w:hint="eastAsia"/>
          <w:color w:val="000000"/>
          <w:sz w:val="24"/>
          <w:szCs w:val="24"/>
        </w:rPr>
        <w:t>元，本报告期份额净值增长率为</w:t>
      </w:r>
      <w:r w:rsidRPr="00176A35">
        <w:rPr>
          <w:rFonts w:hint="eastAsia"/>
          <w:color w:val="000000"/>
          <w:sz w:val="24"/>
          <w:szCs w:val="24"/>
        </w:rPr>
        <w:t>4.54%</w:t>
      </w:r>
      <w:r w:rsidRPr="00176A35">
        <w:rPr>
          <w:rFonts w:hint="eastAsia"/>
          <w:color w:val="000000"/>
          <w:sz w:val="24"/>
          <w:szCs w:val="24"/>
        </w:rPr>
        <w:t>，同期业绩比较基准增长率为</w:t>
      </w:r>
      <w:r w:rsidRPr="00176A35">
        <w:rPr>
          <w:rFonts w:hint="eastAsia"/>
          <w:color w:val="000000"/>
          <w:sz w:val="24"/>
          <w:szCs w:val="24"/>
        </w:rPr>
        <w:t>-3.16%</w:t>
      </w:r>
      <w:r w:rsidRPr="00176A35">
        <w:rPr>
          <w:rFonts w:hint="eastAsia"/>
          <w:color w:val="000000"/>
          <w:sz w:val="24"/>
          <w:szCs w:val="24"/>
        </w:rPr>
        <w:t>。</w:t>
      </w:r>
    </w:p>
    <w:p w:rsidR="00176A35" w:rsidRPr="00176A35" w:rsidRDefault="00176A35"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576,796,640.92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71.26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576,796,640.92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71.26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131,820,674.39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16.29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100,801,678.75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12.45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809,418,994.06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227,402,077.91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105,106,931.19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37,980,539.64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111,068,137.49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50,162,646.66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45,039,648.41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576,796,640.92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74.67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C34B5">
        <w:trPr>
          <w:jc w:val="center"/>
        </w:trPr>
        <w:tc>
          <w:tcPr>
            <w:tcW w:w="855" w:type="dxa"/>
            <w:vAlign w:val="center"/>
          </w:tcPr>
          <w:p w:rsidR="004C34B5" w:rsidRDefault="00176A35">
            <w:pPr>
              <w:jc w:val="center"/>
            </w:pPr>
            <w:r>
              <w:rPr>
                <w:color w:val="000000"/>
                <w:sz w:val="24"/>
                <w:szCs w:val="24"/>
              </w:rPr>
              <w:t>1</w:t>
            </w:r>
          </w:p>
        </w:tc>
        <w:tc>
          <w:tcPr>
            <w:tcW w:w="1334" w:type="dxa"/>
            <w:vAlign w:val="center"/>
          </w:tcPr>
          <w:p w:rsidR="004C34B5" w:rsidRDefault="00176A35">
            <w:pPr>
              <w:jc w:val="center"/>
            </w:pPr>
            <w:r>
              <w:rPr>
                <w:color w:val="000000"/>
                <w:sz w:val="24"/>
                <w:szCs w:val="24"/>
              </w:rPr>
              <w:t>601607</w:t>
            </w:r>
          </w:p>
        </w:tc>
        <w:tc>
          <w:tcPr>
            <w:tcW w:w="1777" w:type="dxa"/>
            <w:vAlign w:val="center"/>
          </w:tcPr>
          <w:p w:rsidR="004C34B5" w:rsidRDefault="00176A35">
            <w:pPr>
              <w:jc w:val="center"/>
            </w:pPr>
            <w:r>
              <w:rPr>
                <w:color w:val="000000"/>
                <w:sz w:val="24"/>
                <w:szCs w:val="24"/>
              </w:rPr>
              <w:t>上海医药</w:t>
            </w:r>
          </w:p>
        </w:tc>
        <w:tc>
          <w:tcPr>
            <w:tcW w:w="1334" w:type="dxa"/>
            <w:vAlign w:val="center"/>
          </w:tcPr>
          <w:p w:rsidR="004C34B5" w:rsidRDefault="00176A35">
            <w:pPr>
              <w:jc w:val="right"/>
            </w:pPr>
            <w:r>
              <w:rPr>
                <w:color w:val="000000"/>
                <w:sz w:val="24"/>
                <w:szCs w:val="24"/>
              </w:rPr>
              <w:t>2,192,446</w:t>
            </w:r>
          </w:p>
        </w:tc>
        <w:tc>
          <w:tcPr>
            <w:tcW w:w="1924" w:type="dxa"/>
            <w:vAlign w:val="center"/>
          </w:tcPr>
          <w:p w:rsidR="004C34B5" w:rsidRDefault="00176A35">
            <w:pPr>
              <w:jc w:val="right"/>
            </w:pPr>
            <w:r>
              <w:rPr>
                <w:color w:val="000000"/>
                <w:sz w:val="24"/>
                <w:szCs w:val="24"/>
              </w:rPr>
              <w:t>54,065,718.36</w:t>
            </w:r>
          </w:p>
        </w:tc>
        <w:tc>
          <w:tcPr>
            <w:tcW w:w="1644" w:type="dxa"/>
            <w:vAlign w:val="center"/>
          </w:tcPr>
          <w:p w:rsidR="004C34B5" w:rsidRDefault="00176A35">
            <w:pPr>
              <w:jc w:val="right"/>
            </w:pPr>
            <w:r>
              <w:rPr>
                <w:color w:val="000000"/>
                <w:sz w:val="24"/>
                <w:szCs w:val="24"/>
              </w:rPr>
              <w:t>7.00</w:t>
            </w:r>
          </w:p>
        </w:tc>
      </w:tr>
      <w:tr w:rsidR="004C34B5">
        <w:trPr>
          <w:jc w:val="center"/>
        </w:trPr>
        <w:tc>
          <w:tcPr>
            <w:tcW w:w="855" w:type="dxa"/>
            <w:vAlign w:val="center"/>
          </w:tcPr>
          <w:p w:rsidR="004C34B5" w:rsidRDefault="00176A35">
            <w:pPr>
              <w:jc w:val="center"/>
            </w:pPr>
            <w:r>
              <w:rPr>
                <w:color w:val="000000"/>
                <w:sz w:val="24"/>
                <w:szCs w:val="24"/>
              </w:rPr>
              <w:t>2</w:t>
            </w:r>
          </w:p>
        </w:tc>
        <w:tc>
          <w:tcPr>
            <w:tcW w:w="1334" w:type="dxa"/>
            <w:vAlign w:val="center"/>
          </w:tcPr>
          <w:p w:rsidR="004C34B5" w:rsidRDefault="00176A35">
            <w:pPr>
              <w:jc w:val="center"/>
            </w:pPr>
            <w:r>
              <w:rPr>
                <w:color w:val="000000"/>
                <w:sz w:val="24"/>
                <w:szCs w:val="24"/>
              </w:rPr>
              <w:t>002027</w:t>
            </w:r>
          </w:p>
        </w:tc>
        <w:tc>
          <w:tcPr>
            <w:tcW w:w="1777" w:type="dxa"/>
            <w:vAlign w:val="center"/>
          </w:tcPr>
          <w:p w:rsidR="004C34B5" w:rsidRDefault="00176A35">
            <w:pPr>
              <w:jc w:val="center"/>
            </w:pPr>
            <w:r>
              <w:rPr>
                <w:color w:val="000000"/>
                <w:sz w:val="24"/>
                <w:szCs w:val="24"/>
              </w:rPr>
              <w:t>分众传媒</w:t>
            </w:r>
          </w:p>
        </w:tc>
        <w:tc>
          <w:tcPr>
            <w:tcW w:w="1334" w:type="dxa"/>
            <w:vAlign w:val="center"/>
          </w:tcPr>
          <w:p w:rsidR="004C34B5" w:rsidRDefault="00176A35">
            <w:pPr>
              <w:jc w:val="right"/>
            </w:pPr>
            <w:r>
              <w:rPr>
                <w:color w:val="000000"/>
                <w:sz w:val="24"/>
                <w:szCs w:val="24"/>
              </w:rPr>
              <w:t>3,891,594</w:t>
            </w:r>
          </w:p>
        </w:tc>
        <w:tc>
          <w:tcPr>
            <w:tcW w:w="1924" w:type="dxa"/>
            <w:vAlign w:val="center"/>
          </w:tcPr>
          <w:p w:rsidR="004C34B5" w:rsidRDefault="00176A35">
            <w:pPr>
              <w:jc w:val="right"/>
            </w:pPr>
            <w:r>
              <w:rPr>
                <w:color w:val="000000"/>
                <w:sz w:val="24"/>
                <w:szCs w:val="24"/>
              </w:rPr>
              <w:t>50,162,646.66</w:t>
            </w:r>
          </w:p>
        </w:tc>
        <w:tc>
          <w:tcPr>
            <w:tcW w:w="1644" w:type="dxa"/>
            <w:vAlign w:val="center"/>
          </w:tcPr>
          <w:p w:rsidR="004C34B5" w:rsidRDefault="00176A35">
            <w:pPr>
              <w:jc w:val="right"/>
            </w:pPr>
            <w:r>
              <w:rPr>
                <w:color w:val="000000"/>
                <w:sz w:val="24"/>
                <w:szCs w:val="24"/>
              </w:rPr>
              <w:t>6.49</w:t>
            </w:r>
          </w:p>
        </w:tc>
      </w:tr>
      <w:tr w:rsidR="004C34B5">
        <w:trPr>
          <w:jc w:val="center"/>
        </w:trPr>
        <w:tc>
          <w:tcPr>
            <w:tcW w:w="855" w:type="dxa"/>
            <w:vAlign w:val="center"/>
          </w:tcPr>
          <w:p w:rsidR="004C34B5" w:rsidRDefault="00176A35">
            <w:pPr>
              <w:jc w:val="center"/>
            </w:pPr>
            <w:r>
              <w:rPr>
                <w:color w:val="000000"/>
                <w:sz w:val="24"/>
                <w:szCs w:val="24"/>
              </w:rPr>
              <w:t>3</w:t>
            </w:r>
          </w:p>
        </w:tc>
        <w:tc>
          <w:tcPr>
            <w:tcW w:w="1334" w:type="dxa"/>
            <w:vAlign w:val="center"/>
          </w:tcPr>
          <w:p w:rsidR="004C34B5" w:rsidRDefault="00176A35">
            <w:pPr>
              <w:jc w:val="center"/>
            </w:pPr>
            <w:r>
              <w:rPr>
                <w:color w:val="000000"/>
                <w:sz w:val="24"/>
                <w:szCs w:val="24"/>
              </w:rPr>
              <w:t>600036</w:t>
            </w:r>
          </w:p>
        </w:tc>
        <w:tc>
          <w:tcPr>
            <w:tcW w:w="1777" w:type="dxa"/>
            <w:vAlign w:val="center"/>
          </w:tcPr>
          <w:p w:rsidR="004C34B5" w:rsidRDefault="00176A35">
            <w:pPr>
              <w:jc w:val="center"/>
            </w:pPr>
            <w:r>
              <w:rPr>
                <w:color w:val="000000"/>
                <w:sz w:val="24"/>
                <w:szCs w:val="24"/>
              </w:rPr>
              <w:t>招商银行</w:t>
            </w:r>
          </w:p>
        </w:tc>
        <w:tc>
          <w:tcPr>
            <w:tcW w:w="1334" w:type="dxa"/>
            <w:vAlign w:val="center"/>
          </w:tcPr>
          <w:p w:rsidR="004C34B5" w:rsidRDefault="00176A35">
            <w:pPr>
              <w:jc w:val="right"/>
            </w:pPr>
            <w:r>
              <w:rPr>
                <w:color w:val="000000"/>
                <w:sz w:val="24"/>
                <w:szCs w:val="24"/>
              </w:rPr>
              <w:t>1,577,159</w:t>
            </w:r>
          </w:p>
        </w:tc>
        <w:tc>
          <w:tcPr>
            <w:tcW w:w="1924" w:type="dxa"/>
            <w:vAlign w:val="center"/>
          </w:tcPr>
          <w:p w:rsidR="004C34B5" w:rsidRDefault="00176A35">
            <w:pPr>
              <w:jc w:val="right"/>
            </w:pPr>
            <w:r>
              <w:rPr>
                <w:color w:val="000000"/>
                <w:sz w:val="24"/>
                <w:szCs w:val="24"/>
              </w:rPr>
              <w:t>45,879,555.31</w:t>
            </w:r>
          </w:p>
        </w:tc>
        <w:tc>
          <w:tcPr>
            <w:tcW w:w="1644" w:type="dxa"/>
            <w:vAlign w:val="center"/>
          </w:tcPr>
          <w:p w:rsidR="004C34B5" w:rsidRDefault="00176A35">
            <w:pPr>
              <w:jc w:val="right"/>
            </w:pPr>
            <w:r>
              <w:rPr>
                <w:color w:val="000000"/>
                <w:sz w:val="24"/>
                <w:szCs w:val="24"/>
              </w:rPr>
              <w:t>5.94</w:t>
            </w:r>
          </w:p>
        </w:tc>
      </w:tr>
      <w:tr w:rsidR="004C34B5">
        <w:trPr>
          <w:jc w:val="center"/>
        </w:trPr>
        <w:tc>
          <w:tcPr>
            <w:tcW w:w="855" w:type="dxa"/>
            <w:vAlign w:val="center"/>
          </w:tcPr>
          <w:p w:rsidR="004C34B5" w:rsidRDefault="00176A35">
            <w:pPr>
              <w:jc w:val="center"/>
            </w:pPr>
            <w:r>
              <w:rPr>
                <w:color w:val="000000"/>
                <w:sz w:val="24"/>
                <w:szCs w:val="24"/>
              </w:rPr>
              <w:t>4</w:t>
            </w:r>
          </w:p>
        </w:tc>
        <w:tc>
          <w:tcPr>
            <w:tcW w:w="1334" w:type="dxa"/>
            <w:vAlign w:val="center"/>
          </w:tcPr>
          <w:p w:rsidR="004C34B5" w:rsidRDefault="00176A35">
            <w:pPr>
              <w:jc w:val="center"/>
            </w:pPr>
            <w:r>
              <w:rPr>
                <w:color w:val="000000"/>
                <w:sz w:val="24"/>
                <w:szCs w:val="24"/>
              </w:rPr>
              <w:t>300347</w:t>
            </w:r>
          </w:p>
        </w:tc>
        <w:tc>
          <w:tcPr>
            <w:tcW w:w="1777" w:type="dxa"/>
            <w:vAlign w:val="center"/>
          </w:tcPr>
          <w:p w:rsidR="004C34B5" w:rsidRDefault="00176A35">
            <w:pPr>
              <w:jc w:val="center"/>
            </w:pPr>
            <w:r>
              <w:rPr>
                <w:color w:val="000000"/>
                <w:sz w:val="24"/>
                <w:szCs w:val="24"/>
              </w:rPr>
              <w:t>泰格医药</w:t>
            </w:r>
          </w:p>
        </w:tc>
        <w:tc>
          <w:tcPr>
            <w:tcW w:w="1334" w:type="dxa"/>
            <w:vAlign w:val="center"/>
          </w:tcPr>
          <w:p w:rsidR="004C34B5" w:rsidRDefault="00176A35">
            <w:pPr>
              <w:jc w:val="right"/>
            </w:pPr>
            <w:r>
              <w:rPr>
                <w:color w:val="000000"/>
                <w:sz w:val="24"/>
                <w:szCs w:val="24"/>
              </w:rPr>
              <w:t>838,571</w:t>
            </w:r>
          </w:p>
        </w:tc>
        <w:tc>
          <w:tcPr>
            <w:tcW w:w="1924" w:type="dxa"/>
            <w:vAlign w:val="center"/>
          </w:tcPr>
          <w:p w:rsidR="004C34B5" w:rsidRDefault="00176A35">
            <w:pPr>
              <w:jc w:val="right"/>
            </w:pPr>
            <w:r>
              <w:rPr>
                <w:color w:val="000000"/>
                <w:sz w:val="24"/>
                <w:szCs w:val="24"/>
              </w:rPr>
              <w:t>45,039,648.41</w:t>
            </w:r>
          </w:p>
        </w:tc>
        <w:tc>
          <w:tcPr>
            <w:tcW w:w="1644" w:type="dxa"/>
            <w:vAlign w:val="center"/>
          </w:tcPr>
          <w:p w:rsidR="004C34B5" w:rsidRDefault="00176A35">
            <w:pPr>
              <w:jc w:val="right"/>
            </w:pPr>
            <w:r>
              <w:rPr>
                <w:color w:val="000000"/>
                <w:sz w:val="24"/>
                <w:szCs w:val="24"/>
              </w:rPr>
              <w:t>5.83</w:t>
            </w:r>
          </w:p>
        </w:tc>
      </w:tr>
      <w:tr w:rsidR="004C34B5">
        <w:trPr>
          <w:jc w:val="center"/>
        </w:trPr>
        <w:tc>
          <w:tcPr>
            <w:tcW w:w="855" w:type="dxa"/>
            <w:vAlign w:val="center"/>
          </w:tcPr>
          <w:p w:rsidR="004C34B5" w:rsidRDefault="00176A35">
            <w:pPr>
              <w:jc w:val="center"/>
            </w:pPr>
            <w:r>
              <w:rPr>
                <w:color w:val="000000"/>
                <w:sz w:val="24"/>
                <w:szCs w:val="24"/>
              </w:rPr>
              <w:t>5</w:t>
            </w:r>
          </w:p>
        </w:tc>
        <w:tc>
          <w:tcPr>
            <w:tcW w:w="1334" w:type="dxa"/>
            <w:vAlign w:val="center"/>
          </w:tcPr>
          <w:p w:rsidR="004C34B5" w:rsidRDefault="00176A35">
            <w:pPr>
              <w:jc w:val="center"/>
            </w:pPr>
            <w:r>
              <w:rPr>
                <w:color w:val="000000"/>
                <w:sz w:val="24"/>
                <w:szCs w:val="24"/>
              </w:rPr>
              <w:t>601398</w:t>
            </w:r>
          </w:p>
        </w:tc>
        <w:tc>
          <w:tcPr>
            <w:tcW w:w="1777" w:type="dxa"/>
            <w:vAlign w:val="center"/>
          </w:tcPr>
          <w:p w:rsidR="004C34B5" w:rsidRDefault="00176A35">
            <w:pPr>
              <w:jc w:val="center"/>
            </w:pPr>
            <w:r>
              <w:rPr>
                <w:color w:val="000000"/>
                <w:sz w:val="24"/>
                <w:szCs w:val="24"/>
              </w:rPr>
              <w:t>工商银行</w:t>
            </w:r>
          </w:p>
        </w:tc>
        <w:tc>
          <w:tcPr>
            <w:tcW w:w="1334" w:type="dxa"/>
            <w:vAlign w:val="center"/>
          </w:tcPr>
          <w:p w:rsidR="004C34B5" w:rsidRDefault="00176A35">
            <w:pPr>
              <w:jc w:val="right"/>
            </w:pPr>
            <w:r>
              <w:rPr>
                <w:color w:val="000000"/>
                <w:sz w:val="24"/>
                <w:szCs w:val="24"/>
              </w:rPr>
              <w:t>6,898,802</w:t>
            </w:r>
          </w:p>
        </w:tc>
        <w:tc>
          <w:tcPr>
            <w:tcW w:w="1924" w:type="dxa"/>
            <w:vAlign w:val="center"/>
          </w:tcPr>
          <w:p w:rsidR="004C34B5" w:rsidRDefault="00176A35">
            <w:pPr>
              <w:jc w:val="right"/>
            </w:pPr>
            <w:r>
              <w:rPr>
                <w:color w:val="000000"/>
                <w:sz w:val="24"/>
                <w:szCs w:val="24"/>
              </w:rPr>
              <w:t>42,013,704.18</w:t>
            </w:r>
          </w:p>
        </w:tc>
        <w:tc>
          <w:tcPr>
            <w:tcW w:w="1644" w:type="dxa"/>
            <w:vAlign w:val="center"/>
          </w:tcPr>
          <w:p w:rsidR="004C34B5" w:rsidRDefault="00176A35">
            <w:pPr>
              <w:jc w:val="right"/>
            </w:pPr>
            <w:r>
              <w:rPr>
                <w:color w:val="000000"/>
                <w:sz w:val="24"/>
                <w:szCs w:val="24"/>
              </w:rPr>
              <w:t>5.44</w:t>
            </w:r>
          </w:p>
        </w:tc>
      </w:tr>
      <w:tr w:rsidR="004C34B5">
        <w:trPr>
          <w:jc w:val="center"/>
        </w:trPr>
        <w:tc>
          <w:tcPr>
            <w:tcW w:w="855" w:type="dxa"/>
            <w:vAlign w:val="center"/>
          </w:tcPr>
          <w:p w:rsidR="004C34B5" w:rsidRDefault="00176A35">
            <w:pPr>
              <w:jc w:val="center"/>
            </w:pPr>
            <w:r>
              <w:rPr>
                <w:color w:val="000000"/>
                <w:sz w:val="24"/>
                <w:szCs w:val="24"/>
              </w:rPr>
              <w:t>6</w:t>
            </w:r>
          </w:p>
        </w:tc>
        <w:tc>
          <w:tcPr>
            <w:tcW w:w="1334" w:type="dxa"/>
            <w:vAlign w:val="center"/>
          </w:tcPr>
          <w:p w:rsidR="004C34B5" w:rsidRDefault="00176A35">
            <w:pPr>
              <w:jc w:val="center"/>
            </w:pPr>
            <w:r>
              <w:rPr>
                <w:color w:val="000000"/>
                <w:sz w:val="24"/>
                <w:szCs w:val="24"/>
              </w:rPr>
              <w:t>300170</w:t>
            </w:r>
          </w:p>
        </w:tc>
        <w:tc>
          <w:tcPr>
            <w:tcW w:w="1777" w:type="dxa"/>
            <w:vAlign w:val="center"/>
          </w:tcPr>
          <w:p w:rsidR="004C34B5" w:rsidRDefault="00176A35">
            <w:pPr>
              <w:jc w:val="center"/>
            </w:pPr>
            <w:r>
              <w:rPr>
                <w:color w:val="000000"/>
                <w:sz w:val="24"/>
                <w:szCs w:val="24"/>
              </w:rPr>
              <w:t>汉得信息</w:t>
            </w:r>
          </w:p>
        </w:tc>
        <w:tc>
          <w:tcPr>
            <w:tcW w:w="1334" w:type="dxa"/>
            <w:vAlign w:val="center"/>
          </w:tcPr>
          <w:p w:rsidR="004C34B5" w:rsidRDefault="00176A35">
            <w:pPr>
              <w:jc w:val="right"/>
            </w:pPr>
            <w:r>
              <w:rPr>
                <w:color w:val="000000"/>
                <w:sz w:val="24"/>
                <w:szCs w:val="24"/>
              </w:rPr>
              <w:t>2,136,618</w:t>
            </w:r>
          </w:p>
        </w:tc>
        <w:tc>
          <w:tcPr>
            <w:tcW w:w="1924" w:type="dxa"/>
            <w:vAlign w:val="center"/>
          </w:tcPr>
          <w:p w:rsidR="004C34B5" w:rsidRDefault="00176A35">
            <w:pPr>
              <w:jc w:val="right"/>
            </w:pPr>
            <w:r>
              <w:rPr>
                <w:color w:val="000000"/>
                <w:sz w:val="24"/>
                <w:szCs w:val="24"/>
              </w:rPr>
              <w:t>37,946,335.68</w:t>
            </w:r>
          </w:p>
        </w:tc>
        <w:tc>
          <w:tcPr>
            <w:tcW w:w="1644" w:type="dxa"/>
            <w:vAlign w:val="center"/>
          </w:tcPr>
          <w:p w:rsidR="004C34B5" w:rsidRDefault="00176A35">
            <w:pPr>
              <w:jc w:val="right"/>
            </w:pPr>
            <w:r>
              <w:rPr>
                <w:color w:val="000000"/>
                <w:sz w:val="24"/>
                <w:szCs w:val="24"/>
              </w:rPr>
              <w:t>4.91</w:t>
            </w:r>
          </w:p>
        </w:tc>
      </w:tr>
      <w:tr w:rsidR="004C34B5">
        <w:trPr>
          <w:jc w:val="center"/>
        </w:trPr>
        <w:tc>
          <w:tcPr>
            <w:tcW w:w="855" w:type="dxa"/>
            <w:vAlign w:val="center"/>
          </w:tcPr>
          <w:p w:rsidR="004C34B5" w:rsidRDefault="00176A35">
            <w:pPr>
              <w:jc w:val="center"/>
            </w:pPr>
            <w:r>
              <w:rPr>
                <w:color w:val="000000"/>
                <w:sz w:val="24"/>
                <w:szCs w:val="24"/>
              </w:rPr>
              <w:t>7</w:t>
            </w:r>
          </w:p>
        </w:tc>
        <w:tc>
          <w:tcPr>
            <w:tcW w:w="1334" w:type="dxa"/>
            <w:vAlign w:val="center"/>
          </w:tcPr>
          <w:p w:rsidR="004C34B5" w:rsidRDefault="00176A35">
            <w:pPr>
              <w:jc w:val="center"/>
            </w:pPr>
            <w:r>
              <w:rPr>
                <w:color w:val="000000"/>
                <w:sz w:val="24"/>
                <w:szCs w:val="24"/>
              </w:rPr>
              <w:t>603108</w:t>
            </w:r>
          </w:p>
        </w:tc>
        <w:tc>
          <w:tcPr>
            <w:tcW w:w="1777" w:type="dxa"/>
            <w:vAlign w:val="center"/>
          </w:tcPr>
          <w:p w:rsidR="004C34B5" w:rsidRDefault="00176A35">
            <w:pPr>
              <w:jc w:val="center"/>
            </w:pPr>
            <w:r>
              <w:rPr>
                <w:color w:val="000000"/>
                <w:sz w:val="24"/>
                <w:szCs w:val="24"/>
              </w:rPr>
              <w:t>润达医疗</w:t>
            </w:r>
          </w:p>
        </w:tc>
        <w:tc>
          <w:tcPr>
            <w:tcW w:w="1334" w:type="dxa"/>
            <w:vAlign w:val="center"/>
          </w:tcPr>
          <w:p w:rsidR="004C34B5" w:rsidRDefault="00176A35">
            <w:pPr>
              <w:jc w:val="right"/>
            </w:pPr>
            <w:r>
              <w:rPr>
                <w:color w:val="000000"/>
                <w:sz w:val="24"/>
                <w:szCs w:val="24"/>
              </w:rPr>
              <w:t>2,196,834</w:t>
            </w:r>
          </w:p>
        </w:tc>
        <w:tc>
          <w:tcPr>
            <w:tcW w:w="1924" w:type="dxa"/>
            <w:vAlign w:val="center"/>
          </w:tcPr>
          <w:p w:rsidR="004C34B5" w:rsidRDefault="00176A35">
            <w:pPr>
              <w:jc w:val="right"/>
            </w:pPr>
            <w:r>
              <w:rPr>
                <w:color w:val="000000"/>
                <w:sz w:val="24"/>
                <w:szCs w:val="24"/>
              </w:rPr>
              <w:t>35,896,267.56</w:t>
            </w:r>
          </w:p>
        </w:tc>
        <w:tc>
          <w:tcPr>
            <w:tcW w:w="1644" w:type="dxa"/>
            <w:vAlign w:val="center"/>
          </w:tcPr>
          <w:p w:rsidR="004C34B5" w:rsidRDefault="00176A35">
            <w:pPr>
              <w:jc w:val="right"/>
            </w:pPr>
            <w:r>
              <w:rPr>
                <w:color w:val="000000"/>
                <w:sz w:val="24"/>
                <w:szCs w:val="24"/>
              </w:rPr>
              <w:t>4.65</w:t>
            </w:r>
          </w:p>
        </w:tc>
      </w:tr>
      <w:tr w:rsidR="004C34B5">
        <w:trPr>
          <w:jc w:val="center"/>
        </w:trPr>
        <w:tc>
          <w:tcPr>
            <w:tcW w:w="855" w:type="dxa"/>
            <w:vAlign w:val="center"/>
          </w:tcPr>
          <w:p w:rsidR="004C34B5" w:rsidRDefault="00176A35">
            <w:pPr>
              <w:jc w:val="center"/>
            </w:pPr>
            <w:r>
              <w:rPr>
                <w:color w:val="000000"/>
                <w:sz w:val="24"/>
                <w:szCs w:val="24"/>
              </w:rPr>
              <w:t>8</w:t>
            </w:r>
          </w:p>
        </w:tc>
        <w:tc>
          <w:tcPr>
            <w:tcW w:w="1334" w:type="dxa"/>
            <w:vAlign w:val="center"/>
          </w:tcPr>
          <w:p w:rsidR="004C34B5" w:rsidRDefault="00176A35">
            <w:pPr>
              <w:jc w:val="center"/>
            </w:pPr>
            <w:r>
              <w:rPr>
                <w:color w:val="000000"/>
                <w:sz w:val="24"/>
                <w:szCs w:val="24"/>
              </w:rPr>
              <w:t>000538</w:t>
            </w:r>
          </w:p>
        </w:tc>
        <w:tc>
          <w:tcPr>
            <w:tcW w:w="1777" w:type="dxa"/>
            <w:vAlign w:val="center"/>
          </w:tcPr>
          <w:p w:rsidR="004C34B5" w:rsidRDefault="00176A35">
            <w:pPr>
              <w:jc w:val="center"/>
            </w:pPr>
            <w:r>
              <w:rPr>
                <w:color w:val="000000"/>
                <w:sz w:val="24"/>
                <w:szCs w:val="24"/>
              </w:rPr>
              <w:t>云南白药</w:t>
            </w:r>
          </w:p>
        </w:tc>
        <w:tc>
          <w:tcPr>
            <w:tcW w:w="1334" w:type="dxa"/>
            <w:vAlign w:val="center"/>
          </w:tcPr>
          <w:p w:rsidR="004C34B5" w:rsidRDefault="00176A35">
            <w:pPr>
              <w:jc w:val="right"/>
            </w:pPr>
            <w:r>
              <w:rPr>
                <w:color w:val="000000"/>
                <w:sz w:val="24"/>
                <w:szCs w:val="24"/>
              </w:rPr>
              <w:t>348,541</w:t>
            </w:r>
          </w:p>
        </w:tc>
        <w:tc>
          <w:tcPr>
            <w:tcW w:w="1924" w:type="dxa"/>
            <w:vAlign w:val="center"/>
          </w:tcPr>
          <w:p w:rsidR="004C34B5" w:rsidRDefault="00176A35">
            <w:pPr>
              <w:jc w:val="right"/>
            </w:pPr>
            <w:r>
              <w:rPr>
                <w:color w:val="000000"/>
                <w:sz w:val="24"/>
                <w:szCs w:val="24"/>
              </w:rPr>
              <w:t>34,505,559.00</w:t>
            </w:r>
          </w:p>
        </w:tc>
        <w:tc>
          <w:tcPr>
            <w:tcW w:w="1644" w:type="dxa"/>
            <w:vAlign w:val="center"/>
          </w:tcPr>
          <w:p w:rsidR="004C34B5" w:rsidRDefault="00176A35">
            <w:pPr>
              <w:jc w:val="right"/>
            </w:pPr>
            <w:r>
              <w:rPr>
                <w:color w:val="000000"/>
                <w:sz w:val="24"/>
                <w:szCs w:val="24"/>
              </w:rPr>
              <w:t>4.47</w:t>
            </w:r>
          </w:p>
        </w:tc>
      </w:tr>
      <w:tr w:rsidR="004C34B5">
        <w:trPr>
          <w:jc w:val="center"/>
        </w:trPr>
        <w:tc>
          <w:tcPr>
            <w:tcW w:w="855" w:type="dxa"/>
            <w:vAlign w:val="center"/>
          </w:tcPr>
          <w:p w:rsidR="004C34B5" w:rsidRDefault="00176A35">
            <w:pPr>
              <w:jc w:val="center"/>
            </w:pPr>
            <w:r>
              <w:rPr>
                <w:color w:val="000000"/>
                <w:sz w:val="24"/>
                <w:szCs w:val="24"/>
              </w:rPr>
              <w:t>9</w:t>
            </w:r>
          </w:p>
        </w:tc>
        <w:tc>
          <w:tcPr>
            <w:tcW w:w="1334" w:type="dxa"/>
            <w:vAlign w:val="center"/>
          </w:tcPr>
          <w:p w:rsidR="004C34B5" w:rsidRDefault="00176A35">
            <w:pPr>
              <w:jc w:val="center"/>
            </w:pPr>
            <w:r>
              <w:rPr>
                <w:color w:val="000000"/>
                <w:sz w:val="24"/>
                <w:szCs w:val="24"/>
              </w:rPr>
              <w:t>600887</w:t>
            </w:r>
          </w:p>
        </w:tc>
        <w:tc>
          <w:tcPr>
            <w:tcW w:w="1777" w:type="dxa"/>
            <w:vAlign w:val="center"/>
          </w:tcPr>
          <w:p w:rsidR="004C34B5" w:rsidRDefault="00176A35">
            <w:pPr>
              <w:jc w:val="center"/>
            </w:pPr>
            <w:r>
              <w:rPr>
                <w:color w:val="000000"/>
                <w:sz w:val="24"/>
                <w:szCs w:val="24"/>
              </w:rPr>
              <w:t>伊利股份</w:t>
            </w:r>
          </w:p>
        </w:tc>
        <w:tc>
          <w:tcPr>
            <w:tcW w:w="1334" w:type="dxa"/>
            <w:vAlign w:val="center"/>
          </w:tcPr>
          <w:p w:rsidR="004C34B5" w:rsidRDefault="00176A35">
            <w:pPr>
              <w:jc w:val="right"/>
            </w:pPr>
            <w:r>
              <w:rPr>
                <w:color w:val="000000"/>
                <w:sz w:val="24"/>
                <w:szCs w:val="24"/>
              </w:rPr>
              <w:t>1,135,345</w:t>
            </w:r>
          </w:p>
        </w:tc>
        <w:tc>
          <w:tcPr>
            <w:tcW w:w="1924" w:type="dxa"/>
            <w:vAlign w:val="center"/>
          </w:tcPr>
          <w:p w:rsidR="004C34B5" w:rsidRDefault="00176A35">
            <w:pPr>
              <w:jc w:val="right"/>
            </w:pPr>
            <w:r>
              <w:rPr>
                <w:color w:val="000000"/>
                <w:sz w:val="24"/>
                <w:szCs w:val="24"/>
              </w:rPr>
              <w:t>32,345,979.05</w:t>
            </w:r>
          </w:p>
        </w:tc>
        <w:tc>
          <w:tcPr>
            <w:tcW w:w="1644" w:type="dxa"/>
            <w:vAlign w:val="center"/>
          </w:tcPr>
          <w:p w:rsidR="004C34B5" w:rsidRDefault="00176A35">
            <w:pPr>
              <w:jc w:val="right"/>
            </w:pPr>
            <w:r>
              <w:rPr>
                <w:color w:val="000000"/>
                <w:sz w:val="24"/>
                <w:szCs w:val="24"/>
              </w:rPr>
              <w:t>4.19</w:t>
            </w:r>
          </w:p>
        </w:tc>
      </w:tr>
      <w:tr w:rsidR="004C34B5">
        <w:trPr>
          <w:jc w:val="center"/>
        </w:trPr>
        <w:tc>
          <w:tcPr>
            <w:tcW w:w="855" w:type="dxa"/>
            <w:vAlign w:val="center"/>
          </w:tcPr>
          <w:p w:rsidR="004C34B5" w:rsidRDefault="00176A35">
            <w:pPr>
              <w:jc w:val="center"/>
            </w:pPr>
            <w:r>
              <w:rPr>
                <w:color w:val="000000"/>
                <w:sz w:val="24"/>
                <w:szCs w:val="24"/>
              </w:rPr>
              <w:t>10</w:t>
            </w:r>
          </w:p>
        </w:tc>
        <w:tc>
          <w:tcPr>
            <w:tcW w:w="1334" w:type="dxa"/>
            <w:vAlign w:val="center"/>
          </w:tcPr>
          <w:p w:rsidR="004C34B5" w:rsidRDefault="00176A35">
            <w:pPr>
              <w:jc w:val="center"/>
            </w:pPr>
            <w:r>
              <w:rPr>
                <w:color w:val="000000"/>
                <w:sz w:val="24"/>
                <w:szCs w:val="24"/>
              </w:rPr>
              <w:t>601100</w:t>
            </w:r>
          </w:p>
        </w:tc>
        <w:tc>
          <w:tcPr>
            <w:tcW w:w="1777" w:type="dxa"/>
            <w:vAlign w:val="center"/>
          </w:tcPr>
          <w:p w:rsidR="004C34B5" w:rsidRDefault="00176A35">
            <w:pPr>
              <w:jc w:val="center"/>
            </w:pPr>
            <w:r>
              <w:rPr>
                <w:color w:val="000000"/>
                <w:sz w:val="24"/>
                <w:szCs w:val="24"/>
              </w:rPr>
              <w:t>恒立液压</w:t>
            </w:r>
          </w:p>
        </w:tc>
        <w:tc>
          <w:tcPr>
            <w:tcW w:w="1334" w:type="dxa"/>
            <w:vAlign w:val="center"/>
          </w:tcPr>
          <w:p w:rsidR="004C34B5" w:rsidRDefault="00176A35">
            <w:pPr>
              <w:jc w:val="right"/>
            </w:pPr>
            <w:r>
              <w:rPr>
                <w:color w:val="000000"/>
                <w:sz w:val="24"/>
                <w:szCs w:val="24"/>
              </w:rPr>
              <w:t>899,404</w:t>
            </w:r>
          </w:p>
        </w:tc>
        <w:tc>
          <w:tcPr>
            <w:tcW w:w="1924" w:type="dxa"/>
            <w:vAlign w:val="center"/>
          </w:tcPr>
          <w:p w:rsidR="004C34B5" w:rsidRDefault="00176A35">
            <w:pPr>
              <w:jc w:val="right"/>
            </w:pPr>
            <w:r>
              <w:rPr>
                <w:color w:val="000000"/>
                <w:sz w:val="24"/>
                <w:szCs w:val="24"/>
              </w:rPr>
              <w:t>27,404,839.88</w:t>
            </w:r>
          </w:p>
        </w:tc>
        <w:tc>
          <w:tcPr>
            <w:tcW w:w="1644" w:type="dxa"/>
            <w:vAlign w:val="center"/>
          </w:tcPr>
          <w:p w:rsidR="004C34B5" w:rsidRDefault="00176A35">
            <w:pPr>
              <w:jc w:val="right"/>
            </w:pPr>
            <w:r>
              <w:rPr>
                <w:color w:val="000000"/>
                <w:sz w:val="24"/>
                <w:szCs w:val="24"/>
              </w:rPr>
              <w:t>3.55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280,474.29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30,603.77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100,490,600.69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100,801,678.75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lastRenderedPageBreak/>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234ED5" w:rsidRPr="00234ED5" w:rsidRDefault="00234ED5" w:rsidP="00234ED5">
      <w:pPr>
        <w:adjustRightInd w:val="0"/>
        <w:snapToGrid w:val="0"/>
        <w:spacing w:beforeLines="50" w:before="156" w:line="360" w:lineRule="auto"/>
        <w:rPr>
          <w:rFonts w:eastAsiaTheme="minorEastAsia"/>
          <w:b/>
          <w:color w:val="000000" w:themeColor="text1"/>
          <w:kern w:val="0"/>
          <w:sz w:val="24"/>
          <w:szCs w:val="24"/>
        </w:rPr>
      </w:pPr>
      <w:r w:rsidRPr="00234ED5">
        <w:rPr>
          <w:rFonts w:eastAsiaTheme="minorEastAsia"/>
          <w:b/>
          <w:color w:val="000000" w:themeColor="text1"/>
          <w:kern w:val="0"/>
          <w:sz w:val="24"/>
          <w:szCs w:val="24"/>
        </w:rPr>
        <w:t xml:space="preserve">6.3 </w:t>
      </w:r>
      <w:r w:rsidRPr="00234ED5">
        <w:rPr>
          <w:rFonts w:eastAsiaTheme="minorEastAsia" w:hint="eastAsia"/>
          <w:b/>
          <w:color w:val="000000" w:themeColor="text1"/>
          <w:kern w:val="0"/>
          <w:sz w:val="24"/>
          <w:szCs w:val="24"/>
        </w:rPr>
        <w:t>本报告期持有的基金发生的重大影响事件</w:t>
      </w:r>
    </w:p>
    <w:p w:rsidR="00234ED5" w:rsidRPr="00234ED5" w:rsidRDefault="00234ED5" w:rsidP="00234ED5">
      <w:pPr>
        <w:autoSpaceDE w:val="0"/>
        <w:autoSpaceDN w:val="0"/>
        <w:adjustRightInd w:val="0"/>
        <w:spacing w:line="360" w:lineRule="auto"/>
        <w:ind w:firstLineChars="200" w:firstLine="480"/>
        <w:jc w:val="left"/>
        <w:rPr>
          <w:rFonts w:eastAsiaTheme="minorEastAsia"/>
          <w:color w:val="000000" w:themeColor="text1"/>
          <w:sz w:val="24"/>
          <w:szCs w:val="24"/>
        </w:rPr>
      </w:pPr>
      <w:r w:rsidRPr="00234ED5">
        <w:rPr>
          <w:rFonts w:eastAsiaTheme="minorEastAsia" w:hint="eastAsia"/>
          <w:color w:val="000000" w:themeColor="text1"/>
          <w:sz w:val="24"/>
          <w:szCs w:val="24"/>
        </w:rPr>
        <w:t>无。</w:t>
      </w:r>
    </w:p>
    <w:p w:rsidR="00234ED5" w:rsidRPr="00234ED5" w:rsidRDefault="00234ED5" w:rsidP="001F3E2A">
      <w:pPr>
        <w:autoSpaceDE w:val="0"/>
        <w:autoSpaceDN w:val="0"/>
        <w:adjustRightInd w:val="0"/>
        <w:spacing w:line="360" w:lineRule="auto"/>
        <w:ind w:firstLineChars="200" w:firstLine="480"/>
        <w:jc w:val="left"/>
        <w:rPr>
          <w:rFonts w:eastAsiaTheme="minorEastAsia"/>
          <w:color w:val="000000" w:themeColor="text1"/>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747,417,968.09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289,790,314.86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324,079,058.99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713,129,223.96</w:t>
            </w:r>
          </w:p>
        </w:tc>
      </w:tr>
    </w:tbl>
    <w:p w:rsidR="004C34B5" w:rsidRDefault="00176A3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14,776,472.35</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lastRenderedPageBreak/>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14,776,472.35</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2.07</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4C34B5">
        <w:tc>
          <w:tcPr>
            <w:tcW w:w="993" w:type="dxa"/>
            <w:vMerge w:val="restart"/>
          </w:tcPr>
          <w:p w:rsidR="004C34B5" w:rsidRDefault="004C34B5"/>
          <w:p w:rsidR="004C34B5" w:rsidRDefault="00176A35">
            <w:r>
              <w:rPr>
                <w:rFonts w:ascii="宋体" w:hAnsi="宋体" w:hint="eastAsia"/>
                <w:bCs/>
                <w:color w:val="000000"/>
                <w:kern w:val="0"/>
              </w:rPr>
              <w:t>机构</w:t>
            </w:r>
          </w:p>
        </w:tc>
        <w:tc>
          <w:tcPr>
            <w:tcW w:w="992" w:type="dxa"/>
            <w:vAlign w:val="center"/>
          </w:tcPr>
          <w:p w:rsidR="004C34B5" w:rsidRDefault="00176A35">
            <w:pPr>
              <w:jc w:val="center"/>
            </w:pPr>
            <w:r>
              <w:rPr>
                <w:rFonts w:ascii="宋体" w:hAnsi="宋体"/>
                <w:color w:val="000000"/>
                <w:kern w:val="0"/>
              </w:rPr>
              <w:t>1</w:t>
            </w:r>
          </w:p>
        </w:tc>
        <w:tc>
          <w:tcPr>
            <w:tcW w:w="1843" w:type="dxa"/>
            <w:vAlign w:val="center"/>
          </w:tcPr>
          <w:p w:rsidR="004C34B5" w:rsidRDefault="00176A35">
            <w:pPr>
              <w:jc w:val="center"/>
            </w:pPr>
            <w:r>
              <w:rPr>
                <w:rFonts w:ascii="宋体" w:hAnsi="宋体"/>
                <w:color w:val="000000"/>
                <w:kern w:val="0"/>
              </w:rPr>
              <w:t>2018/1/1-2018/3/31</w:t>
            </w:r>
          </w:p>
        </w:tc>
        <w:tc>
          <w:tcPr>
            <w:tcW w:w="851" w:type="dxa"/>
            <w:vAlign w:val="center"/>
          </w:tcPr>
          <w:p w:rsidR="004C34B5" w:rsidRDefault="00176A35">
            <w:pPr>
              <w:jc w:val="center"/>
            </w:pPr>
            <w:r>
              <w:rPr>
                <w:rFonts w:ascii="宋体" w:hAnsi="宋体"/>
                <w:color w:val="000000"/>
                <w:kern w:val="0"/>
              </w:rPr>
              <w:t>163,475,044.56</w:t>
            </w:r>
          </w:p>
        </w:tc>
        <w:tc>
          <w:tcPr>
            <w:tcW w:w="850" w:type="dxa"/>
            <w:vAlign w:val="center"/>
          </w:tcPr>
          <w:p w:rsidR="004C34B5" w:rsidRDefault="00176A35">
            <w:pPr>
              <w:jc w:val="center"/>
            </w:pPr>
            <w:r>
              <w:rPr>
                <w:rFonts w:ascii="宋体" w:hAnsi="宋体"/>
                <w:color w:val="000000"/>
                <w:kern w:val="0"/>
              </w:rPr>
              <w:t>-</w:t>
            </w:r>
          </w:p>
        </w:tc>
        <w:tc>
          <w:tcPr>
            <w:tcW w:w="1134" w:type="dxa"/>
            <w:vAlign w:val="center"/>
          </w:tcPr>
          <w:p w:rsidR="004C34B5" w:rsidRDefault="00176A35">
            <w:pPr>
              <w:jc w:val="center"/>
            </w:pPr>
            <w:r>
              <w:rPr>
                <w:rFonts w:ascii="宋体" w:hAnsi="宋体"/>
                <w:color w:val="000000"/>
                <w:kern w:val="0"/>
              </w:rPr>
              <w:t>113,475,044.56</w:t>
            </w:r>
          </w:p>
        </w:tc>
        <w:tc>
          <w:tcPr>
            <w:tcW w:w="1419" w:type="dxa"/>
            <w:vAlign w:val="center"/>
          </w:tcPr>
          <w:p w:rsidR="004C34B5" w:rsidRDefault="00176A35">
            <w:pPr>
              <w:jc w:val="center"/>
            </w:pPr>
            <w:r>
              <w:rPr>
                <w:rFonts w:ascii="宋体" w:hAnsi="宋体"/>
                <w:color w:val="000000"/>
                <w:kern w:val="0"/>
              </w:rPr>
              <w:t>50,000,000.00</w:t>
            </w:r>
          </w:p>
        </w:tc>
        <w:tc>
          <w:tcPr>
            <w:tcW w:w="1130" w:type="dxa"/>
            <w:vAlign w:val="center"/>
          </w:tcPr>
          <w:p w:rsidR="004C34B5" w:rsidRDefault="00176A35">
            <w:pPr>
              <w:jc w:val="center"/>
            </w:pPr>
            <w:r>
              <w:rPr>
                <w:rFonts w:ascii="宋体" w:hAnsi="宋体"/>
                <w:color w:val="000000"/>
                <w:kern w:val="0"/>
              </w:rPr>
              <w:t>7.01%</w:t>
            </w:r>
          </w:p>
        </w:tc>
      </w:tr>
      <w:tr w:rsidR="004C34B5">
        <w:tc>
          <w:tcPr>
            <w:tcW w:w="993" w:type="dxa"/>
            <w:vMerge/>
          </w:tcPr>
          <w:p w:rsidR="004C34B5" w:rsidRDefault="004C34B5"/>
        </w:tc>
        <w:tc>
          <w:tcPr>
            <w:tcW w:w="992" w:type="dxa"/>
            <w:vAlign w:val="center"/>
          </w:tcPr>
          <w:p w:rsidR="004C34B5" w:rsidRDefault="00176A35">
            <w:pPr>
              <w:jc w:val="center"/>
            </w:pPr>
            <w:r>
              <w:rPr>
                <w:rFonts w:ascii="宋体" w:hAnsi="宋体"/>
                <w:color w:val="000000"/>
                <w:kern w:val="0"/>
              </w:rPr>
              <w:t>2</w:t>
            </w:r>
          </w:p>
        </w:tc>
        <w:tc>
          <w:tcPr>
            <w:tcW w:w="1843" w:type="dxa"/>
            <w:vAlign w:val="center"/>
          </w:tcPr>
          <w:p w:rsidR="004C34B5" w:rsidRDefault="00176A35">
            <w:pPr>
              <w:jc w:val="center"/>
            </w:pPr>
            <w:r>
              <w:rPr>
                <w:rFonts w:ascii="宋体" w:hAnsi="宋体"/>
                <w:color w:val="000000"/>
                <w:kern w:val="0"/>
              </w:rPr>
              <w:t>2018/1/1-2018/3/31</w:t>
            </w:r>
          </w:p>
        </w:tc>
        <w:tc>
          <w:tcPr>
            <w:tcW w:w="851" w:type="dxa"/>
            <w:vAlign w:val="center"/>
          </w:tcPr>
          <w:p w:rsidR="004C34B5" w:rsidRDefault="00176A35">
            <w:pPr>
              <w:jc w:val="center"/>
            </w:pPr>
            <w:r>
              <w:rPr>
                <w:rFonts w:ascii="宋体" w:hAnsi="宋体"/>
                <w:color w:val="000000"/>
                <w:kern w:val="0"/>
              </w:rPr>
              <w:t>178,093,499.55</w:t>
            </w:r>
          </w:p>
        </w:tc>
        <w:tc>
          <w:tcPr>
            <w:tcW w:w="850" w:type="dxa"/>
            <w:vAlign w:val="center"/>
          </w:tcPr>
          <w:p w:rsidR="004C34B5" w:rsidRDefault="00176A35">
            <w:pPr>
              <w:jc w:val="center"/>
            </w:pPr>
            <w:r>
              <w:rPr>
                <w:rFonts w:ascii="宋体" w:hAnsi="宋体"/>
                <w:color w:val="000000"/>
                <w:kern w:val="0"/>
              </w:rPr>
              <w:t>-</w:t>
            </w:r>
          </w:p>
        </w:tc>
        <w:tc>
          <w:tcPr>
            <w:tcW w:w="1134" w:type="dxa"/>
            <w:vAlign w:val="center"/>
          </w:tcPr>
          <w:p w:rsidR="004C34B5" w:rsidRDefault="00176A35">
            <w:pPr>
              <w:jc w:val="center"/>
            </w:pPr>
            <w:r>
              <w:rPr>
                <w:rFonts w:ascii="宋体" w:hAnsi="宋体"/>
                <w:color w:val="000000"/>
                <w:kern w:val="0"/>
              </w:rPr>
              <w:t>-</w:t>
            </w:r>
          </w:p>
        </w:tc>
        <w:tc>
          <w:tcPr>
            <w:tcW w:w="1419" w:type="dxa"/>
            <w:vAlign w:val="center"/>
          </w:tcPr>
          <w:p w:rsidR="004C34B5" w:rsidRDefault="00176A35">
            <w:pPr>
              <w:jc w:val="center"/>
            </w:pPr>
            <w:r>
              <w:rPr>
                <w:rFonts w:ascii="宋体" w:hAnsi="宋体"/>
                <w:color w:val="000000"/>
                <w:kern w:val="0"/>
              </w:rPr>
              <w:t>178,093,499.55</w:t>
            </w:r>
          </w:p>
        </w:tc>
        <w:tc>
          <w:tcPr>
            <w:tcW w:w="1130" w:type="dxa"/>
            <w:vAlign w:val="center"/>
          </w:tcPr>
          <w:p w:rsidR="004C34B5" w:rsidRDefault="00176A35">
            <w:pPr>
              <w:jc w:val="center"/>
            </w:pPr>
            <w:r>
              <w:rPr>
                <w:rFonts w:ascii="宋体" w:hAnsi="宋体"/>
                <w:color w:val="000000"/>
                <w:kern w:val="0"/>
              </w:rPr>
              <w:t>24.97%</w:t>
            </w:r>
          </w:p>
        </w:tc>
      </w:tr>
      <w:tr w:rsidR="004C34B5">
        <w:tc>
          <w:tcPr>
            <w:tcW w:w="993" w:type="dxa"/>
            <w:vMerge/>
          </w:tcPr>
          <w:p w:rsidR="004C34B5" w:rsidRDefault="004C34B5"/>
        </w:tc>
        <w:tc>
          <w:tcPr>
            <w:tcW w:w="992" w:type="dxa"/>
            <w:vAlign w:val="center"/>
          </w:tcPr>
          <w:p w:rsidR="004C34B5" w:rsidRDefault="00176A35">
            <w:pPr>
              <w:jc w:val="center"/>
            </w:pPr>
            <w:r>
              <w:rPr>
                <w:rFonts w:ascii="宋体" w:hAnsi="宋体"/>
                <w:color w:val="000000"/>
                <w:kern w:val="0"/>
              </w:rPr>
              <w:t>3</w:t>
            </w:r>
          </w:p>
        </w:tc>
        <w:tc>
          <w:tcPr>
            <w:tcW w:w="1843" w:type="dxa"/>
            <w:vAlign w:val="center"/>
          </w:tcPr>
          <w:p w:rsidR="004C34B5" w:rsidRDefault="00176A35">
            <w:pPr>
              <w:jc w:val="center"/>
            </w:pPr>
            <w:r>
              <w:rPr>
                <w:rFonts w:ascii="宋体" w:hAnsi="宋体"/>
                <w:color w:val="000000"/>
                <w:kern w:val="0"/>
              </w:rPr>
              <w:t>2018/1/1-2018/3/31</w:t>
            </w:r>
          </w:p>
        </w:tc>
        <w:tc>
          <w:tcPr>
            <w:tcW w:w="851" w:type="dxa"/>
            <w:vAlign w:val="center"/>
          </w:tcPr>
          <w:p w:rsidR="004C34B5" w:rsidRDefault="00176A35">
            <w:pPr>
              <w:jc w:val="center"/>
            </w:pPr>
            <w:r>
              <w:rPr>
                <w:rFonts w:ascii="宋体" w:hAnsi="宋体"/>
                <w:color w:val="000000"/>
                <w:kern w:val="0"/>
              </w:rPr>
              <w:t>178,252,228.16</w:t>
            </w:r>
          </w:p>
        </w:tc>
        <w:tc>
          <w:tcPr>
            <w:tcW w:w="850" w:type="dxa"/>
            <w:vAlign w:val="center"/>
          </w:tcPr>
          <w:p w:rsidR="004C34B5" w:rsidRDefault="00176A35">
            <w:pPr>
              <w:jc w:val="center"/>
            </w:pPr>
            <w:r>
              <w:rPr>
                <w:rFonts w:ascii="宋体" w:hAnsi="宋体"/>
                <w:color w:val="000000"/>
                <w:kern w:val="0"/>
              </w:rPr>
              <w:t>-</w:t>
            </w:r>
          </w:p>
        </w:tc>
        <w:tc>
          <w:tcPr>
            <w:tcW w:w="1134" w:type="dxa"/>
            <w:vAlign w:val="center"/>
          </w:tcPr>
          <w:p w:rsidR="004C34B5" w:rsidRDefault="00176A35">
            <w:pPr>
              <w:jc w:val="center"/>
            </w:pPr>
            <w:r>
              <w:rPr>
                <w:rFonts w:ascii="宋体" w:hAnsi="宋体"/>
                <w:color w:val="000000"/>
                <w:kern w:val="0"/>
              </w:rPr>
              <w:t>178,252,228.16</w:t>
            </w:r>
          </w:p>
        </w:tc>
        <w:tc>
          <w:tcPr>
            <w:tcW w:w="1419" w:type="dxa"/>
            <w:vAlign w:val="center"/>
          </w:tcPr>
          <w:p w:rsidR="004C34B5" w:rsidRDefault="00176A35">
            <w:pPr>
              <w:jc w:val="center"/>
            </w:pPr>
            <w:r>
              <w:rPr>
                <w:rFonts w:ascii="宋体" w:hAnsi="宋体"/>
                <w:color w:val="000000"/>
                <w:kern w:val="0"/>
              </w:rPr>
              <w:t>-</w:t>
            </w:r>
          </w:p>
        </w:tc>
        <w:tc>
          <w:tcPr>
            <w:tcW w:w="1130" w:type="dxa"/>
            <w:vAlign w:val="center"/>
          </w:tcPr>
          <w:p w:rsidR="004C34B5" w:rsidRDefault="00176A35">
            <w:pPr>
              <w:jc w:val="center"/>
            </w:pPr>
            <w:r>
              <w:rPr>
                <w:rFonts w:ascii="宋体" w:hAnsi="宋体"/>
                <w:color w:val="000000"/>
                <w:kern w:val="0"/>
              </w:rPr>
              <w:t>-</w:t>
            </w:r>
          </w:p>
        </w:tc>
      </w:tr>
      <w:tr w:rsidR="003C50AD" w:rsidRPr="009B0D35" w:rsidTr="00424D30">
        <w:tc>
          <w:tcPr>
            <w:tcW w:w="9212" w:type="dxa"/>
            <w:gridSpan w:val="8"/>
            <w:vAlign w:val="center"/>
          </w:tcPr>
          <w:p w:rsidR="003C50AD" w:rsidRPr="009B0D35" w:rsidRDefault="003C50AD" w:rsidP="00424D30">
            <w:pPr>
              <w:autoSpaceDE w:val="0"/>
              <w:autoSpaceDN w:val="0"/>
              <w:adjustRightInd w:val="0"/>
              <w:jc w:val="center"/>
              <w:rPr>
                <w:rFonts w:ascii="宋体" w:hAnsi="宋体"/>
                <w:kern w:val="0"/>
                <w:sz w:val="24"/>
                <w:szCs w:val="24"/>
              </w:rPr>
            </w:pPr>
            <w:r w:rsidRPr="009B0D35">
              <w:rPr>
                <w:rFonts w:ascii="宋体" w:hAnsi="宋体"/>
                <w:color w:val="000000"/>
                <w:kern w:val="0"/>
                <w:sz w:val="24"/>
                <w:szCs w:val="24"/>
              </w:rPr>
              <w:t>产品特有风险</w:t>
            </w:r>
          </w:p>
        </w:tc>
      </w:tr>
      <w:tr w:rsidR="003C50AD" w:rsidRPr="009B0D35" w:rsidTr="00424D30">
        <w:tc>
          <w:tcPr>
            <w:tcW w:w="9212" w:type="dxa"/>
            <w:gridSpan w:val="8"/>
            <w:vAlign w:val="center"/>
          </w:tcPr>
          <w:p w:rsidR="003C50AD" w:rsidRPr="009B0D35" w:rsidRDefault="003C50AD" w:rsidP="00424D30">
            <w:pPr>
              <w:autoSpaceDE w:val="0"/>
              <w:autoSpaceDN w:val="0"/>
              <w:adjustRightInd w:val="0"/>
              <w:jc w:val="left"/>
              <w:rPr>
                <w:rFonts w:ascii="宋体" w:hAnsi="宋体"/>
                <w:kern w:val="0"/>
                <w:sz w:val="24"/>
                <w:szCs w:val="24"/>
              </w:rPr>
            </w:pPr>
            <w:r w:rsidRPr="009B0D35">
              <w:rPr>
                <w:rFonts w:ascii="宋体" w:hAnsi="宋体" w:hint="eastAsia"/>
                <w:kern w:val="0"/>
                <w:sz w:val="24"/>
                <w:szCs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9B0D35" w:rsidRDefault="003C50AD" w:rsidP="003C50AD">
      <w:pPr>
        <w:autoSpaceDE w:val="0"/>
        <w:autoSpaceDN w:val="0"/>
        <w:adjustRightInd w:val="0"/>
        <w:spacing w:line="360" w:lineRule="auto"/>
        <w:jc w:val="left"/>
        <w:rPr>
          <w:rFonts w:ascii="宋体" w:hAnsi="宋体"/>
          <w:b/>
          <w:bCs/>
          <w:color w:val="000000"/>
          <w:kern w:val="0"/>
          <w:sz w:val="24"/>
          <w:szCs w:val="24"/>
        </w:rPr>
      </w:pPr>
      <w:r w:rsidRPr="009B0D35">
        <w:rPr>
          <w:rFonts w:ascii="宋体" w:hAnsi="宋体" w:hint="eastAsia"/>
          <w:b/>
          <w:bCs/>
          <w:color w:val="000000"/>
          <w:kern w:val="0"/>
          <w:sz w:val="24"/>
          <w:szCs w:val="24"/>
        </w:rPr>
        <w:t>9.2 影响投资者决策的其他重要信息</w:t>
      </w:r>
    </w:p>
    <w:p w:rsidR="004C34B5" w:rsidRPr="009B0D35" w:rsidRDefault="00176A35">
      <w:pPr>
        <w:spacing w:line="360" w:lineRule="auto"/>
        <w:ind w:firstLineChars="200" w:firstLine="480"/>
        <w:rPr>
          <w:rFonts w:ascii="宋体" w:hAnsi="宋体"/>
          <w:color w:val="000000"/>
          <w:sz w:val="24"/>
          <w:szCs w:val="24"/>
        </w:rPr>
      </w:pPr>
      <w:r w:rsidRPr="009B0D35">
        <w:rPr>
          <w:rFonts w:ascii="宋体" w:hAnsi="宋体"/>
          <w:color w:val="000000"/>
          <w:sz w:val="24"/>
          <w:szCs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w:t>
      </w:r>
      <w:r w:rsidRPr="009B0D35">
        <w:rPr>
          <w:rFonts w:ascii="宋体" w:hAnsi="宋体"/>
          <w:color w:val="000000"/>
          <w:sz w:val="24"/>
          <w:szCs w:val="24"/>
        </w:rPr>
        <w:lastRenderedPageBreak/>
        <w:t>基金资产承担。如后续国家法律法规、税收政策进行调整的，或者对基金产品的税收政策作出补充规定的，基金管理人将及时根据所涉及的税收政策作出相应调整，切实履行基金管理人的职责。</w:t>
      </w:r>
    </w:p>
    <w:p w:rsidR="003C50AD" w:rsidRPr="009B0D35" w:rsidRDefault="003C50AD" w:rsidP="003C50AD">
      <w:pPr>
        <w:spacing w:line="360" w:lineRule="auto"/>
        <w:ind w:firstLineChars="200" w:firstLine="480"/>
        <w:rPr>
          <w:rFonts w:ascii="宋体" w:hAnsi="宋体"/>
          <w:color w:val="000000"/>
          <w:sz w:val="24"/>
          <w:szCs w:val="24"/>
        </w:rPr>
      </w:pPr>
      <w:r w:rsidRPr="009B0D35">
        <w:rPr>
          <w:rFonts w:ascii="宋体" w:hAnsi="宋体"/>
          <w:color w:val="000000"/>
          <w:sz w:val="24"/>
          <w:szCs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C34B5" w:rsidRDefault="00176A3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、中国证监会批准交银施罗德沪深</w:t>
      </w:r>
      <w:r>
        <w:rPr>
          <w:color w:val="000000"/>
          <w:sz w:val="24"/>
          <w:szCs w:val="24"/>
        </w:rPr>
        <w:t>300</w:t>
      </w:r>
      <w:r>
        <w:rPr>
          <w:color w:val="000000"/>
          <w:sz w:val="24"/>
          <w:szCs w:val="24"/>
        </w:rPr>
        <w:t>行业分层等权重指数证券投资基金募集的文件；</w:t>
      </w:r>
    </w:p>
    <w:p w:rsidR="004C34B5" w:rsidRDefault="00176A3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、《交银施罗德消费新驱动股票型证券投资基金基金合同》；</w:t>
      </w:r>
    </w:p>
    <w:p w:rsidR="004C34B5" w:rsidRDefault="00176A3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、《交银施罗德消费新驱动股票型证券投资基金招募说明书》；</w:t>
      </w:r>
    </w:p>
    <w:p w:rsidR="004C34B5" w:rsidRDefault="00176A3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、《交银施罗德消费新驱动股票型证券投资基金托管协议》；</w:t>
      </w:r>
    </w:p>
    <w:p w:rsidR="004C34B5" w:rsidRDefault="00176A35">
      <w:pPr>
        <w:spacing w:before="29" w:line="288" w:lineRule="auto"/>
        <w:ind w:firstLineChars="200" w:firstLine="480"/>
        <w:rPr>
          <w:color w:val="000000"/>
          <w:sz w:val="24"/>
          <w:szCs w:val="24"/>
        </w:rPr>
      </w:pPr>
      <w:r>
        <w:rPr>
          <w:color w:val="000000"/>
          <w:sz w:val="24"/>
          <w:szCs w:val="24"/>
        </w:rPr>
        <w:t>5</w:t>
      </w:r>
      <w:r>
        <w:rPr>
          <w:color w:val="000000"/>
          <w:sz w:val="24"/>
          <w:szCs w:val="24"/>
        </w:rPr>
        <w:t>、《交银施罗德沪深</w:t>
      </w:r>
      <w:r>
        <w:rPr>
          <w:color w:val="000000"/>
          <w:sz w:val="24"/>
          <w:szCs w:val="24"/>
        </w:rPr>
        <w:t>300</w:t>
      </w:r>
      <w:r>
        <w:rPr>
          <w:color w:val="000000"/>
          <w:sz w:val="24"/>
          <w:szCs w:val="24"/>
        </w:rPr>
        <w:t>行业分层等权重指数证券投资基金基金合同》；</w:t>
      </w:r>
    </w:p>
    <w:p w:rsidR="004C34B5" w:rsidRDefault="00176A35">
      <w:pPr>
        <w:spacing w:before="29" w:line="288" w:lineRule="auto"/>
        <w:ind w:firstLineChars="200" w:firstLine="480"/>
        <w:rPr>
          <w:color w:val="000000"/>
          <w:sz w:val="24"/>
          <w:szCs w:val="24"/>
        </w:rPr>
      </w:pPr>
      <w:r>
        <w:rPr>
          <w:color w:val="000000"/>
          <w:sz w:val="24"/>
          <w:szCs w:val="24"/>
        </w:rPr>
        <w:t>6</w:t>
      </w:r>
      <w:r>
        <w:rPr>
          <w:color w:val="000000"/>
          <w:sz w:val="24"/>
          <w:szCs w:val="24"/>
        </w:rPr>
        <w:t>、《交银施罗德沪深</w:t>
      </w:r>
      <w:r>
        <w:rPr>
          <w:color w:val="000000"/>
          <w:sz w:val="24"/>
          <w:szCs w:val="24"/>
        </w:rPr>
        <w:t>300</w:t>
      </w:r>
      <w:r>
        <w:rPr>
          <w:color w:val="000000"/>
          <w:sz w:val="24"/>
          <w:szCs w:val="24"/>
        </w:rPr>
        <w:t>行业分层等权重指数证券投资基金招募说明书》；</w:t>
      </w:r>
    </w:p>
    <w:p w:rsidR="004C34B5" w:rsidRDefault="00176A35">
      <w:pPr>
        <w:spacing w:before="29" w:line="288" w:lineRule="auto"/>
        <w:ind w:firstLineChars="200" w:firstLine="480"/>
        <w:rPr>
          <w:color w:val="000000"/>
          <w:sz w:val="24"/>
          <w:szCs w:val="24"/>
        </w:rPr>
      </w:pPr>
      <w:r>
        <w:rPr>
          <w:color w:val="000000"/>
          <w:sz w:val="24"/>
          <w:szCs w:val="24"/>
        </w:rPr>
        <w:t>7</w:t>
      </w:r>
      <w:r>
        <w:rPr>
          <w:color w:val="000000"/>
          <w:sz w:val="24"/>
          <w:szCs w:val="24"/>
        </w:rPr>
        <w:t>、《交银施罗德沪深</w:t>
      </w:r>
      <w:r>
        <w:rPr>
          <w:color w:val="000000"/>
          <w:sz w:val="24"/>
          <w:szCs w:val="24"/>
        </w:rPr>
        <w:t>300</w:t>
      </w:r>
      <w:r>
        <w:rPr>
          <w:color w:val="000000"/>
          <w:sz w:val="24"/>
          <w:szCs w:val="24"/>
        </w:rPr>
        <w:t>行业分层等权重指数证券投资基金托管协议》；</w:t>
      </w:r>
    </w:p>
    <w:p w:rsidR="004C34B5" w:rsidRDefault="00176A35">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4C34B5" w:rsidRDefault="00176A35">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p>
    <w:p w:rsidR="004C34B5" w:rsidRDefault="00176A35">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、关于申请募集交银施罗德沪深</w:t>
      </w:r>
      <w:r>
        <w:rPr>
          <w:color w:val="000000"/>
          <w:sz w:val="24"/>
          <w:szCs w:val="24"/>
        </w:rPr>
        <w:t>300</w:t>
      </w:r>
      <w:r>
        <w:rPr>
          <w:color w:val="000000"/>
          <w:sz w:val="24"/>
          <w:szCs w:val="24"/>
        </w:rPr>
        <w:t>行业分层等权重指数证券投资基金之法律意见书；</w:t>
      </w:r>
    </w:p>
    <w:p w:rsidR="004C34B5" w:rsidRDefault="00176A35">
      <w:pPr>
        <w:spacing w:before="29" w:line="288" w:lineRule="auto"/>
        <w:ind w:firstLineChars="200" w:firstLine="480"/>
        <w:rPr>
          <w:color w:val="000000"/>
          <w:sz w:val="24"/>
          <w:szCs w:val="24"/>
        </w:rPr>
      </w:pPr>
      <w:r>
        <w:rPr>
          <w:color w:val="000000"/>
          <w:sz w:val="24"/>
          <w:szCs w:val="24"/>
        </w:rPr>
        <w:t>11</w:t>
      </w:r>
      <w:r>
        <w:rPr>
          <w:color w:val="000000"/>
          <w:sz w:val="24"/>
          <w:szCs w:val="24"/>
        </w:rPr>
        <w:t>、关于《申请交银施罗德沪深</w:t>
      </w:r>
      <w:r>
        <w:rPr>
          <w:color w:val="000000"/>
          <w:sz w:val="24"/>
          <w:szCs w:val="24"/>
        </w:rPr>
        <w:t>300</w:t>
      </w:r>
      <w:r>
        <w:rPr>
          <w:color w:val="000000"/>
          <w:sz w:val="24"/>
          <w:szCs w:val="24"/>
        </w:rPr>
        <w:t>行业分层等权重指数证券投资基金变更注册为交银施罗德消费新驱动股票型证券投资基金》的法律意见；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12</w:t>
      </w:r>
      <w:r w:rsidRPr="00414345">
        <w:rPr>
          <w:color w:val="000000"/>
          <w:sz w:val="24"/>
          <w:szCs w:val="24"/>
        </w:rPr>
        <w:t>、报告期内交银施罗德消费新驱动股票型证券投资基金、交银施罗德沪深</w:t>
      </w:r>
      <w:r w:rsidRPr="00414345">
        <w:rPr>
          <w:color w:val="000000"/>
          <w:sz w:val="24"/>
          <w:szCs w:val="24"/>
        </w:rPr>
        <w:t>300</w:t>
      </w:r>
      <w:r w:rsidRPr="00414345">
        <w:rPr>
          <w:color w:val="000000"/>
          <w:sz w:val="24"/>
          <w:szCs w:val="24"/>
        </w:rPr>
        <w:t>行业分层等权重指数证券投资基金在指定报刊上各项公告的原稿。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C34B5" w:rsidRDefault="00176A3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DC6" w:rsidRDefault="00426DC6" w:rsidP="00876D65">
      <w:r>
        <w:separator/>
      </w:r>
    </w:p>
  </w:endnote>
  <w:endnote w:type="continuationSeparator" w:id="0">
    <w:p w:rsidR="00426DC6" w:rsidRDefault="00426DC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方正舒体"/>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7D6289">
      <w:rPr>
        <w:noProof/>
        <w:kern w:val="0"/>
        <w:szCs w:val="21"/>
      </w:rPr>
      <w:t>3</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7D6289">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DC6" w:rsidRDefault="00426DC6" w:rsidP="00876D65">
      <w:r>
        <w:separator/>
      </w:r>
    </w:p>
  </w:footnote>
  <w:footnote w:type="continuationSeparator" w:id="0">
    <w:p w:rsidR="00426DC6" w:rsidRDefault="00426DC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交银施罗德消费新驱动股票型证券投资基金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A35"/>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34ED5"/>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DC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34B5"/>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D6289"/>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0D35"/>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74696"/>
    <w:rsid w:val="00F80AC3"/>
    <w:rsid w:val="00F81917"/>
    <w:rsid w:val="00F83B17"/>
    <w:rsid w:val="00F87EDA"/>
    <w:rsid w:val="00F970EE"/>
    <w:rsid w:val="00FA775C"/>
    <w:rsid w:val="00FB0BC9"/>
    <w:rsid w:val="00FB41D3"/>
    <w:rsid w:val="00FB4F70"/>
    <w:rsid w:val="00FB5EFC"/>
    <w:rsid w:val="00FB77BB"/>
    <w:rsid w:val="00FC15AA"/>
    <w:rsid w:val="00FC2922"/>
    <w:rsid w:val="00FC4097"/>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53121">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A9820-324D-4455-AA31-19AE201C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13</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580</cp:revision>
  <dcterms:created xsi:type="dcterms:W3CDTF">2012-10-16T06:07:00Z</dcterms:created>
  <dcterms:modified xsi:type="dcterms:W3CDTF">2018-04-19T01:37:00Z</dcterms:modified>
</cp:coreProperties>
</file>