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11E9F" w:rsidRDefault="003E101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156,155,259.45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A2B1A" w:rsidRPr="00414345" w:rsidTr="003A2B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A2B1A" w:rsidRPr="00414345" w:rsidTr="003A2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2,796,407.35</w:t>
            </w:r>
          </w:p>
        </w:tc>
      </w:tr>
      <w:tr w:rsidR="003A2B1A" w:rsidRPr="00414345" w:rsidTr="003A2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4,449,476.64</w:t>
            </w:r>
          </w:p>
        </w:tc>
      </w:tr>
      <w:tr w:rsidR="003A2B1A" w:rsidRPr="00414345" w:rsidTr="003A2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0.0300</w:t>
            </w:r>
          </w:p>
        </w:tc>
      </w:tr>
      <w:tr w:rsidR="003A2B1A" w:rsidRPr="00414345" w:rsidTr="003A2B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220,344,302.08</w:t>
            </w:r>
          </w:p>
        </w:tc>
      </w:tr>
      <w:tr w:rsidR="003A2B1A" w:rsidRPr="00414345" w:rsidTr="003A2B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1.411</w:t>
            </w:r>
          </w:p>
        </w:tc>
      </w:tr>
    </w:tbl>
    <w:p w:rsidR="00A11E9F" w:rsidRDefault="003E101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11E9F">
        <w:trPr>
          <w:jc w:val="center"/>
        </w:trPr>
        <w:tc>
          <w:tcPr>
            <w:tcW w:w="1701" w:type="dxa"/>
            <w:vAlign w:val="center"/>
          </w:tcPr>
          <w:p w:rsidR="00A11E9F" w:rsidRDefault="003E1018">
            <w:pPr>
              <w:jc w:val="left"/>
            </w:pPr>
            <w:r>
              <w:rPr>
                <w:color w:val="000000"/>
                <w:sz w:val="24"/>
                <w:szCs w:val="24"/>
              </w:rPr>
              <w:t>过去三个月</w:t>
            </w:r>
          </w:p>
        </w:tc>
        <w:tc>
          <w:tcPr>
            <w:tcW w:w="1045" w:type="dxa"/>
            <w:vAlign w:val="center"/>
          </w:tcPr>
          <w:p w:rsidR="00A11E9F" w:rsidRDefault="003E1018">
            <w:pPr>
              <w:jc w:val="center"/>
            </w:pPr>
            <w:r>
              <w:rPr>
                <w:color w:val="000000"/>
                <w:sz w:val="24"/>
                <w:szCs w:val="24"/>
              </w:rPr>
              <w:t>2.10%</w:t>
            </w:r>
          </w:p>
        </w:tc>
        <w:tc>
          <w:tcPr>
            <w:tcW w:w="1344" w:type="dxa"/>
            <w:vAlign w:val="center"/>
          </w:tcPr>
          <w:p w:rsidR="00A11E9F" w:rsidRDefault="003E1018">
            <w:pPr>
              <w:jc w:val="center"/>
            </w:pPr>
            <w:r>
              <w:rPr>
                <w:color w:val="000000"/>
                <w:sz w:val="24"/>
                <w:szCs w:val="24"/>
              </w:rPr>
              <w:t>0.11%</w:t>
            </w:r>
          </w:p>
        </w:tc>
        <w:tc>
          <w:tcPr>
            <w:tcW w:w="1194" w:type="dxa"/>
            <w:vAlign w:val="center"/>
          </w:tcPr>
          <w:p w:rsidR="00A11E9F" w:rsidRDefault="003E1018">
            <w:pPr>
              <w:jc w:val="center"/>
            </w:pPr>
            <w:r>
              <w:rPr>
                <w:color w:val="000000"/>
                <w:sz w:val="24"/>
                <w:szCs w:val="24"/>
              </w:rPr>
              <w:t>0.60%</w:t>
            </w:r>
          </w:p>
        </w:tc>
        <w:tc>
          <w:tcPr>
            <w:tcW w:w="1492" w:type="dxa"/>
            <w:vAlign w:val="center"/>
          </w:tcPr>
          <w:p w:rsidR="00A11E9F" w:rsidRDefault="003E1018">
            <w:pPr>
              <w:jc w:val="center"/>
            </w:pPr>
            <w:r>
              <w:rPr>
                <w:color w:val="000000"/>
                <w:sz w:val="24"/>
                <w:szCs w:val="24"/>
              </w:rPr>
              <w:t>0.04%</w:t>
            </w:r>
          </w:p>
        </w:tc>
        <w:tc>
          <w:tcPr>
            <w:tcW w:w="1194" w:type="dxa"/>
            <w:vAlign w:val="center"/>
          </w:tcPr>
          <w:p w:rsidR="00A11E9F" w:rsidRDefault="003E1018">
            <w:pPr>
              <w:jc w:val="center"/>
            </w:pPr>
            <w:r>
              <w:rPr>
                <w:color w:val="000000"/>
                <w:sz w:val="24"/>
                <w:szCs w:val="24"/>
              </w:rPr>
              <w:t>1.50%</w:t>
            </w:r>
          </w:p>
        </w:tc>
        <w:tc>
          <w:tcPr>
            <w:tcW w:w="898" w:type="dxa"/>
            <w:vAlign w:val="center"/>
          </w:tcPr>
          <w:p w:rsidR="00A11E9F" w:rsidRDefault="003E1018">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11E9F">
        <w:trPr>
          <w:jc w:val="center"/>
        </w:trPr>
        <w:tc>
          <w:tcPr>
            <w:tcW w:w="846" w:type="dxa"/>
            <w:vAlign w:val="center"/>
          </w:tcPr>
          <w:p w:rsidR="00A11E9F" w:rsidRDefault="003E1018">
            <w:pPr>
              <w:jc w:val="center"/>
            </w:pPr>
            <w:r>
              <w:rPr>
                <w:color w:val="000000"/>
                <w:sz w:val="24"/>
                <w:szCs w:val="24"/>
              </w:rPr>
              <w:t>唐赟</w:t>
            </w:r>
          </w:p>
        </w:tc>
        <w:tc>
          <w:tcPr>
            <w:tcW w:w="845" w:type="dxa"/>
            <w:vAlign w:val="center"/>
          </w:tcPr>
          <w:p w:rsidR="00A11E9F" w:rsidRDefault="003E1018">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、交银双利债券、交银双轮动债券、交银荣和保本混合、交银裕通纯债债券的基金经理</w:t>
            </w:r>
          </w:p>
        </w:tc>
        <w:tc>
          <w:tcPr>
            <w:tcW w:w="1549" w:type="dxa"/>
            <w:vAlign w:val="center"/>
          </w:tcPr>
          <w:p w:rsidR="00A11E9F" w:rsidRDefault="003E1018">
            <w:pPr>
              <w:jc w:val="center"/>
            </w:pPr>
            <w:r>
              <w:rPr>
                <w:color w:val="000000"/>
                <w:sz w:val="24"/>
                <w:szCs w:val="24"/>
              </w:rPr>
              <w:t>2015-08-04</w:t>
            </w:r>
          </w:p>
        </w:tc>
        <w:tc>
          <w:tcPr>
            <w:tcW w:w="1548" w:type="dxa"/>
            <w:vAlign w:val="center"/>
          </w:tcPr>
          <w:p w:rsidR="00A11E9F" w:rsidRDefault="003E1018">
            <w:pPr>
              <w:jc w:val="center"/>
            </w:pPr>
            <w:r>
              <w:rPr>
                <w:color w:val="000000"/>
                <w:sz w:val="24"/>
                <w:szCs w:val="24"/>
              </w:rPr>
              <w:t>-</w:t>
            </w:r>
          </w:p>
        </w:tc>
        <w:tc>
          <w:tcPr>
            <w:tcW w:w="1407" w:type="dxa"/>
            <w:vAlign w:val="center"/>
          </w:tcPr>
          <w:p w:rsidR="00A11E9F" w:rsidRDefault="003E1018">
            <w:pPr>
              <w:jc w:val="center"/>
            </w:pPr>
            <w:r>
              <w:rPr>
                <w:color w:val="000000"/>
                <w:sz w:val="24"/>
                <w:szCs w:val="24"/>
              </w:rPr>
              <w:t>6</w:t>
            </w:r>
            <w:r>
              <w:rPr>
                <w:color w:val="000000"/>
                <w:sz w:val="24"/>
                <w:szCs w:val="24"/>
              </w:rPr>
              <w:t>年</w:t>
            </w:r>
          </w:p>
        </w:tc>
        <w:tc>
          <w:tcPr>
            <w:tcW w:w="2673" w:type="dxa"/>
            <w:vAlign w:val="center"/>
          </w:tcPr>
          <w:p w:rsidR="00A11E9F" w:rsidRDefault="003E1018">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11E9F" w:rsidRDefault="003E101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11E9F" w:rsidRDefault="003E101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w:t>
      </w:r>
      <w:r>
        <w:rPr>
          <w:color w:val="000000"/>
          <w:sz w:val="24"/>
          <w:szCs w:val="24"/>
        </w:rPr>
        <w:lastRenderedPageBreak/>
        <w:t>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11E9F" w:rsidRDefault="003E101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11E9F" w:rsidRDefault="003E1018">
      <w:pPr>
        <w:spacing w:before="29" w:line="288" w:lineRule="auto"/>
        <w:ind w:firstLineChars="200" w:firstLine="480"/>
        <w:rPr>
          <w:color w:val="000000"/>
          <w:sz w:val="24"/>
          <w:szCs w:val="24"/>
        </w:rPr>
      </w:pPr>
      <w:r>
        <w:rPr>
          <w:color w:val="000000"/>
          <w:sz w:val="24"/>
          <w:szCs w:val="24"/>
        </w:rPr>
        <w:t>今年以来，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szCs w:val="24"/>
        </w:rPr>
        <w:t>5BP</w:t>
      </w:r>
      <w:r>
        <w:rPr>
          <w:color w:val="000000"/>
          <w:sz w:val="24"/>
          <w:szCs w:val="24"/>
        </w:rPr>
        <w:t>，上调幅度符合市场预期。今年年初以来随着基本面和资金面预期的修复，债市收益率明显下行。</w:t>
      </w:r>
    </w:p>
    <w:p w:rsidR="00A11E9F" w:rsidRDefault="003E1018">
      <w:pPr>
        <w:spacing w:before="29" w:line="288" w:lineRule="auto"/>
        <w:ind w:firstLineChars="200" w:firstLine="480"/>
        <w:rPr>
          <w:color w:val="000000"/>
          <w:sz w:val="24"/>
          <w:szCs w:val="24"/>
        </w:rPr>
      </w:pPr>
      <w:r>
        <w:rPr>
          <w:color w:val="000000"/>
          <w:sz w:val="24"/>
          <w:szCs w:val="24"/>
        </w:rPr>
        <w:t>报告期内，基于对债券市场偏谨慎看法的修正，本基金及时进行了组合调仓操作，从较短的组合久期转换成中性债券久期，把握了收益率下行带来的资本利得机会。同时，组合配置一定的转债仓位，优选个券，波段操作，为组合增强收益。</w:t>
      </w:r>
    </w:p>
    <w:p w:rsidR="00A11E9F" w:rsidRDefault="003E1018">
      <w:pPr>
        <w:spacing w:before="29" w:line="288" w:lineRule="auto"/>
        <w:ind w:firstLineChars="200" w:firstLine="480"/>
        <w:rPr>
          <w:color w:val="000000"/>
          <w:sz w:val="24"/>
          <w:szCs w:val="24"/>
        </w:rPr>
      </w:pPr>
      <w:r>
        <w:rPr>
          <w:color w:val="000000"/>
          <w:sz w:val="24"/>
          <w:szCs w:val="24"/>
        </w:rPr>
        <w:t>展望二季度，我们判断债市可能在波折中缓慢下行。随着金融去杠杆的推进，去杠杆任务更加侧重于实体层面，我们认为后期债市关注焦点将回归经济基本面。而经济基本面方面，我们关注随着实体去杠杆和表外融资压缩，更多的融资转向表内，而表内信贷额度有限制，整体融资结构将会呈现出</w:t>
      </w:r>
      <w:r>
        <w:rPr>
          <w:color w:val="000000"/>
          <w:sz w:val="24"/>
          <w:szCs w:val="24"/>
        </w:rPr>
        <w:t>“</w:t>
      </w:r>
      <w:r>
        <w:rPr>
          <w:color w:val="000000"/>
          <w:sz w:val="24"/>
          <w:szCs w:val="24"/>
        </w:rPr>
        <w:t>宽货币</w:t>
      </w:r>
      <w:r>
        <w:rPr>
          <w:color w:val="000000"/>
          <w:sz w:val="24"/>
          <w:szCs w:val="24"/>
        </w:rPr>
        <w:t>”+“</w:t>
      </w:r>
      <w:r>
        <w:rPr>
          <w:color w:val="000000"/>
          <w:sz w:val="24"/>
          <w:szCs w:val="24"/>
        </w:rPr>
        <w:t>紧信用</w:t>
      </w:r>
      <w:r>
        <w:rPr>
          <w:color w:val="000000"/>
          <w:sz w:val="24"/>
          <w:szCs w:val="24"/>
        </w:rPr>
        <w:t>”</w:t>
      </w:r>
      <w:r>
        <w:rPr>
          <w:color w:val="000000"/>
          <w:sz w:val="24"/>
          <w:szCs w:val="24"/>
        </w:rPr>
        <w:t>的组合，对债市形成支撑。同时，我们也关注到，随着人民币汇率的升值和贸易战局势的推进，</w:t>
      </w:r>
      <w:r>
        <w:rPr>
          <w:color w:val="000000"/>
          <w:sz w:val="24"/>
          <w:szCs w:val="24"/>
        </w:rPr>
        <w:t>2017</w:t>
      </w:r>
      <w:r>
        <w:rPr>
          <w:color w:val="000000"/>
          <w:sz w:val="24"/>
          <w:szCs w:val="24"/>
        </w:rPr>
        <w:t>年拉动经济增长的重要推动力出口将明显弱化。通胀方面，虽然今年</w:t>
      </w:r>
      <w:r>
        <w:rPr>
          <w:color w:val="000000"/>
          <w:sz w:val="24"/>
          <w:szCs w:val="24"/>
        </w:rPr>
        <w:t>CPI</w:t>
      </w:r>
      <w:r>
        <w:rPr>
          <w:color w:val="000000"/>
          <w:sz w:val="24"/>
          <w:szCs w:val="24"/>
        </w:rPr>
        <w:t>由于基数较低，整体的中枢较</w:t>
      </w:r>
      <w:r>
        <w:rPr>
          <w:color w:val="000000"/>
          <w:sz w:val="24"/>
          <w:szCs w:val="24"/>
        </w:rPr>
        <w:t>2017</w:t>
      </w:r>
      <w:r>
        <w:rPr>
          <w:color w:val="000000"/>
          <w:sz w:val="24"/>
          <w:szCs w:val="24"/>
        </w:rPr>
        <w:t>年有所提高，但</w:t>
      </w:r>
      <w:r>
        <w:rPr>
          <w:color w:val="000000"/>
          <w:sz w:val="24"/>
          <w:szCs w:val="24"/>
        </w:rPr>
        <w:t>PPI</w:t>
      </w:r>
      <w:r>
        <w:rPr>
          <w:color w:val="000000"/>
          <w:sz w:val="24"/>
          <w:szCs w:val="24"/>
        </w:rPr>
        <w:t>随着商品价格的回落，同时受到高基数影响，将明显回落，综合考虑物价因素将会比较平稳。债券收益率将在波折中缓慢下行，我们将适当提高组合久期。同时，我们认为低等级信用债利差未能充分反应未来的信用风险，我们将一如既往地规避中低评级信用债，以中高等级的信用债为底仓，择机进行利率债的波段操作，以期增强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可转债方面，转债市场扩容后行业分布更加均衡，标的选择空间加大，二季度我们认为转债缺乏系统性的机会，但不乏行业和个券机会，我们将更加均衡的配置，关注新兴行业转债，灵活操作为组合增强收益。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1.411</w:t>
      </w:r>
      <w:r w:rsidRPr="00414345">
        <w:rPr>
          <w:color w:val="000000"/>
          <w:sz w:val="24"/>
          <w:szCs w:val="24"/>
        </w:rPr>
        <w:t>元，本报告期份额净值增长率为</w:t>
      </w:r>
      <w:r w:rsidRPr="00414345">
        <w:rPr>
          <w:color w:val="000000"/>
          <w:sz w:val="24"/>
          <w:szCs w:val="24"/>
        </w:rPr>
        <w:t>2.10%</w:t>
      </w:r>
      <w:r w:rsidRPr="00414345">
        <w:rPr>
          <w:color w:val="000000"/>
          <w:sz w:val="24"/>
          <w:szCs w:val="24"/>
        </w:rPr>
        <w:t>，同期业绩比较基准增长率为</w:t>
      </w:r>
      <w:r w:rsidRPr="00414345">
        <w:rPr>
          <w:color w:val="000000"/>
          <w:sz w:val="24"/>
          <w:szCs w:val="24"/>
        </w:rPr>
        <w:t>0.60%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226,369,283.22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96.36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226,369,283.22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96.36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0.43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2,487,093.52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5,058,515.45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234,914,892.19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11,285,613.30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11,285,613.30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115,639,000.00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78,649,000.00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35.69</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20,795,669.92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226,369,283.22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11E9F">
        <w:trPr>
          <w:jc w:val="center"/>
        </w:trPr>
        <w:tc>
          <w:tcPr>
            <w:tcW w:w="850" w:type="dxa"/>
            <w:vAlign w:val="center"/>
          </w:tcPr>
          <w:p w:rsidR="00A11E9F" w:rsidRDefault="003E1018">
            <w:pPr>
              <w:jc w:val="center"/>
            </w:pPr>
            <w:r>
              <w:rPr>
                <w:color w:val="000000"/>
                <w:sz w:val="24"/>
                <w:szCs w:val="24"/>
              </w:rPr>
              <w:t>1</w:t>
            </w:r>
          </w:p>
        </w:tc>
        <w:tc>
          <w:tcPr>
            <w:tcW w:w="1475" w:type="dxa"/>
            <w:vAlign w:val="center"/>
          </w:tcPr>
          <w:p w:rsidR="00A11E9F" w:rsidRDefault="003E1018">
            <w:pPr>
              <w:jc w:val="center"/>
            </w:pPr>
            <w:r>
              <w:rPr>
                <w:color w:val="000000"/>
                <w:sz w:val="24"/>
                <w:szCs w:val="24"/>
              </w:rPr>
              <w:t>108601</w:t>
            </w:r>
          </w:p>
        </w:tc>
        <w:tc>
          <w:tcPr>
            <w:tcW w:w="1769" w:type="dxa"/>
            <w:vAlign w:val="center"/>
          </w:tcPr>
          <w:p w:rsidR="00A11E9F" w:rsidRDefault="003E1018">
            <w:pPr>
              <w:jc w:val="center"/>
            </w:pPr>
            <w:r>
              <w:rPr>
                <w:color w:val="000000"/>
                <w:sz w:val="24"/>
                <w:szCs w:val="24"/>
              </w:rPr>
              <w:t>国开</w:t>
            </w:r>
            <w:r>
              <w:rPr>
                <w:color w:val="000000"/>
                <w:sz w:val="24"/>
                <w:szCs w:val="24"/>
              </w:rPr>
              <w:t>1703</w:t>
            </w:r>
          </w:p>
        </w:tc>
        <w:tc>
          <w:tcPr>
            <w:tcW w:w="1387" w:type="dxa"/>
            <w:vAlign w:val="center"/>
          </w:tcPr>
          <w:p w:rsidR="00A11E9F" w:rsidRDefault="003E1018">
            <w:pPr>
              <w:jc w:val="right"/>
            </w:pPr>
            <w:r>
              <w:rPr>
                <w:color w:val="000000"/>
                <w:sz w:val="24"/>
                <w:szCs w:val="24"/>
              </w:rPr>
              <w:t>112,890</w:t>
            </w:r>
          </w:p>
        </w:tc>
        <w:tc>
          <w:tcPr>
            <w:tcW w:w="2150" w:type="dxa"/>
            <w:vAlign w:val="center"/>
          </w:tcPr>
          <w:p w:rsidR="00A11E9F" w:rsidRDefault="003E1018">
            <w:pPr>
              <w:jc w:val="right"/>
            </w:pPr>
            <w:r>
              <w:rPr>
                <w:color w:val="000000"/>
                <w:sz w:val="24"/>
                <w:szCs w:val="24"/>
              </w:rPr>
              <w:t>11,285,613.30</w:t>
            </w:r>
          </w:p>
        </w:tc>
        <w:tc>
          <w:tcPr>
            <w:tcW w:w="1237" w:type="dxa"/>
            <w:vAlign w:val="center"/>
          </w:tcPr>
          <w:p w:rsidR="00A11E9F" w:rsidRDefault="003E1018">
            <w:pPr>
              <w:jc w:val="right"/>
            </w:pPr>
            <w:r>
              <w:rPr>
                <w:color w:val="000000"/>
                <w:sz w:val="24"/>
                <w:szCs w:val="24"/>
              </w:rPr>
              <w:t>5.12</w:t>
            </w:r>
          </w:p>
        </w:tc>
      </w:tr>
      <w:tr w:rsidR="00A11E9F">
        <w:trPr>
          <w:jc w:val="center"/>
        </w:trPr>
        <w:tc>
          <w:tcPr>
            <w:tcW w:w="850" w:type="dxa"/>
            <w:vAlign w:val="center"/>
          </w:tcPr>
          <w:p w:rsidR="00A11E9F" w:rsidRDefault="003E1018">
            <w:pPr>
              <w:jc w:val="center"/>
            </w:pPr>
            <w:r>
              <w:rPr>
                <w:color w:val="000000"/>
                <w:sz w:val="24"/>
                <w:szCs w:val="24"/>
              </w:rPr>
              <w:t>2</w:t>
            </w:r>
          </w:p>
        </w:tc>
        <w:tc>
          <w:tcPr>
            <w:tcW w:w="1475" w:type="dxa"/>
            <w:vAlign w:val="center"/>
          </w:tcPr>
          <w:p w:rsidR="00A11E9F" w:rsidRDefault="003E1018">
            <w:pPr>
              <w:jc w:val="center"/>
            </w:pPr>
            <w:r>
              <w:rPr>
                <w:color w:val="000000"/>
                <w:sz w:val="24"/>
                <w:szCs w:val="24"/>
              </w:rPr>
              <w:t>101354013</w:t>
            </w:r>
          </w:p>
        </w:tc>
        <w:tc>
          <w:tcPr>
            <w:tcW w:w="1769" w:type="dxa"/>
            <w:vAlign w:val="center"/>
          </w:tcPr>
          <w:p w:rsidR="00A11E9F" w:rsidRDefault="003E1018">
            <w:pPr>
              <w:jc w:val="center"/>
            </w:pPr>
            <w:r>
              <w:rPr>
                <w:color w:val="000000"/>
                <w:sz w:val="24"/>
                <w:szCs w:val="24"/>
              </w:rPr>
              <w:t>13</w:t>
            </w:r>
            <w:r>
              <w:rPr>
                <w:color w:val="000000"/>
                <w:sz w:val="24"/>
                <w:szCs w:val="24"/>
              </w:rPr>
              <w:t>浙能源</w:t>
            </w:r>
            <w:r>
              <w:rPr>
                <w:color w:val="000000"/>
                <w:sz w:val="24"/>
                <w:szCs w:val="24"/>
              </w:rPr>
              <w:t>MTN002</w:t>
            </w:r>
          </w:p>
        </w:tc>
        <w:tc>
          <w:tcPr>
            <w:tcW w:w="1387" w:type="dxa"/>
            <w:vAlign w:val="center"/>
          </w:tcPr>
          <w:p w:rsidR="00A11E9F" w:rsidRDefault="003E1018">
            <w:pPr>
              <w:jc w:val="right"/>
            </w:pPr>
            <w:r>
              <w:rPr>
                <w:color w:val="000000"/>
                <w:sz w:val="24"/>
                <w:szCs w:val="24"/>
              </w:rPr>
              <w:t>100,000</w:t>
            </w:r>
          </w:p>
        </w:tc>
        <w:tc>
          <w:tcPr>
            <w:tcW w:w="2150" w:type="dxa"/>
            <w:vAlign w:val="center"/>
          </w:tcPr>
          <w:p w:rsidR="00A11E9F" w:rsidRDefault="003E1018">
            <w:pPr>
              <w:jc w:val="right"/>
            </w:pPr>
            <w:r>
              <w:rPr>
                <w:color w:val="000000"/>
                <w:sz w:val="24"/>
                <w:szCs w:val="24"/>
              </w:rPr>
              <w:t>10,227,000.00</w:t>
            </w:r>
          </w:p>
        </w:tc>
        <w:tc>
          <w:tcPr>
            <w:tcW w:w="1237" w:type="dxa"/>
            <w:vAlign w:val="center"/>
          </w:tcPr>
          <w:p w:rsidR="00A11E9F" w:rsidRDefault="003E1018">
            <w:pPr>
              <w:jc w:val="right"/>
            </w:pPr>
            <w:r>
              <w:rPr>
                <w:color w:val="000000"/>
                <w:sz w:val="24"/>
                <w:szCs w:val="24"/>
              </w:rPr>
              <w:t>4.64</w:t>
            </w:r>
          </w:p>
        </w:tc>
      </w:tr>
      <w:tr w:rsidR="00A11E9F">
        <w:trPr>
          <w:jc w:val="center"/>
        </w:trPr>
        <w:tc>
          <w:tcPr>
            <w:tcW w:w="850" w:type="dxa"/>
            <w:vAlign w:val="center"/>
          </w:tcPr>
          <w:p w:rsidR="00A11E9F" w:rsidRDefault="003E1018">
            <w:pPr>
              <w:jc w:val="center"/>
            </w:pPr>
            <w:r>
              <w:rPr>
                <w:color w:val="000000"/>
                <w:sz w:val="24"/>
                <w:szCs w:val="24"/>
              </w:rPr>
              <w:t>3</w:t>
            </w:r>
          </w:p>
        </w:tc>
        <w:tc>
          <w:tcPr>
            <w:tcW w:w="1475" w:type="dxa"/>
            <w:vAlign w:val="center"/>
          </w:tcPr>
          <w:p w:rsidR="00A11E9F" w:rsidRDefault="003E1018">
            <w:pPr>
              <w:jc w:val="center"/>
            </w:pPr>
            <w:r>
              <w:rPr>
                <w:color w:val="000000"/>
                <w:sz w:val="24"/>
                <w:szCs w:val="24"/>
              </w:rPr>
              <w:t>1480250</w:t>
            </w:r>
          </w:p>
        </w:tc>
        <w:tc>
          <w:tcPr>
            <w:tcW w:w="1769" w:type="dxa"/>
            <w:vAlign w:val="center"/>
          </w:tcPr>
          <w:p w:rsidR="00A11E9F" w:rsidRDefault="003E1018">
            <w:pPr>
              <w:jc w:val="center"/>
            </w:pPr>
            <w:r>
              <w:rPr>
                <w:color w:val="000000"/>
                <w:sz w:val="24"/>
                <w:szCs w:val="24"/>
              </w:rPr>
              <w:t>14</w:t>
            </w:r>
            <w:r>
              <w:rPr>
                <w:color w:val="000000"/>
                <w:sz w:val="24"/>
                <w:szCs w:val="24"/>
              </w:rPr>
              <w:t>合工投小微债</w:t>
            </w:r>
          </w:p>
        </w:tc>
        <w:tc>
          <w:tcPr>
            <w:tcW w:w="1387" w:type="dxa"/>
            <w:vAlign w:val="center"/>
          </w:tcPr>
          <w:p w:rsidR="00A11E9F" w:rsidRDefault="003E1018">
            <w:pPr>
              <w:jc w:val="right"/>
            </w:pPr>
            <w:r>
              <w:rPr>
                <w:color w:val="000000"/>
                <w:sz w:val="24"/>
                <w:szCs w:val="24"/>
              </w:rPr>
              <w:t>100,000</w:t>
            </w:r>
          </w:p>
        </w:tc>
        <w:tc>
          <w:tcPr>
            <w:tcW w:w="2150" w:type="dxa"/>
            <w:vAlign w:val="center"/>
          </w:tcPr>
          <w:p w:rsidR="00A11E9F" w:rsidRDefault="003E1018">
            <w:pPr>
              <w:jc w:val="right"/>
            </w:pPr>
            <w:r>
              <w:rPr>
                <w:color w:val="000000"/>
                <w:sz w:val="24"/>
                <w:szCs w:val="24"/>
              </w:rPr>
              <w:t>10,151,000.00</w:t>
            </w:r>
          </w:p>
        </w:tc>
        <w:tc>
          <w:tcPr>
            <w:tcW w:w="1237" w:type="dxa"/>
            <w:vAlign w:val="center"/>
          </w:tcPr>
          <w:p w:rsidR="00A11E9F" w:rsidRDefault="003E1018">
            <w:pPr>
              <w:jc w:val="right"/>
            </w:pPr>
            <w:r>
              <w:rPr>
                <w:color w:val="000000"/>
                <w:sz w:val="24"/>
                <w:szCs w:val="24"/>
              </w:rPr>
              <w:t>4.61</w:t>
            </w:r>
          </w:p>
        </w:tc>
      </w:tr>
      <w:tr w:rsidR="00A11E9F">
        <w:trPr>
          <w:jc w:val="center"/>
        </w:trPr>
        <w:tc>
          <w:tcPr>
            <w:tcW w:w="850" w:type="dxa"/>
            <w:vAlign w:val="center"/>
          </w:tcPr>
          <w:p w:rsidR="00A11E9F" w:rsidRDefault="003E1018">
            <w:pPr>
              <w:jc w:val="center"/>
            </w:pPr>
            <w:r>
              <w:rPr>
                <w:color w:val="000000"/>
                <w:sz w:val="24"/>
                <w:szCs w:val="24"/>
              </w:rPr>
              <w:t>4</w:t>
            </w:r>
          </w:p>
        </w:tc>
        <w:tc>
          <w:tcPr>
            <w:tcW w:w="1475" w:type="dxa"/>
            <w:vAlign w:val="center"/>
          </w:tcPr>
          <w:p w:rsidR="00A11E9F" w:rsidRDefault="003E1018">
            <w:pPr>
              <w:jc w:val="center"/>
            </w:pPr>
            <w:r>
              <w:rPr>
                <w:color w:val="000000"/>
                <w:sz w:val="24"/>
                <w:szCs w:val="24"/>
              </w:rPr>
              <w:t>1182277</w:t>
            </w:r>
          </w:p>
        </w:tc>
        <w:tc>
          <w:tcPr>
            <w:tcW w:w="1769" w:type="dxa"/>
            <w:vAlign w:val="center"/>
          </w:tcPr>
          <w:p w:rsidR="00A11E9F" w:rsidRDefault="003E1018">
            <w:pPr>
              <w:jc w:val="center"/>
            </w:pPr>
            <w:r>
              <w:rPr>
                <w:color w:val="000000"/>
                <w:sz w:val="24"/>
                <w:szCs w:val="24"/>
              </w:rPr>
              <w:t>11</w:t>
            </w:r>
            <w:r>
              <w:rPr>
                <w:color w:val="000000"/>
                <w:sz w:val="24"/>
                <w:szCs w:val="24"/>
              </w:rPr>
              <w:t>中铁建</w:t>
            </w:r>
            <w:r>
              <w:rPr>
                <w:color w:val="000000"/>
                <w:sz w:val="24"/>
                <w:szCs w:val="24"/>
              </w:rPr>
              <w:lastRenderedPageBreak/>
              <w:t>MTN1</w:t>
            </w:r>
          </w:p>
        </w:tc>
        <w:tc>
          <w:tcPr>
            <w:tcW w:w="1387" w:type="dxa"/>
            <w:vAlign w:val="center"/>
          </w:tcPr>
          <w:p w:rsidR="00A11E9F" w:rsidRDefault="003E1018">
            <w:pPr>
              <w:jc w:val="right"/>
            </w:pPr>
            <w:r>
              <w:rPr>
                <w:color w:val="000000"/>
                <w:sz w:val="24"/>
                <w:szCs w:val="24"/>
              </w:rPr>
              <w:lastRenderedPageBreak/>
              <w:t>100,000</w:t>
            </w:r>
          </w:p>
        </w:tc>
        <w:tc>
          <w:tcPr>
            <w:tcW w:w="2150" w:type="dxa"/>
            <w:vAlign w:val="center"/>
          </w:tcPr>
          <w:p w:rsidR="00A11E9F" w:rsidRDefault="003E1018">
            <w:pPr>
              <w:jc w:val="right"/>
            </w:pPr>
            <w:r>
              <w:rPr>
                <w:color w:val="000000"/>
                <w:sz w:val="24"/>
                <w:szCs w:val="24"/>
              </w:rPr>
              <w:t>10,136,000.00</w:t>
            </w:r>
          </w:p>
        </w:tc>
        <w:tc>
          <w:tcPr>
            <w:tcW w:w="1237" w:type="dxa"/>
            <w:vAlign w:val="center"/>
          </w:tcPr>
          <w:p w:rsidR="00A11E9F" w:rsidRDefault="003E1018">
            <w:pPr>
              <w:jc w:val="right"/>
            </w:pPr>
            <w:r>
              <w:rPr>
                <w:color w:val="000000"/>
                <w:sz w:val="24"/>
                <w:szCs w:val="24"/>
              </w:rPr>
              <w:t>4.60</w:t>
            </w:r>
          </w:p>
        </w:tc>
      </w:tr>
      <w:tr w:rsidR="00A11E9F">
        <w:trPr>
          <w:jc w:val="center"/>
        </w:trPr>
        <w:tc>
          <w:tcPr>
            <w:tcW w:w="850" w:type="dxa"/>
            <w:vAlign w:val="center"/>
          </w:tcPr>
          <w:p w:rsidR="00A11E9F" w:rsidRDefault="003E1018">
            <w:pPr>
              <w:jc w:val="center"/>
            </w:pPr>
            <w:r>
              <w:rPr>
                <w:color w:val="000000"/>
                <w:sz w:val="24"/>
                <w:szCs w:val="24"/>
              </w:rPr>
              <w:t>5</w:t>
            </w:r>
          </w:p>
        </w:tc>
        <w:tc>
          <w:tcPr>
            <w:tcW w:w="1475" w:type="dxa"/>
            <w:vAlign w:val="center"/>
          </w:tcPr>
          <w:p w:rsidR="00A11E9F" w:rsidRDefault="003E1018">
            <w:pPr>
              <w:jc w:val="center"/>
            </w:pPr>
            <w:r>
              <w:rPr>
                <w:color w:val="000000"/>
                <w:sz w:val="24"/>
                <w:szCs w:val="24"/>
              </w:rPr>
              <w:t>101752020</w:t>
            </w:r>
          </w:p>
        </w:tc>
        <w:tc>
          <w:tcPr>
            <w:tcW w:w="1769" w:type="dxa"/>
            <w:vAlign w:val="center"/>
          </w:tcPr>
          <w:p w:rsidR="00A11E9F" w:rsidRDefault="003E1018">
            <w:pPr>
              <w:jc w:val="center"/>
            </w:pPr>
            <w:r>
              <w:rPr>
                <w:color w:val="000000"/>
                <w:sz w:val="24"/>
                <w:szCs w:val="24"/>
              </w:rPr>
              <w:t>17</w:t>
            </w:r>
            <w:r>
              <w:rPr>
                <w:color w:val="000000"/>
                <w:sz w:val="24"/>
                <w:szCs w:val="24"/>
              </w:rPr>
              <w:t>华发实业</w:t>
            </w:r>
            <w:r>
              <w:rPr>
                <w:color w:val="000000"/>
                <w:sz w:val="24"/>
                <w:szCs w:val="24"/>
              </w:rPr>
              <w:t>MTN001</w:t>
            </w:r>
          </w:p>
        </w:tc>
        <w:tc>
          <w:tcPr>
            <w:tcW w:w="1387" w:type="dxa"/>
            <w:vAlign w:val="center"/>
          </w:tcPr>
          <w:p w:rsidR="00A11E9F" w:rsidRDefault="003E1018">
            <w:pPr>
              <w:jc w:val="right"/>
            </w:pPr>
            <w:r>
              <w:rPr>
                <w:color w:val="000000"/>
                <w:sz w:val="24"/>
                <w:szCs w:val="24"/>
              </w:rPr>
              <w:t>100,000</w:t>
            </w:r>
          </w:p>
        </w:tc>
        <w:tc>
          <w:tcPr>
            <w:tcW w:w="2150" w:type="dxa"/>
            <w:vAlign w:val="center"/>
          </w:tcPr>
          <w:p w:rsidR="00A11E9F" w:rsidRDefault="003E1018">
            <w:pPr>
              <w:jc w:val="right"/>
            </w:pPr>
            <w:r>
              <w:rPr>
                <w:color w:val="000000"/>
                <w:sz w:val="24"/>
                <w:szCs w:val="24"/>
              </w:rPr>
              <w:t>9,994,000.00</w:t>
            </w:r>
          </w:p>
        </w:tc>
        <w:tc>
          <w:tcPr>
            <w:tcW w:w="1237" w:type="dxa"/>
            <w:vAlign w:val="center"/>
          </w:tcPr>
          <w:p w:rsidR="00A11E9F" w:rsidRDefault="003E1018">
            <w:pPr>
              <w:jc w:val="right"/>
            </w:pPr>
            <w:r>
              <w:rPr>
                <w:color w:val="000000"/>
                <w:sz w:val="24"/>
                <w:szCs w:val="24"/>
              </w:rPr>
              <w:t>4.54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44,135.53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870,202.90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3,961,889.52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182,287.50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5,058,515.45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11E9F">
        <w:trPr>
          <w:jc w:val="center"/>
        </w:trPr>
        <w:tc>
          <w:tcPr>
            <w:tcW w:w="1883" w:type="dxa"/>
            <w:vAlign w:val="center"/>
          </w:tcPr>
          <w:p w:rsidR="00A11E9F" w:rsidRDefault="003E1018">
            <w:pPr>
              <w:jc w:val="center"/>
            </w:pPr>
            <w:r>
              <w:rPr>
                <w:color w:val="000000"/>
                <w:sz w:val="24"/>
                <w:szCs w:val="24"/>
              </w:rPr>
              <w:t>1</w:t>
            </w:r>
          </w:p>
        </w:tc>
        <w:tc>
          <w:tcPr>
            <w:tcW w:w="1801" w:type="dxa"/>
            <w:vAlign w:val="center"/>
          </w:tcPr>
          <w:p w:rsidR="00A11E9F" w:rsidRDefault="003E1018">
            <w:pPr>
              <w:jc w:val="center"/>
            </w:pPr>
            <w:r>
              <w:rPr>
                <w:color w:val="000000"/>
                <w:sz w:val="24"/>
                <w:szCs w:val="24"/>
              </w:rPr>
              <w:t>110034</w:t>
            </w:r>
          </w:p>
        </w:tc>
        <w:tc>
          <w:tcPr>
            <w:tcW w:w="1727" w:type="dxa"/>
            <w:vAlign w:val="center"/>
          </w:tcPr>
          <w:p w:rsidR="00A11E9F" w:rsidRDefault="003E1018">
            <w:pPr>
              <w:jc w:val="center"/>
            </w:pPr>
            <w:r>
              <w:rPr>
                <w:color w:val="000000"/>
                <w:sz w:val="24"/>
                <w:szCs w:val="24"/>
              </w:rPr>
              <w:t>九州转债</w:t>
            </w:r>
          </w:p>
        </w:tc>
        <w:tc>
          <w:tcPr>
            <w:tcW w:w="1768" w:type="dxa"/>
            <w:vAlign w:val="center"/>
          </w:tcPr>
          <w:p w:rsidR="00A11E9F" w:rsidRDefault="003E1018">
            <w:pPr>
              <w:jc w:val="right"/>
            </w:pPr>
            <w:r>
              <w:rPr>
                <w:color w:val="000000"/>
                <w:sz w:val="24"/>
                <w:szCs w:val="24"/>
              </w:rPr>
              <w:t>3,429,900.00</w:t>
            </w:r>
          </w:p>
        </w:tc>
        <w:tc>
          <w:tcPr>
            <w:tcW w:w="1689" w:type="dxa"/>
            <w:vAlign w:val="center"/>
          </w:tcPr>
          <w:p w:rsidR="00A11E9F" w:rsidRDefault="003E1018">
            <w:pPr>
              <w:jc w:val="right"/>
            </w:pPr>
            <w:r>
              <w:rPr>
                <w:color w:val="000000"/>
                <w:sz w:val="24"/>
                <w:szCs w:val="24"/>
              </w:rPr>
              <w:t>1.56</w:t>
            </w:r>
          </w:p>
        </w:tc>
      </w:tr>
      <w:tr w:rsidR="00A11E9F">
        <w:trPr>
          <w:jc w:val="center"/>
        </w:trPr>
        <w:tc>
          <w:tcPr>
            <w:tcW w:w="1883" w:type="dxa"/>
            <w:vAlign w:val="center"/>
          </w:tcPr>
          <w:p w:rsidR="00A11E9F" w:rsidRDefault="003E1018">
            <w:pPr>
              <w:jc w:val="center"/>
            </w:pPr>
            <w:r>
              <w:rPr>
                <w:color w:val="000000"/>
                <w:sz w:val="24"/>
                <w:szCs w:val="24"/>
              </w:rPr>
              <w:t>2</w:t>
            </w:r>
          </w:p>
        </w:tc>
        <w:tc>
          <w:tcPr>
            <w:tcW w:w="1801" w:type="dxa"/>
            <w:vAlign w:val="center"/>
          </w:tcPr>
          <w:p w:rsidR="00A11E9F" w:rsidRDefault="003E1018">
            <w:pPr>
              <w:jc w:val="center"/>
            </w:pPr>
            <w:r>
              <w:rPr>
                <w:color w:val="000000"/>
                <w:sz w:val="24"/>
                <w:szCs w:val="24"/>
              </w:rPr>
              <w:t>128016</w:t>
            </w:r>
          </w:p>
        </w:tc>
        <w:tc>
          <w:tcPr>
            <w:tcW w:w="1727" w:type="dxa"/>
            <w:vAlign w:val="center"/>
          </w:tcPr>
          <w:p w:rsidR="00A11E9F" w:rsidRDefault="003E1018">
            <w:pPr>
              <w:jc w:val="center"/>
            </w:pPr>
            <w:r>
              <w:rPr>
                <w:color w:val="000000"/>
                <w:sz w:val="24"/>
                <w:szCs w:val="24"/>
              </w:rPr>
              <w:t>雨虹转债</w:t>
            </w:r>
          </w:p>
        </w:tc>
        <w:tc>
          <w:tcPr>
            <w:tcW w:w="1768" w:type="dxa"/>
            <w:vAlign w:val="center"/>
          </w:tcPr>
          <w:p w:rsidR="00A11E9F" w:rsidRDefault="003E1018">
            <w:pPr>
              <w:jc w:val="right"/>
            </w:pPr>
            <w:r>
              <w:rPr>
                <w:color w:val="000000"/>
                <w:sz w:val="24"/>
                <w:szCs w:val="24"/>
              </w:rPr>
              <w:t>2,339,400.00</w:t>
            </w:r>
          </w:p>
        </w:tc>
        <w:tc>
          <w:tcPr>
            <w:tcW w:w="1689" w:type="dxa"/>
            <w:vAlign w:val="center"/>
          </w:tcPr>
          <w:p w:rsidR="00A11E9F" w:rsidRDefault="003E1018">
            <w:pPr>
              <w:jc w:val="right"/>
            </w:pPr>
            <w:r>
              <w:rPr>
                <w:color w:val="000000"/>
                <w:sz w:val="24"/>
                <w:szCs w:val="24"/>
              </w:rPr>
              <w:t>1.06</w:t>
            </w:r>
          </w:p>
        </w:tc>
      </w:tr>
      <w:tr w:rsidR="00A11E9F">
        <w:trPr>
          <w:jc w:val="center"/>
        </w:trPr>
        <w:tc>
          <w:tcPr>
            <w:tcW w:w="1883" w:type="dxa"/>
            <w:vAlign w:val="center"/>
          </w:tcPr>
          <w:p w:rsidR="00A11E9F" w:rsidRDefault="003E1018">
            <w:pPr>
              <w:jc w:val="center"/>
            </w:pPr>
            <w:r>
              <w:rPr>
                <w:color w:val="000000"/>
                <w:sz w:val="24"/>
                <w:szCs w:val="24"/>
              </w:rPr>
              <w:t>3</w:t>
            </w:r>
          </w:p>
        </w:tc>
        <w:tc>
          <w:tcPr>
            <w:tcW w:w="1801" w:type="dxa"/>
            <w:vAlign w:val="center"/>
          </w:tcPr>
          <w:p w:rsidR="00A11E9F" w:rsidRDefault="003E1018">
            <w:pPr>
              <w:jc w:val="center"/>
            </w:pPr>
            <w:r>
              <w:rPr>
                <w:color w:val="000000"/>
                <w:sz w:val="24"/>
                <w:szCs w:val="24"/>
              </w:rPr>
              <w:t>128015</w:t>
            </w:r>
          </w:p>
        </w:tc>
        <w:tc>
          <w:tcPr>
            <w:tcW w:w="1727" w:type="dxa"/>
            <w:vAlign w:val="center"/>
          </w:tcPr>
          <w:p w:rsidR="00A11E9F" w:rsidRDefault="003E1018">
            <w:pPr>
              <w:jc w:val="center"/>
            </w:pPr>
            <w:r>
              <w:rPr>
                <w:color w:val="000000"/>
                <w:sz w:val="24"/>
                <w:szCs w:val="24"/>
              </w:rPr>
              <w:t>久其转债</w:t>
            </w:r>
          </w:p>
        </w:tc>
        <w:tc>
          <w:tcPr>
            <w:tcW w:w="1768" w:type="dxa"/>
            <w:vAlign w:val="center"/>
          </w:tcPr>
          <w:p w:rsidR="00A11E9F" w:rsidRDefault="003E1018">
            <w:pPr>
              <w:jc w:val="right"/>
            </w:pPr>
            <w:r>
              <w:rPr>
                <w:color w:val="000000"/>
                <w:sz w:val="24"/>
                <w:szCs w:val="24"/>
              </w:rPr>
              <w:t>1,311,120.00</w:t>
            </w:r>
          </w:p>
        </w:tc>
        <w:tc>
          <w:tcPr>
            <w:tcW w:w="1689" w:type="dxa"/>
            <w:vAlign w:val="center"/>
          </w:tcPr>
          <w:p w:rsidR="00A11E9F" w:rsidRDefault="003E1018">
            <w:pPr>
              <w:jc w:val="right"/>
            </w:pPr>
            <w:r>
              <w:rPr>
                <w:color w:val="000000"/>
                <w:sz w:val="24"/>
                <w:szCs w:val="24"/>
              </w:rPr>
              <w:t>0.60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3A2B1A" w:rsidRPr="00A85930" w:rsidRDefault="003A2B1A" w:rsidP="003A2B1A">
      <w:pPr>
        <w:adjustRightInd w:val="0"/>
        <w:snapToGrid w:val="0"/>
        <w:spacing w:beforeLines="50" w:before="156" w:line="360" w:lineRule="auto"/>
        <w:rPr>
          <w:rFonts w:eastAsiaTheme="minorEastAsia"/>
          <w:b/>
          <w:color w:val="000000" w:themeColor="text1"/>
          <w:kern w:val="0"/>
          <w:sz w:val="24"/>
          <w:szCs w:val="24"/>
        </w:rPr>
      </w:pPr>
      <w:r w:rsidRPr="00A85930">
        <w:rPr>
          <w:rFonts w:eastAsiaTheme="minorEastAsia" w:hint="eastAsia"/>
          <w:b/>
          <w:color w:val="000000" w:themeColor="text1"/>
          <w:kern w:val="0"/>
          <w:sz w:val="24"/>
          <w:szCs w:val="24"/>
        </w:rPr>
        <w:t xml:space="preserve">6.3 </w:t>
      </w:r>
      <w:r w:rsidRPr="00A85930">
        <w:rPr>
          <w:rFonts w:eastAsiaTheme="minorEastAsia" w:hint="eastAsia"/>
          <w:b/>
          <w:color w:val="000000" w:themeColor="text1"/>
          <w:kern w:val="0"/>
          <w:sz w:val="24"/>
          <w:szCs w:val="24"/>
        </w:rPr>
        <w:t>本报告期持有的基金发生的重大影响事件</w:t>
      </w:r>
    </w:p>
    <w:p w:rsidR="003A2B1A" w:rsidRPr="00A04B8F" w:rsidRDefault="003A2B1A" w:rsidP="003A2B1A">
      <w:pPr>
        <w:spacing w:before="29" w:line="288" w:lineRule="auto"/>
        <w:ind w:firstLineChars="200" w:firstLine="480"/>
        <w:rPr>
          <w:sz w:val="24"/>
        </w:rPr>
      </w:pPr>
      <w:r w:rsidRPr="00A04B8F">
        <w:rPr>
          <w:rFonts w:hint="eastAsia"/>
          <w:sz w:val="24"/>
        </w:rPr>
        <w:t>无。</w:t>
      </w:r>
    </w:p>
    <w:p w:rsidR="003A2B1A" w:rsidRPr="003A2B1A" w:rsidRDefault="003A2B1A"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148,092,622.26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27,333,734.31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19,271,097.12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156,155,259.45</w:t>
            </w:r>
          </w:p>
        </w:tc>
      </w:tr>
    </w:tbl>
    <w:p w:rsidR="00A11E9F" w:rsidRDefault="003E101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47.09</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A11E9F">
        <w:tc>
          <w:tcPr>
            <w:tcW w:w="993" w:type="dxa"/>
            <w:vMerge w:val="restart"/>
          </w:tcPr>
          <w:p w:rsidR="00A11E9F" w:rsidRDefault="00A11E9F"/>
          <w:p w:rsidR="00A11E9F" w:rsidRDefault="003E1018">
            <w:r>
              <w:rPr>
                <w:rFonts w:ascii="宋体" w:hAnsi="宋体" w:hint="eastAsia"/>
                <w:bCs/>
                <w:color w:val="000000"/>
                <w:kern w:val="0"/>
              </w:rPr>
              <w:t>机构</w:t>
            </w:r>
          </w:p>
        </w:tc>
        <w:tc>
          <w:tcPr>
            <w:tcW w:w="992" w:type="dxa"/>
            <w:vAlign w:val="center"/>
          </w:tcPr>
          <w:p w:rsidR="00A11E9F" w:rsidRDefault="003E1018">
            <w:pPr>
              <w:jc w:val="center"/>
            </w:pPr>
            <w:r>
              <w:rPr>
                <w:rFonts w:ascii="宋体" w:hAnsi="宋体"/>
                <w:color w:val="000000"/>
                <w:kern w:val="0"/>
              </w:rPr>
              <w:t>1</w:t>
            </w:r>
          </w:p>
        </w:tc>
        <w:tc>
          <w:tcPr>
            <w:tcW w:w="1843" w:type="dxa"/>
            <w:vAlign w:val="center"/>
          </w:tcPr>
          <w:p w:rsidR="00A11E9F" w:rsidRDefault="003E1018">
            <w:pPr>
              <w:jc w:val="center"/>
            </w:pPr>
            <w:r>
              <w:rPr>
                <w:rFonts w:ascii="宋体" w:hAnsi="宋体"/>
                <w:color w:val="000000"/>
                <w:kern w:val="0"/>
              </w:rPr>
              <w:t>2018/1/1-2018/3/31</w:t>
            </w:r>
          </w:p>
        </w:tc>
        <w:tc>
          <w:tcPr>
            <w:tcW w:w="851" w:type="dxa"/>
            <w:vAlign w:val="center"/>
          </w:tcPr>
          <w:p w:rsidR="00A11E9F" w:rsidRDefault="003E1018">
            <w:pPr>
              <w:jc w:val="center"/>
            </w:pPr>
            <w:r>
              <w:rPr>
                <w:rFonts w:ascii="宋体" w:hAnsi="宋体"/>
                <w:color w:val="000000"/>
                <w:kern w:val="0"/>
              </w:rPr>
              <w:t>73,528,676.47</w:t>
            </w:r>
          </w:p>
        </w:tc>
        <w:tc>
          <w:tcPr>
            <w:tcW w:w="850" w:type="dxa"/>
            <w:vAlign w:val="center"/>
          </w:tcPr>
          <w:p w:rsidR="00A11E9F" w:rsidRDefault="003E1018">
            <w:pPr>
              <w:jc w:val="center"/>
            </w:pPr>
            <w:r>
              <w:rPr>
                <w:rFonts w:ascii="宋体" w:hAnsi="宋体"/>
                <w:color w:val="000000"/>
                <w:kern w:val="0"/>
              </w:rPr>
              <w:t>-</w:t>
            </w:r>
          </w:p>
        </w:tc>
        <w:tc>
          <w:tcPr>
            <w:tcW w:w="1134" w:type="dxa"/>
            <w:vAlign w:val="center"/>
          </w:tcPr>
          <w:p w:rsidR="00A11E9F" w:rsidRDefault="003E1018">
            <w:pPr>
              <w:jc w:val="center"/>
            </w:pPr>
            <w:r>
              <w:rPr>
                <w:rFonts w:ascii="宋体" w:hAnsi="宋体"/>
                <w:color w:val="000000"/>
                <w:kern w:val="0"/>
              </w:rPr>
              <w:t>-</w:t>
            </w:r>
          </w:p>
        </w:tc>
        <w:tc>
          <w:tcPr>
            <w:tcW w:w="1419" w:type="dxa"/>
            <w:vAlign w:val="center"/>
          </w:tcPr>
          <w:p w:rsidR="00A11E9F" w:rsidRDefault="003E1018">
            <w:pPr>
              <w:jc w:val="center"/>
            </w:pPr>
            <w:r>
              <w:rPr>
                <w:rFonts w:ascii="宋体" w:hAnsi="宋体"/>
                <w:color w:val="000000"/>
                <w:kern w:val="0"/>
              </w:rPr>
              <w:t>73,528,676.47</w:t>
            </w:r>
          </w:p>
        </w:tc>
        <w:tc>
          <w:tcPr>
            <w:tcW w:w="1130" w:type="dxa"/>
            <w:vAlign w:val="center"/>
          </w:tcPr>
          <w:p w:rsidR="00A11E9F" w:rsidRDefault="003E1018">
            <w:pPr>
              <w:jc w:val="center"/>
            </w:pPr>
            <w:r>
              <w:rPr>
                <w:rFonts w:ascii="宋体" w:hAnsi="宋体"/>
                <w:color w:val="000000"/>
                <w:kern w:val="0"/>
              </w:rPr>
              <w:t>47.09%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8066D1" w:rsidRDefault="003C50AD" w:rsidP="003C50AD">
      <w:pPr>
        <w:autoSpaceDE w:val="0"/>
        <w:autoSpaceDN w:val="0"/>
        <w:adjustRightInd w:val="0"/>
        <w:spacing w:line="360" w:lineRule="auto"/>
        <w:jc w:val="left"/>
        <w:rPr>
          <w:rFonts w:ascii="宋体" w:hAnsi="宋体"/>
          <w:b/>
          <w:bCs/>
          <w:color w:val="000000"/>
          <w:kern w:val="0"/>
          <w:sz w:val="24"/>
          <w:szCs w:val="24"/>
        </w:rPr>
      </w:pPr>
      <w:r w:rsidRPr="008066D1">
        <w:rPr>
          <w:rFonts w:ascii="宋体" w:hAnsi="宋体" w:hint="eastAsia"/>
          <w:b/>
          <w:bCs/>
          <w:color w:val="000000"/>
          <w:kern w:val="0"/>
          <w:sz w:val="24"/>
          <w:szCs w:val="24"/>
        </w:rPr>
        <w:lastRenderedPageBreak/>
        <w:t>9.2 影响投资者决策的其他重要信息</w:t>
      </w:r>
    </w:p>
    <w:p w:rsidR="00A11E9F" w:rsidRPr="008066D1" w:rsidRDefault="003E1018">
      <w:pPr>
        <w:spacing w:line="360" w:lineRule="auto"/>
        <w:ind w:firstLineChars="200" w:firstLine="480"/>
        <w:rPr>
          <w:rFonts w:ascii="宋体" w:hAnsi="宋体"/>
          <w:color w:val="000000"/>
          <w:sz w:val="24"/>
          <w:szCs w:val="24"/>
        </w:rPr>
      </w:pPr>
      <w:r w:rsidRPr="008066D1">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8066D1" w:rsidRDefault="003C50AD" w:rsidP="003C50AD">
      <w:pPr>
        <w:spacing w:line="360" w:lineRule="auto"/>
        <w:ind w:firstLineChars="200" w:firstLine="480"/>
        <w:rPr>
          <w:rFonts w:ascii="宋体" w:hAnsi="宋体"/>
          <w:color w:val="000000"/>
          <w:sz w:val="24"/>
          <w:szCs w:val="24"/>
        </w:rPr>
      </w:pPr>
      <w:r w:rsidRPr="008066D1">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11E9F" w:rsidRDefault="003E101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A11E9F" w:rsidRDefault="003E101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A11E9F" w:rsidRDefault="003E1018">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11E9F" w:rsidRDefault="003E1018">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11E9F" w:rsidRDefault="003E1018">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11E9F" w:rsidRDefault="003E101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0C" w:rsidRDefault="00E77C0C" w:rsidP="00876D65">
      <w:r>
        <w:separator/>
      </w:r>
    </w:p>
  </w:endnote>
  <w:endnote w:type="continuationSeparator" w:id="0">
    <w:p w:rsidR="00E77C0C" w:rsidRDefault="00E77C0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4276E3">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4276E3">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0C" w:rsidRDefault="00E77C0C" w:rsidP="00876D65">
      <w:r>
        <w:separator/>
      </w:r>
    </w:p>
  </w:footnote>
  <w:footnote w:type="continuationSeparator" w:id="0">
    <w:p w:rsidR="00E77C0C" w:rsidRDefault="00E77C0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2B1A"/>
    <w:rsid w:val="003A58DC"/>
    <w:rsid w:val="003A6061"/>
    <w:rsid w:val="003B3494"/>
    <w:rsid w:val="003B5E08"/>
    <w:rsid w:val="003B6FBC"/>
    <w:rsid w:val="003C32C0"/>
    <w:rsid w:val="003C50AD"/>
    <w:rsid w:val="003D742E"/>
    <w:rsid w:val="003E1018"/>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6E3"/>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066D1"/>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1E9F"/>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77C0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2ABA"/>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061B-9779-4B20-97A8-A5BFA6CC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2018-04-19T01:37:00Z</dcterms:modified>
</cp:coreProperties>
</file>