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交银施罗德丰硕收益债券型证券投资基金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交银丰硕收益债券</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519758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519758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w:t>
            </w:r>
            <w:r w:rsidRPr="00AF05D4">
              <w:rPr>
                <w:sz w:val="24"/>
              </w:rPr>
              <w:t>,</w:t>
            </w:r>
            <w:r w:rsidRPr="00AF05D4">
              <w:rPr>
                <w:sz w:val="24"/>
              </w:rPr>
              <w:t>本基金在基金合同生效之日起两年（含两年）的期间内封闭式运作（按照基金合同的约定提前转换基金运作方式的除外），封闭期结束后转为开放式运作。</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11</w:t>
            </w:r>
            <w:r w:rsidRPr="00AF05D4">
              <w:rPr>
                <w:sz w:val="24"/>
              </w:rPr>
              <w:t>月</w:t>
            </w:r>
            <w:r w:rsidRPr="00AF05D4">
              <w:rPr>
                <w:sz w:val="24"/>
              </w:rPr>
              <w:t>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53,688,629.82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在有效控制风险的前提下</w:t>
            </w:r>
            <w:r w:rsidRPr="00A57672">
              <w:rPr>
                <w:sz w:val="24"/>
              </w:rPr>
              <w:t>,</w:t>
            </w:r>
            <w:r w:rsidRPr="00A57672">
              <w:rPr>
                <w:sz w:val="24"/>
              </w:rPr>
              <w:t>力求获得高于业绩基准的投资收益。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7C483C" w:rsidRDefault="007F41B2">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7C483C" w:rsidRDefault="007C483C">
            <w:pPr>
              <w:spacing w:before="29" w:line="288" w:lineRule="auto"/>
              <w:rPr>
                <w:sz w:val="24"/>
              </w:rPr>
            </w:pPr>
          </w:p>
          <w:p w:rsidR="001A59F9" w:rsidRPr="00A57672" w:rsidRDefault="001A59F9" w:rsidP="00A57672">
            <w:pPr>
              <w:spacing w:before="29" w:line="288" w:lineRule="auto"/>
              <w:rPr>
                <w:sz w:val="24"/>
              </w:rPr>
            </w:pPr>
            <w:r w:rsidRPr="00A57672">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业绩比较基准</w:t>
            </w:r>
          </w:p>
        </w:tc>
        <w:tc>
          <w:tcPr>
            <w:tcW w:w="5998" w:type="dxa"/>
            <w:vAlign w:val="center"/>
          </w:tcPr>
          <w:p w:rsidR="007C483C" w:rsidRDefault="007F41B2">
            <w:pPr>
              <w:spacing w:before="29" w:line="288" w:lineRule="auto"/>
              <w:rPr>
                <w:sz w:val="24"/>
              </w:rPr>
            </w:pPr>
            <w:r>
              <w:rPr>
                <w:sz w:val="24"/>
              </w:rPr>
              <w:t>封闭期内业绩比较基准：两年期银行定期存款税后收益率</w:t>
            </w:r>
            <w:r>
              <w:rPr>
                <w:sz w:val="24"/>
              </w:rPr>
              <w:t>+1.25%</w:t>
            </w:r>
          </w:p>
          <w:p w:rsidR="001A59F9" w:rsidRPr="00A57672" w:rsidRDefault="001A59F9" w:rsidP="00A57672">
            <w:pPr>
              <w:spacing w:before="29" w:line="288" w:lineRule="auto"/>
              <w:rPr>
                <w:sz w:val="24"/>
              </w:rPr>
            </w:pPr>
            <w:r w:rsidRPr="00A57672">
              <w:rPr>
                <w:sz w:val="24"/>
              </w:rPr>
              <w:t>开放期内业绩比较基准：中债综合全价指数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本基金是一只债券型基金，其风险与预期收益高于货币市场基金，低于混合型基金和股票型基金，属于证券投资基金中中等风险的品种。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r w:rsidRPr="00931B45">
              <w:rPr>
                <w:b/>
                <w:szCs w:val="21"/>
              </w:rPr>
              <w:t>11</w:t>
            </w:r>
            <w:r w:rsidRPr="00931B45">
              <w:rPr>
                <w:b/>
                <w:szCs w:val="21"/>
              </w:rPr>
              <w:t>月</w:t>
            </w:r>
            <w:r w:rsidRPr="00931B45">
              <w:rPr>
                <w:b/>
                <w:szCs w:val="21"/>
              </w:rPr>
              <w:t>9</w:t>
            </w:r>
            <w:r w:rsidRPr="00931B45">
              <w:rPr>
                <w:b/>
                <w:szCs w:val="21"/>
              </w:rPr>
              <w:t>日（基金合同生效日）至</w:t>
            </w:r>
            <w:r w:rsidRPr="00931B45">
              <w:rPr>
                <w:b/>
                <w:szCs w:val="21"/>
              </w:rPr>
              <w:t>2015</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-251,717.62</w:t>
            </w:r>
          </w:p>
        </w:tc>
        <w:tc>
          <w:tcPr>
            <w:tcW w:w="2268" w:type="dxa"/>
            <w:vAlign w:val="center"/>
          </w:tcPr>
          <w:p w:rsidR="00501A91" w:rsidRPr="00931B45" w:rsidRDefault="00501A91" w:rsidP="00D415F5">
            <w:pPr>
              <w:spacing w:before="29" w:line="288" w:lineRule="auto"/>
              <w:jc w:val="right"/>
              <w:rPr>
                <w:szCs w:val="21"/>
              </w:rPr>
            </w:pPr>
            <w:r w:rsidRPr="00931B45">
              <w:rPr>
                <w:szCs w:val="21"/>
              </w:rPr>
              <w:t>14,727,678.37</w:t>
            </w:r>
          </w:p>
        </w:tc>
        <w:tc>
          <w:tcPr>
            <w:tcW w:w="2194" w:type="dxa"/>
            <w:vAlign w:val="center"/>
          </w:tcPr>
          <w:p w:rsidR="00501A91" w:rsidRPr="00931B45" w:rsidRDefault="00501A91" w:rsidP="00D415F5">
            <w:pPr>
              <w:spacing w:before="29" w:line="288" w:lineRule="auto"/>
              <w:jc w:val="right"/>
              <w:rPr>
                <w:szCs w:val="21"/>
              </w:rPr>
            </w:pPr>
            <w:r w:rsidRPr="00931B45">
              <w:rPr>
                <w:szCs w:val="21"/>
              </w:rPr>
              <w:t>481,980.90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13,240,398.07</w:t>
            </w:r>
          </w:p>
        </w:tc>
        <w:tc>
          <w:tcPr>
            <w:tcW w:w="2268" w:type="dxa"/>
            <w:vAlign w:val="center"/>
          </w:tcPr>
          <w:p w:rsidR="00501A91" w:rsidRPr="00931B45" w:rsidRDefault="00501A91" w:rsidP="00D415F5">
            <w:pPr>
              <w:spacing w:before="29" w:line="288" w:lineRule="auto"/>
              <w:jc w:val="right"/>
              <w:rPr>
                <w:szCs w:val="21"/>
              </w:rPr>
            </w:pPr>
            <w:r w:rsidRPr="00931B45">
              <w:rPr>
                <w:szCs w:val="21"/>
              </w:rPr>
              <w:t>-415,505.55</w:t>
            </w:r>
          </w:p>
        </w:tc>
        <w:tc>
          <w:tcPr>
            <w:tcW w:w="2194" w:type="dxa"/>
            <w:vAlign w:val="center"/>
          </w:tcPr>
          <w:p w:rsidR="00501A91" w:rsidRPr="00931B45" w:rsidRDefault="00501A91" w:rsidP="00D415F5">
            <w:pPr>
              <w:spacing w:before="29" w:line="288" w:lineRule="auto"/>
              <w:jc w:val="right"/>
              <w:rPr>
                <w:szCs w:val="21"/>
              </w:rPr>
            </w:pPr>
            <w:r w:rsidRPr="00931B45">
              <w:rPr>
                <w:szCs w:val="21"/>
              </w:rPr>
              <w:t>2,118,787.13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lastRenderedPageBreak/>
              <w:t>0.0341</w:t>
            </w:r>
          </w:p>
        </w:tc>
        <w:tc>
          <w:tcPr>
            <w:tcW w:w="2268" w:type="dxa"/>
            <w:vAlign w:val="center"/>
          </w:tcPr>
          <w:p w:rsidR="00501A91" w:rsidRPr="00931B45" w:rsidRDefault="00501A91" w:rsidP="00D415F5">
            <w:pPr>
              <w:spacing w:before="29" w:line="288" w:lineRule="auto"/>
              <w:jc w:val="right"/>
              <w:rPr>
                <w:szCs w:val="21"/>
              </w:rPr>
            </w:pPr>
            <w:r w:rsidRPr="00931B45">
              <w:rPr>
                <w:szCs w:val="21"/>
              </w:rPr>
              <w:t>-0.0009</w:t>
            </w:r>
          </w:p>
        </w:tc>
        <w:tc>
          <w:tcPr>
            <w:tcW w:w="2194" w:type="dxa"/>
            <w:vAlign w:val="center"/>
          </w:tcPr>
          <w:p w:rsidR="00501A91" w:rsidRPr="00931B45" w:rsidRDefault="00501A91" w:rsidP="00D415F5">
            <w:pPr>
              <w:spacing w:before="29" w:line="288" w:lineRule="auto"/>
              <w:jc w:val="right"/>
              <w:rPr>
                <w:szCs w:val="21"/>
              </w:rPr>
            </w:pPr>
            <w:r w:rsidRPr="00931B45">
              <w:rPr>
                <w:szCs w:val="21"/>
              </w:rPr>
              <w:t>0.0048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3.19%</w:t>
            </w:r>
          </w:p>
        </w:tc>
        <w:tc>
          <w:tcPr>
            <w:tcW w:w="2268" w:type="dxa"/>
            <w:vAlign w:val="center"/>
          </w:tcPr>
          <w:p w:rsidR="00501A91" w:rsidRPr="00931B45" w:rsidRDefault="00501A91" w:rsidP="00D415F5">
            <w:pPr>
              <w:spacing w:before="29" w:line="288" w:lineRule="auto"/>
              <w:jc w:val="right"/>
              <w:rPr>
                <w:szCs w:val="21"/>
              </w:rPr>
            </w:pPr>
            <w:r w:rsidRPr="00931B45">
              <w:rPr>
                <w:szCs w:val="21"/>
              </w:rPr>
              <w:t>-0.17%</w:t>
            </w:r>
          </w:p>
        </w:tc>
        <w:tc>
          <w:tcPr>
            <w:tcW w:w="2194" w:type="dxa"/>
            <w:vAlign w:val="center"/>
          </w:tcPr>
          <w:p w:rsidR="00501A91" w:rsidRPr="00931B45" w:rsidRDefault="00501A91" w:rsidP="00D415F5">
            <w:pPr>
              <w:spacing w:before="29" w:line="288" w:lineRule="auto"/>
              <w:jc w:val="right"/>
              <w:rPr>
                <w:szCs w:val="21"/>
              </w:rPr>
            </w:pPr>
            <w:r w:rsidRPr="00931B45">
              <w:rPr>
                <w:szCs w:val="21"/>
              </w:rPr>
              <w:t>0.50%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0.002</w:t>
            </w:r>
          </w:p>
        </w:tc>
        <w:tc>
          <w:tcPr>
            <w:tcW w:w="2268" w:type="dxa"/>
            <w:vAlign w:val="center"/>
          </w:tcPr>
          <w:p w:rsidR="00501A91" w:rsidRPr="00931B45" w:rsidRDefault="00501A91" w:rsidP="00D415F5">
            <w:pPr>
              <w:spacing w:before="29" w:line="288" w:lineRule="auto"/>
              <w:jc w:val="right"/>
              <w:rPr>
                <w:szCs w:val="21"/>
              </w:rPr>
            </w:pPr>
            <w:r w:rsidRPr="00931B45">
              <w:rPr>
                <w:szCs w:val="21"/>
              </w:rPr>
              <w:t>-0.029</w:t>
            </w:r>
          </w:p>
        </w:tc>
        <w:tc>
          <w:tcPr>
            <w:tcW w:w="2194" w:type="dxa"/>
            <w:vAlign w:val="center"/>
          </w:tcPr>
          <w:p w:rsidR="00501A91" w:rsidRPr="00931B45" w:rsidRDefault="00501A91" w:rsidP="00D415F5">
            <w:pPr>
              <w:spacing w:before="29" w:line="288" w:lineRule="auto"/>
              <w:jc w:val="right"/>
              <w:rPr>
                <w:szCs w:val="21"/>
              </w:rPr>
            </w:pPr>
            <w:r w:rsidRPr="00931B45">
              <w:rPr>
                <w:szCs w:val="21"/>
              </w:rPr>
              <w:t>0.001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53,790,748.64</w:t>
            </w:r>
          </w:p>
        </w:tc>
        <w:tc>
          <w:tcPr>
            <w:tcW w:w="2268" w:type="dxa"/>
            <w:vAlign w:val="center"/>
          </w:tcPr>
          <w:p w:rsidR="00501A91" w:rsidRPr="00931B45" w:rsidRDefault="00501A91" w:rsidP="00D415F5">
            <w:pPr>
              <w:spacing w:before="29" w:line="288" w:lineRule="auto"/>
              <w:jc w:val="right"/>
              <w:rPr>
                <w:szCs w:val="21"/>
              </w:rPr>
            </w:pPr>
            <w:r w:rsidRPr="00931B45">
              <w:rPr>
                <w:szCs w:val="21"/>
              </w:rPr>
              <w:t>425,859,134.79</w:t>
            </w:r>
          </w:p>
        </w:tc>
        <w:tc>
          <w:tcPr>
            <w:tcW w:w="2194" w:type="dxa"/>
            <w:vAlign w:val="center"/>
          </w:tcPr>
          <w:p w:rsidR="00501A91" w:rsidRPr="00931B45" w:rsidRDefault="00501A91" w:rsidP="00D415F5">
            <w:pPr>
              <w:spacing w:before="29" w:line="288" w:lineRule="auto"/>
              <w:jc w:val="right"/>
              <w:rPr>
                <w:szCs w:val="21"/>
              </w:rPr>
            </w:pPr>
            <w:r w:rsidRPr="00931B45">
              <w:rPr>
                <w:szCs w:val="21"/>
              </w:rPr>
              <w:t>440,749,452.92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1.002</w:t>
            </w:r>
          </w:p>
        </w:tc>
        <w:tc>
          <w:tcPr>
            <w:tcW w:w="2268" w:type="dxa"/>
            <w:vAlign w:val="center"/>
          </w:tcPr>
          <w:p w:rsidR="00501A91" w:rsidRPr="00931B45" w:rsidRDefault="00501A91" w:rsidP="00D415F5">
            <w:pPr>
              <w:spacing w:before="29" w:line="288" w:lineRule="auto"/>
              <w:jc w:val="right"/>
              <w:rPr>
                <w:szCs w:val="21"/>
              </w:rPr>
            </w:pPr>
            <w:r w:rsidRPr="00931B45">
              <w:rPr>
                <w:szCs w:val="21"/>
              </w:rPr>
              <w:t>0.971</w:t>
            </w:r>
          </w:p>
        </w:tc>
        <w:tc>
          <w:tcPr>
            <w:tcW w:w="2194" w:type="dxa"/>
            <w:vAlign w:val="center"/>
          </w:tcPr>
          <w:p w:rsidR="00501A91" w:rsidRPr="00931B45" w:rsidRDefault="00501A91" w:rsidP="00D415F5">
            <w:pPr>
              <w:spacing w:before="29" w:line="288" w:lineRule="auto"/>
              <w:jc w:val="right"/>
              <w:rPr>
                <w:szCs w:val="21"/>
              </w:rPr>
            </w:pPr>
            <w:r w:rsidRPr="00931B45">
              <w:rPr>
                <w:szCs w:val="21"/>
              </w:rPr>
              <w:t>1.005</w:t>
            </w:r>
          </w:p>
        </w:tc>
      </w:tr>
    </w:tbl>
    <w:p w:rsidR="007C483C" w:rsidRDefault="007F41B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C483C">
        <w:tc>
          <w:tcPr>
            <w:tcW w:w="1286" w:type="dxa"/>
            <w:vAlign w:val="center"/>
          </w:tcPr>
          <w:p w:rsidR="007C483C" w:rsidRDefault="007F41B2">
            <w:pPr>
              <w:jc w:val="left"/>
            </w:pPr>
            <w:r>
              <w:rPr>
                <w:color w:val="000000"/>
                <w:sz w:val="24"/>
              </w:rPr>
              <w:t>过去三个月</w:t>
            </w:r>
          </w:p>
        </w:tc>
        <w:tc>
          <w:tcPr>
            <w:tcW w:w="1286" w:type="dxa"/>
            <w:vAlign w:val="center"/>
          </w:tcPr>
          <w:p w:rsidR="007C483C" w:rsidRDefault="007F41B2">
            <w:pPr>
              <w:jc w:val="center"/>
            </w:pPr>
            <w:r>
              <w:rPr>
                <w:color w:val="000000"/>
                <w:sz w:val="24"/>
              </w:rPr>
              <w:t>0.40%</w:t>
            </w:r>
          </w:p>
        </w:tc>
        <w:tc>
          <w:tcPr>
            <w:tcW w:w="1286" w:type="dxa"/>
            <w:vAlign w:val="center"/>
          </w:tcPr>
          <w:p w:rsidR="007C483C" w:rsidRDefault="007F41B2">
            <w:pPr>
              <w:jc w:val="center"/>
            </w:pPr>
            <w:r>
              <w:rPr>
                <w:color w:val="000000"/>
                <w:sz w:val="24"/>
              </w:rPr>
              <w:t>0.04%</w:t>
            </w:r>
          </w:p>
        </w:tc>
        <w:tc>
          <w:tcPr>
            <w:tcW w:w="1285" w:type="dxa"/>
            <w:vAlign w:val="center"/>
          </w:tcPr>
          <w:p w:rsidR="007C483C" w:rsidRDefault="007F41B2">
            <w:pPr>
              <w:jc w:val="center"/>
            </w:pPr>
            <w:r>
              <w:rPr>
                <w:color w:val="000000"/>
                <w:sz w:val="24"/>
              </w:rPr>
              <w:t>-0.09%</w:t>
            </w:r>
          </w:p>
        </w:tc>
        <w:tc>
          <w:tcPr>
            <w:tcW w:w="1285" w:type="dxa"/>
            <w:vAlign w:val="center"/>
          </w:tcPr>
          <w:p w:rsidR="007C483C" w:rsidRDefault="007F41B2">
            <w:pPr>
              <w:jc w:val="center"/>
            </w:pPr>
            <w:r>
              <w:rPr>
                <w:color w:val="000000"/>
                <w:sz w:val="24"/>
              </w:rPr>
              <w:t>0.04%</w:t>
            </w:r>
          </w:p>
        </w:tc>
        <w:tc>
          <w:tcPr>
            <w:tcW w:w="1285" w:type="dxa"/>
            <w:vAlign w:val="center"/>
          </w:tcPr>
          <w:p w:rsidR="007C483C" w:rsidRDefault="007F41B2">
            <w:pPr>
              <w:jc w:val="center"/>
            </w:pPr>
            <w:r>
              <w:rPr>
                <w:color w:val="000000"/>
                <w:sz w:val="24"/>
              </w:rPr>
              <w:t>0.49%</w:t>
            </w:r>
          </w:p>
        </w:tc>
        <w:tc>
          <w:tcPr>
            <w:tcW w:w="1285" w:type="dxa"/>
            <w:vAlign w:val="center"/>
          </w:tcPr>
          <w:p w:rsidR="007C483C" w:rsidRDefault="007F41B2">
            <w:pPr>
              <w:jc w:val="center"/>
            </w:pPr>
            <w:r>
              <w:rPr>
                <w:color w:val="000000"/>
                <w:sz w:val="24"/>
              </w:rPr>
              <w:t>0.00%</w:t>
            </w:r>
          </w:p>
        </w:tc>
      </w:tr>
      <w:tr w:rsidR="007C483C">
        <w:tc>
          <w:tcPr>
            <w:tcW w:w="1286" w:type="dxa"/>
            <w:vAlign w:val="center"/>
          </w:tcPr>
          <w:p w:rsidR="007C483C" w:rsidRDefault="007F41B2">
            <w:pPr>
              <w:jc w:val="left"/>
            </w:pPr>
            <w:r>
              <w:rPr>
                <w:color w:val="000000"/>
                <w:sz w:val="24"/>
              </w:rPr>
              <w:t>过去六个月</w:t>
            </w:r>
          </w:p>
        </w:tc>
        <w:tc>
          <w:tcPr>
            <w:tcW w:w="1286" w:type="dxa"/>
            <w:vAlign w:val="center"/>
          </w:tcPr>
          <w:p w:rsidR="007C483C" w:rsidRDefault="007F41B2">
            <w:pPr>
              <w:jc w:val="center"/>
            </w:pPr>
            <w:r>
              <w:rPr>
                <w:color w:val="000000"/>
                <w:sz w:val="24"/>
              </w:rPr>
              <w:t>1.31%</w:t>
            </w:r>
          </w:p>
        </w:tc>
        <w:tc>
          <w:tcPr>
            <w:tcW w:w="1286" w:type="dxa"/>
            <w:vAlign w:val="center"/>
          </w:tcPr>
          <w:p w:rsidR="007C483C" w:rsidRDefault="007F41B2">
            <w:pPr>
              <w:jc w:val="center"/>
            </w:pPr>
            <w:r>
              <w:rPr>
                <w:color w:val="000000"/>
                <w:sz w:val="24"/>
              </w:rPr>
              <w:t>0.04%</w:t>
            </w:r>
          </w:p>
        </w:tc>
        <w:tc>
          <w:tcPr>
            <w:tcW w:w="1285" w:type="dxa"/>
            <w:vAlign w:val="center"/>
          </w:tcPr>
          <w:p w:rsidR="007C483C" w:rsidRDefault="007F41B2">
            <w:pPr>
              <w:jc w:val="center"/>
            </w:pPr>
            <w:r>
              <w:rPr>
                <w:color w:val="000000"/>
                <w:sz w:val="24"/>
              </w:rPr>
              <w:t>0.76%</w:t>
            </w:r>
          </w:p>
        </w:tc>
        <w:tc>
          <w:tcPr>
            <w:tcW w:w="1285" w:type="dxa"/>
            <w:vAlign w:val="center"/>
          </w:tcPr>
          <w:p w:rsidR="007C483C" w:rsidRDefault="007F41B2">
            <w:pPr>
              <w:jc w:val="center"/>
            </w:pPr>
            <w:r>
              <w:rPr>
                <w:color w:val="000000"/>
                <w:sz w:val="24"/>
              </w:rPr>
              <w:t>0.03%</w:t>
            </w:r>
          </w:p>
        </w:tc>
        <w:tc>
          <w:tcPr>
            <w:tcW w:w="1285" w:type="dxa"/>
            <w:vAlign w:val="center"/>
          </w:tcPr>
          <w:p w:rsidR="007C483C" w:rsidRDefault="007F41B2">
            <w:pPr>
              <w:jc w:val="center"/>
            </w:pPr>
            <w:r>
              <w:rPr>
                <w:color w:val="000000"/>
                <w:sz w:val="24"/>
              </w:rPr>
              <w:t>0.55%</w:t>
            </w:r>
          </w:p>
        </w:tc>
        <w:tc>
          <w:tcPr>
            <w:tcW w:w="1285" w:type="dxa"/>
            <w:vAlign w:val="center"/>
          </w:tcPr>
          <w:p w:rsidR="007C483C" w:rsidRDefault="007F41B2">
            <w:pPr>
              <w:jc w:val="center"/>
            </w:pPr>
            <w:r>
              <w:rPr>
                <w:color w:val="000000"/>
                <w:sz w:val="24"/>
              </w:rPr>
              <w:t>0.01%</w:t>
            </w:r>
          </w:p>
        </w:tc>
      </w:tr>
      <w:tr w:rsidR="007C483C">
        <w:tc>
          <w:tcPr>
            <w:tcW w:w="1286" w:type="dxa"/>
            <w:vAlign w:val="center"/>
          </w:tcPr>
          <w:p w:rsidR="007C483C" w:rsidRDefault="007F41B2">
            <w:pPr>
              <w:jc w:val="left"/>
            </w:pPr>
            <w:r>
              <w:rPr>
                <w:color w:val="000000"/>
                <w:sz w:val="24"/>
              </w:rPr>
              <w:t>过去一年</w:t>
            </w:r>
          </w:p>
        </w:tc>
        <w:tc>
          <w:tcPr>
            <w:tcW w:w="1286" w:type="dxa"/>
            <w:vAlign w:val="center"/>
          </w:tcPr>
          <w:p w:rsidR="007C483C" w:rsidRDefault="007F41B2">
            <w:pPr>
              <w:jc w:val="center"/>
            </w:pPr>
            <w:r>
              <w:rPr>
                <w:color w:val="000000"/>
                <w:sz w:val="24"/>
              </w:rPr>
              <w:t>3.19%</w:t>
            </w:r>
          </w:p>
        </w:tc>
        <w:tc>
          <w:tcPr>
            <w:tcW w:w="1286" w:type="dxa"/>
            <w:vAlign w:val="center"/>
          </w:tcPr>
          <w:p w:rsidR="007C483C" w:rsidRDefault="007F41B2">
            <w:pPr>
              <w:jc w:val="center"/>
            </w:pPr>
            <w:r>
              <w:rPr>
                <w:color w:val="000000"/>
                <w:sz w:val="24"/>
              </w:rPr>
              <w:t>0.06%</w:t>
            </w:r>
          </w:p>
        </w:tc>
        <w:tc>
          <w:tcPr>
            <w:tcW w:w="1285" w:type="dxa"/>
            <w:vAlign w:val="center"/>
          </w:tcPr>
          <w:p w:rsidR="007C483C" w:rsidRDefault="007F41B2">
            <w:pPr>
              <w:jc w:val="center"/>
            </w:pPr>
            <w:r>
              <w:rPr>
                <w:color w:val="000000"/>
                <w:sz w:val="24"/>
              </w:rPr>
              <w:t>2.45%</w:t>
            </w:r>
          </w:p>
        </w:tc>
        <w:tc>
          <w:tcPr>
            <w:tcW w:w="1285" w:type="dxa"/>
            <w:vAlign w:val="center"/>
          </w:tcPr>
          <w:p w:rsidR="007C483C" w:rsidRDefault="007F41B2">
            <w:pPr>
              <w:jc w:val="center"/>
            </w:pPr>
            <w:r>
              <w:rPr>
                <w:color w:val="000000"/>
                <w:sz w:val="24"/>
              </w:rPr>
              <w:t>0.02%</w:t>
            </w:r>
          </w:p>
        </w:tc>
        <w:tc>
          <w:tcPr>
            <w:tcW w:w="1285" w:type="dxa"/>
            <w:vAlign w:val="center"/>
          </w:tcPr>
          <w:p w:rsidR="007C483C" w:rsidRDefault="007F41B2">
            <w:pPr>
              <w:jc w:val="center"/>
            </w:pPr>
            <w:r>
              <w:rPr>
                <w:color w:val="000000"/>
                <w:sz w:val="24"/>
              </w:rPr>
              <w:t>0.74%</w:t>
            </w:r>
          </w:p>
        </w:tc>
        <w:tc>
          <w:tcPr>
            <w:tcW w:w="1285" w:type="dxa"/>
            <w:vAlign w:val="center"/>
          </w:tcPr>
          <w:p w:rsidR="007C483C" w:rsidRDefault="007F41B2">
            <w:pPr>
              <w:jc w:val="center"/>
            </w:pPr>
            <w:r>
              <w:rPr>
                <w:color w:val="000000"/>
                <w:sz w:val="24"/>
              </w:rPr>
              <w:t>0.04%</w:t>
            </w:r>
          </w:p>
        </w:tc>
      </w:tr>
      <w:tr w:rsidR="007C483C">
        <w:tc>
          <w:tcPr>
            <w:tcW w:w="1286" w:type="dxa"/>
            <w:vAlign w:val="center"/>
          </w:tcPr>
          <w:p w:rsidR="007C483C" w:rsidRDefault="007F41B2">
            <w:pPr>
              <w:jc w:val="left"/>
            </w:pPr>
            <w:r>
              <w:rPr>
                <w:color w:val="000000"/>
                <w:sz w:val="24"/>
              </w:rPr>
              <w:t>自基金合同生效起至今</w:t>
            </w:r>
          </w:p>
        </w:tc>
        <w:tc>
          <w:tcPr>
            <w:tcW w:w="1286" w:type="dxa"/>
            <w:vAlign w:val="center"/>
          </w:tcPr>
          <w:p w:rsidR="007C483C" w:rsidRDefault="007F41B2">
            <w:pPr>
              <w:jc w:val="center"/>
            </w:pPr>
            <w:r>
              <w:rPr>
                <w:color w:val="000000"/>
                <w:sz w:val="24"/>
              </w:rPr>
              <w:t>3.54%</w:t>
            </w:r>
          </w:p>
        </w:tc>
        <w:tc>
          <w:tcPr>
            <w:tcW w:w="1286" w:type="dxa"/>
            <w:vAlign w:val="center"/>
          </w:tcPr>
          <w:p w:rsidR="007C483C" w:rsidRDefault="007F41B2">
            <w:pPr>
              <w:jc w:val="center"/>
            </w:pPr>
            <w:r>
              <w:rPr>
                <w:color w:val="000000"/>
                <w:sz w:val="24"/>
              </w:rPr>
              <w:t>0.10%</w:t>
            </w:r>
          </w:p>
        </w:tc>
        <w:tc>
          <w:tcPr>
            <w:tcW w:w="1285" w:type="dxa"/>
            <w:vAlign w:val="center"/>
          </w:tcPr>
          <w:p w:rsidR="007C483C" w:rsidRDefault="007F41B2">
            <w:pPr>
              <w:jc w:val="center"/>
            </w:pPr>
            <w:r>
              <w:rPr>
                <w:color w:val="000000"/>
                <w:sz w:val="24"/>
              </w:rPr>
              <w:t>6.35%</w:t>
            </w:r>
          </w:p>
        </w:tc>
        <w:tc>
          <w:tcPr>
            <w:tcW w:w="1285" w:type="dxa"/>
            <w:vAlign w:val="center"/>
          </w:tcPr>
          <w:p w:rsidR="007C483C" w:rsidRDefault="007F41B2">
            <w:pPr>
              <w:jc w:val="center"/>
            </w:pPr>
            <w:r>
              <w:rPr>
                <w:color w:val="000000"/>
                <w:sz w:val="24"/>
              </w:rPr>
              <w:t>0.02%</w:t>
            </w:r>
          </w:p>
        </w:tc>
        <w:tc>
          <w:tcPr>
            <w:tcW w:w="1285" w:type="dxa"/>
            <w:vAlign w:val="center"/>
          </w:tcPr>
          <w:p w:rsidR="007C483C" w:rsidRDefault="007F41B2">
            <w:pPr>
              <w:jc w:val="center"/>
            </w:pPr>
            <w:r>
              <w:rPr>
                <w:color w:val="000000"/>
                <w:sz w:val="24"/>
              </w:rPr>
              <w:t>-2.81%</w:t>
            </w:r>
          </w:p>
        </w:tc>
        <w:tc>
          <w:tcPr>
            <w:tcW w:w="1285" w:type="dxa"/>
            <w:vAlign w:val="center"/>
          </w:tcPr>
          <w:p w:rsidR="007C483C" w:rsidRDefault="007F41B2">
            <w:pPr>
              <w:jc w:val="center"/>
            </w:pPr>
            <w:r>
              <w:rPr>
                <w:color w:val="000000"/>
                <w:sz w:val="24"/>
              </w:rPr>
              <w:t>0.08%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注：本基金自</w:t>
      </w:r>
      <w:r w:rsidRPr="00FC45CB">
        <w:rPr>
          <w:kern w:val="0"/>
          <w:sz w:val="24"/>
        </w:rPr>
        <w:t>2017</w:t>
      </w:r>
      <w:r w:rsidRPr="00FC45CB">
        <w:rPr>
          <w:kern w:val="0"/>
          <w:sz w:val="24"/>
        </w:rPr>
        <w:t>年</w:t>
      </w:r>
      <w:r w:rsidRPr="00FC45CB">
        <w:rPr>
          <w:kern w:val="0"/>
          <w:sz w:val="24"/>
        </w:rPr>
        <w:t>11</w:t>
      </w:r>
      <w:r w:rsidRPr="00FC45CB">
        <w:rPr>
          <w:kern w:val="0"/>
          <w:sz w:val="24"/>
        </w:rPr>
        <w:t>月</w:t>
      </w:r>
      <w:r w:rsidRPr="00FC45CB">
        <w:rPr>
          <w:kern w:val="0"/>
          <w:sz w:val="24"/>
        </w:rPr>
        <w:t>10</w:t>
      </w:r>
      <w:r w:rsidRPr="00FC45CB">
        <w:rPr>
          <w:kern w:val="0"/>
          <w:sz w:val="24"/>
        </w:rPr>
        <w:t>日起转为开放式运作，本基金的业绩比较基准由</w:t>
      </w:r>
      <w:r w:rsidRPr="00FC45CB">
        <w:rPr>
          <w:kern w:val="0"/>
          <w:sz w:val="24"/>
        </w:rPr>
        <w:t>“</w:t>
      </w:r>
      <w:r w:rsidRPr="00FC45CB">
        <w:rPr>
          <w:kern w:val="0"/>
          <w:sz w:val="24"/>
        </w:rPr>
        <w:t>两年期银行定期存款税后收益率</w:t>
      </w:r>
      <w:r w:rsidRPr="00FC45CB">
        <w:rPr>
          <w:kern w:val="0"/>
          <w:sz w:val="24"/>
        </w:rPr>
        <w:t>+1.25%”</w:t>
      </w:r>
      <w:r w:rsidRPr="00FC45CB">
        <w:rPr>
          <w:kern w:val="0"/>
          <w:sz w:val="24"/>
        </w:rPr>
        <w:t>变更为</w:t>
      </w:r>
      <w:r w:rsidRPr="00FC45CB">
        <w:rPr>
          <w:kern w:val="0"/>
          <w:sz w:val="24"/>
        </w:rPr>
        <w:t>“</w:t>
      </w:r>
      <w:r w:rsidRPr="00FC45CB">
        <w:rPr>
          <w:kern w:val="0"/>
          <w:sz w:val="24"/>
        </w:rPr>
        <w:t>中债综合全价指数</w:t>
      </w:r>
      <w:r w:rsidRPr="00FC45CB">
        <w:rPr>
          <w:kern w:val="0"/>
          <w:sz w:val="24"/>
        </w:rPr>
        <w:t>”</w:t>
      </w:r>
      <w:r w:rsidRPr="00FC45CB">
        <w:rPr>
          <w:kern w:val="0"/>
          <w:sz w:val="24"/>
        </w:rPr>
        <w:t>。</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11</w:t>
      </w:r>
      <w:r w:rsidRPr="00B05374">
        <w:rPr>
          <w:kern w:val="0"/>
          <w:sz w:val="24"/>
        </w:rPr>
        <w:t>月</w:t>
      </w:r>
      <w:r w:rsidRPr="00B05374">
        <w:rPr>
          <w:kern w:val="0"/>
          <w:sz w:val="24"/>
        </w:rPr>
        <w:t>9</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w:t>
      </w:r>
      <w:r w:rsidRPr="00B05374">
        <w:rPr>
          <w:kern w:val="0"/>
          <w:sz w:val="24"/>
        </w:rPr>
        <w:lastRenderedPageBreak/>
        <w:t>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C483C">
        <w:tc>
          <w:tcPr>
            <w:tcW w:w="1499" w:type="dxa"/>
            <w:vAlign w:val="center"/>
          </w:tcPr>
          <w:p w:rsidR="007C483C" w:rsidRDefault="007F41B2">
            <w:pPr>
              <w:jc w:val="center"/>
            </w:pPr>
            <w:r>
              <w:rPr>
                <w:color w:val="000000"/>
                <w:sz w:val="24"/>
              </w:rPr>
              <w:t>2017</w:t>
            </w:r>
            <w:r>
              <w:rPr>
                <w:color w:val="000000"/>
                <w:sz w:val="24"/>
              </w:rPr>
              <w:t>年</w:t>
            </w:r>
          </w:p>
        </w:tc>
        <w:tc>
          <w:tcPr>
            <w:tcW w:w="1336" w:type="dxa"/>
            <w:vAlign w:val="center"/>
          </w:tcPr>
          <w:p w:rsidR="007C483C" w:rsidRDefault="007F41B2">
            <w:pPr>
              <w:jc w:val="right"/>
            </w:pPr>
            <w:r>
              <w:rPr>
                <w:color w:val="000000"/>
                <w:sz w:val="24"/>
              </w:rPr>
              <w:t>-</w:t>
            </w:r>
          </w:p>
        </w:tc>
        <w:tc>
          <w:tcPr>
            <w:tcW w:w="1663" w:type="dxa"/>
            <w:vAlign w:val="center"/>
          </w:tcPr>
          <w:p w:rsidR="007C483C" w:rsidRDefault="007F41B2">
            <w:pPr>
              <w:jc w:val="right"/>
            </w:pPr>
            <w:r>
              <w:rPr>
                <w:color w:val="000000"/>
                <w:sz w:val="24"/>
              </w:rPr>
              <w:t>-</w:t>
            </w:r>
          </w:p>
        </w:tc>
        <w:tc>
          <w:tcPr>
            <w:tcW w:w="1739" w:type="dxa"/>
            <w:vAlign w:val="center"/>
          </w:tcPr>
          <w:p w:rsidR="007C483C" w:rsidRDefault="007F41B2">
            <w:pPr>
              <w:jc w:val="right"/>
            </w:pPr>
            <w:r>
              <w:rPr>
                <w:color w:val="000000"/>
                <w:sz w:val="24"/>
              </w:rPr>
              <w:t>-</w:t>
            </w:r>
          </w:p>
        </w:tc>
        <w:tc>
          <w:tcPr>
            <w:tcW w:w="1701" w:type="dxa"/>
            <w:vAlign w:val="center"/>
          </w:tcPr>
          <w:p w:rsidR="007C483C" w:rsidRDefault="007F41B2">
            <w:pPr>
              <w:jc w:val="right"/>
            </w:pPr>
            <w:r>
              <w:rPr>
                <w:color w:val="000000"/>
                <w:sz w:val="24"/>
              </w:rPr>
              <w:t>-</w:t>
            </w:r>
          </w:p>
        </w:tc>
        <w:tc>
          <w:tcPr>
            <w:tcW w:w="1060" w:type="dxa"/>
            <w:vAlign w:val="center"/>
          </w:tcPr>
          <w:p w:rsidR="007C483C" w:rsidRDefault="007F41B2">
            <w:pPr>
              <w:jc w:val="left"/>
            </w:pPr>
            <w:r>
              <w:rPr>
                <w:color w:val="000000"/>
                <w:sz w:val="24"/>
              </w:rPr>
              <w:t>-</w:t>
            </w:r>
          </w:p>
        </w:tc>
      </w:tr>
      <w:tr w:rsidR="007C483C">
        <w:tc>
          <w:tcPr>
            <w:tcW w:w="1499" w:type="dxa"/>
            <w:vAlign w:val="center"/>
          </w:tcPr>
          <w:p w:rsidR="007C483C" w:rsidRDefault="007F41B2">
            <w:pPr>
              <w:jc w:val="center"/>
            </w:pPr>
            <w:r>
              <w:rPr>
                <w:color w:val="000000"/>
                <w:sz w:val="24"/>
              </w:rPr>
              <w:t>2016</w:t>
            </w:r>
            <w:r>
              <w:rPr>
                <w:color w:val="000000"/>
                <w:sz w:val="24"/>
              </w:rPr>
              <w:t>年</w:t>
            </w:r>
          </w:p>
        </w:tc>
        <w:tc>
          <w:tcPr>
            <w:tcW w:w="1336" w:type="dxa"/>
            <w:vAlign w:val="center"/>
          </w:tcPr>
          <w:p w:rsidR="007C483C" w:rsidRDefault="007F41B2">
            <w:pPr>
              <w:jc w:val="right"/>
            </w:pPr>
            <w:r>
              <w:rPr>
                <w:color w:val="000000"/>
                <w:sz w:val="24"/>
              </w:rPr>
              <w:t>0.330</w:t>
            </w:r>
          </w:p>
        </w:tc>
        <w:tc>
          <w:tcPr>
            <w:tcW w:w="1663" w:type="dxa"/>
            <w:vAlign w:val="center"/>
          </w:tcPr>
          <w:p w:rsidR="007C483C" w:rsidRDefault="007F41B2">
            <w:pPr>
              <w:jc w:val="right"/>
            </w:pPr>
            <w:r>
              <w:rPr>
                <w:color w:val="000000"/>
                <w:sz w:val="24"/>
              </w:rPr>
              <w:t>14,474,812.58</w:t>
            </w:r>
          </w:p>
        </w:tc>
        <w:tc>
          <w:tcPr>
            <w:tcW w:w="1739" w:type="dxa"/>
            <w:vAlign w:val="center"/>
          </w:tcPr>
          <w:p w:rsidR="007C483C" w:rsidRDefault="007F41B2">
            <w:pPr>
              <w:jc w:val="right"/>
            </w:pPr>
            <w:r>
              <w:rPr>
                <w:color w:val="000000"/>
                <w:sz w:val="24"/>
              </w:rPr>
              <w:t>-</w:t>
            </w:r>
          </w:p>
        </w:tc>
        <w:tc>
          <w:tcPr>
            <w:tcW w:w="1701" w:type="dxa"/>
            <w:vAlign w:val="center"/>
          </w:tcPr>
          <w:p w:rsidR="007C483C" w:rsidRDefault="007F41B2">
            <w:pPr>
              <w:jc w:val="right"/>
            </w:pPr>
            <w:r>
              <w:rPr>
                <w:color w:val="000000"/>
                <w:sz w:val="24"/>
              </w:rPr>
              <w:t>14,474,812.58</w:t>
            </w:r>
          </w:p>
        </w:tc>
        <w:tc>
          <w:tcPr>
            <w:tcW w:w="1060" w:type="dxa"/>
            <w:vAlign w:val="center"/>
          </w:tcPr>
          <w:p w:rsidR="007C483C" w:rsidRDefault="007F41B2">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0.330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14,474,812.58</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14,474,812.58</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C483C" w:rsidRDefault="007F41B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C483C">
        <w:tc>
          <w:tcPr>
            <w:tcW w:w="1499" w:type="dxa"/>
            <w:vAlign w:val="center"/>
          </w:tcPr>
          <w:p w:rsidR="007C483C" w:rsidRDefault="007F41B2">
            <w:pPr>
              <w:jc w:val="center"/>
            </w:pPr>
            <w:r>
              <w:rPr>
                <w:color w:val="000000"/>
                <w:sz w:val="24"/>
              </w:rPr>
              <w:t>于海颖</w:t>
            </w:r>
          </w:p>
        </w:tc>
        <w:tc>
          <w:tcPr>
            <w:tcW w:w="1499" w:type="dxa"/>
            <w:vAlign w:val="center"/>
          </w:tcPr>
          <w:p w:rsidR="007C483C" w:rsidRDefault="007F41B2">
            <w:pPr>
              <w:jc w:val="center"/>
            </w:pPr>
            <w:r>
              <w:rPr>
                <w:color w:val="000000"/>
                <w:sz w:val="24"/>
              </w:rPr>
              <w:t>交银增利债券、交银纯债债券发起、交银荣祥保本混合、交银定期支付月月</w:t>
            </w:r>
            <w:r>
              <w:rPr>
                <w:color w:val="000000"/>
                <w:sz w:val="24"/>
              </w:rPr>
              <w:lastRenderedPageBreak/>
              <w:t>丰债券、交银增强收益债券、交银强化回报债券、交银丰盈收益债券、交银丰硕收益债券、交银荣鑫保本混合、交银增利增强债券的基金经理，公司固定收益（公募）投资总监</w:t>
            </w:r>
          </w:p>
        </w:tc>
        <w:tc>
          <w:tcPr>
            <w:tcW w:w="1500" w:type="dxa"/>
            <w:vAlign w:val="center"/>
          </w:tcPr>
          <w:p w:rsidR="007C483C" w:rsidRDefault="007F41B2">
            <w:pPr>
              <w:jc w:val="center"/>
            </w:pPr>
            <w:r>
              <w:rPr>
                <w:color w:val="000000"/>
                <w:sz w:val="24"/>
              </w:rPr>
              <w:lastRenderedPageBreak/>
              <w:t>2017-06-10</w:t>
            </w:r>
          </w:p>
        </w:tc>
        <w:tc>
          <w:tcPr>
            <w:tcW w:w="1500" w:type="dxa"/>
            <w:vAlign w:val="center"/>
          </w:tcPr>
          <w:p w:rsidR="007C483C" w:rsidRDefault="007F41B2">
            <w:pPr>
              <w:jc w:val="center"/>
            </w:pPr>
            <w:r>
              <w:rPr>
                <w:color w:val="000000"/>
                <w:sz w:val="24"/>
              </w:rPr>
              <w:t>-</w:t>
            </w:r>
          </w:p>
        </w:tc>
        <w:tc>
          <w:tcPr>
            <w:tcW w:w="1090" w:type="dxa"/>
            <w:vAlign w:val="center"/>
          </w:tcPr>
          <w:p w:rsidR="007C483C" w:rsidRDefault="007F41B2">
            <w:pPr>
              <w:jc w:val="center"/>
            </w:pPr>
            <w:r>
              <w:rPr>
                <w:color w:val="000000"/>
                <w:sz w:val="24"/>
              </w:rPr>
              <w:t>11</w:t>
            </w:r>
            <w:r>
              <w:rPr>
                <w:color w:val="000000"/>
                <w:sz w:val="24"/>
              </w:rPr>
              <w:t>年</w:t>
            </w:r>
          </w:p>
        </w:tc>
        <w:tc>
          <w:tcPr>
            <w:tcW w:w="1910" w:type="dxa"/>
            <w:vAlign w:val="center"/>
          </w:tcPr>
          <w:p w:rsidR="007C483C" w:rsidRDefault="007F41B2">
            <w:r>
              <w:rPr>
                <w:color w:val="000000"/>
                <w:sz w:val="24"/>
              </w:rPr>
              <w:t>于海颖女士，天津大学数量经济学硕士、经济学学士。历任北方国际信托投资股份有限公司固定收益研究员，光</w:t>
            </w:r>
            <w:r>
              <w:rPr>
                <w:color w:val="000000"/>
                <w:sz w:val="24"/>
              </w:rPr>
              <w:lastRenderedPageBreak/>
              <w:t>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w:t>
            </w:r>
            <w:r>
              <w:rPr>
                <w:color w:val="000000"/>
                <w:sz w:val="24"/>
              </w:rPr>
              <w:lastRenderedPageBreak/>
              <w:t>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7C483C">
        <w:tc>
          <w:tcPr>
            <w:tcW w:w="1499" w:type="dxa"/>
            <w:vAlign w:val="center"/>
          </w:tcPr>
          <w:p w:rsidR="007C483C" w:rsidRDefault="007F41B2">
            <w:pPr>
              <w:jc w:val="center"/>
            </w:pPr>
            <w:r>
              <w:rPr>
                <w:color w:val="000000"/>
                <w:sz w:val="24"/>
              </w:rPr>
              <w:lastRenderedPageBreak/>
              <w:t>孙超</w:t>
            </w:r>
          </w:p>
        </w:tc>
        <w:tc>
          <w:tcPr>
            <w:tcW w:w="1499" w:type="dxa"/>
            <w:vAlign w:val="center"/>
          </w:tcPr>
          <w:p w:rsidR="007C483C" w:rsidRDefault="007F41B2">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500" w:type="dxa"/>
            <w:vAlign w:val="center"/>
          </w:tcPr>
          <w:p w:rsidR="007C483C" w:rsidRDefault="007F41B2">
            <w:pPr>
              <w:jc w:val="center"/>
            </w:pPr>
            <w:r>
              <w:rPr>
                <w:color w:val="000000"/>
                <w:sz w:val="24"/>
              </w:rPr>
              <w:t>2015-11-09</w:t>
            </w:r>
          </w:p>
        </w:tc>
        <w:tc>
          <w:tcPr>
            <w:tcW w:w="1500" w:type="dxa"/>
            <w:vAlign w:val="center"/>
          </w:tcPr>
          <w:p w:rsidR="007C483C" w:rsidRDefault="007F41B2">
            <w:pPr>
              <w:jc w:val="center"/>
            </w:pPr>
            <w:r>
              <w:rPr>
                <w:color w:val="000000"/>
                <w:sz w:val="24"/>
              </w:rPr>
              <w:t>2017-06-22</w:t>
            </w:r>
          </w:p>
        </w:tc>
        <w:tc>
          <w:tcPr>
            <w:tcW w:w="1090" w:type="dxa"/>
            <w:vAlign w:val="center"/>
          </w:tcPr>
          <w:p w:rsidR="007C483C" w:rsidRDefault="007F41B2">
            <w:pPr>
              <w:jc w:val="center"/>
            </w:pPr>
            <w:r>
              <w:rPr>
                <w:color w:val="000000"/>
                <w:sz w:val="24"/>
              </w:rPr>
              <w:t>6</w:t>
            </w:r>
            <w:r>
              <w:rPr>
                <w:color w:val="000000"/>
                <w:sz w:val="24"/>
              </w:rPr>
              <w:t>年</w:t>
            </w:r>
          </w:p>
        </w:tc>
        <w:tc>
          <w:tcPr>
            <w:tcW w:w="1910" w:type="dxa"/>
            <w:vAlign w:val="center"/>
          </w:tcPr>
          <w:p w:rsidR="007C483C" w:rsidRDefault="007F41B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w:t>
            </w:r>
            <w:r>
              <w:rPr>
                <w:color w:val="000000"/>
                <w:sz w:val="24"/>
              </w:rPr>
              <w:lastRenderedPageBreak/>
              <w:t>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lastRenderedPageBreak/>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7C483C">
        <w:tc>
          <w:tcPr>
            <w:tcW w:w="1499" w:type="dxa"/>
            <w:vAlign w:val="center"/>
          </w:tcPr>
          <w:p w:rsidR="007C483C" w:rsidRDefault="007F41B2">
            <w:pPr>
              <w:jc w:val="center"/>
            </w:pPr>
            <w:r>
              <w:rPr>
                <w:color w:val="000000"/>
                <w:sz w:val="24"/>
              </w:rPr>
              <w:lastRenderedPageBreak/>
              <w:t>魏玉敏</w:t>
            </w:r>
          </w:p>
        </w:tc>
        <w:tc>
          <w:tcPr>
            <w:tcW w:w="1499" w:type="dxa"/>
            <w:vAlign w:val="center"/>
          </w:tcPr>
          <w:p w:rsidR="007C483C" w:rsidRDefault="007F41B2">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500" w:type="dxa"/>
            <w:vAlign w:val="center"/>
          </w:tcPr>
          <w:p w:rsidR="007C483C" w:rsidRDefault="007F41B2">
            <w:pPr>
              <w:jc w:val="center"/>
            </w:pPr>
            <w:r>
              <w:rPr>
                <w:color w:val="000000"/>
                <w:sz w:val="24"/>
              </w:rPr>
              <w:t>2017-05-24</w:t>
            </w:r>
          </w:p>
        </w:tc>
        <w:tc>
          <w:tcPr>
            <w:tcW w:w="1500" w:type="dxa"/>
            <w:vAlign w:val="center"/>
          </w:tcPr>
          <w:p w:rsidR="007C483C" w:rsidRDefault="007F41B2">
            <w:pPr>
              <w:jc w:val="center"/>
            </w:pPr>
            <w:r>
              <w:rPr>
                <w:color w:val="000000"/>
                <w:sz w:val="24"/>
              </w:rPr>
              <w:t>-</w:t>
            </w:r>
          </w:p>
        </w:tc>
        <w:tc>
          <w:tcPr>
            <w:tcW w:w="1090" w:type="dxa"/>
            <w:vAlign w:val="center"/>
          </w:tcPr>
          <w:p w:rsidR="007C483C" w:rsidRDefault="007F41B2">
            <w:pPr>
              <w:jc w:val="center"/>
            </w:pPr>
            <w:r>
              <w:rPr>
                <w:color w:val="000000"/>
                <w:sz w:val="24"/>
              </w:rPr>
              <w:t>5</w:t>
            </w:r>
            <w:r>
              <w:rPr>
                <w:color w:val="000000"/>
                <w:sz w:val="24"/>
              </w:rPr>
              <w:t>年</w:t>
            </w:r>
          </w:p>
        </w:tc>
        <w:tc>
          <w:tcPr>
            <w:tcW w:w="1910" w:type="dxa"/>
            <w:vAlign w:val="center"/>
          </w:tcPr>
          <w:p w:rsidR="007C483C" w:rsidRDefault="007F41B2">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7C483C" w:rsidRDefault="007F41B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C483C" w:rsidRDefault="007F41B2">
      <w:pPr>
        <w:tabs>
          <w:tab w:val="left" w:pos="426"/>
        </w:tabs>
        <w:spacing w:before="29" w:line="288" w:lineRule="auto"/>
        <w:jc w:val="left"/>
        <w:rPr>
          <w:kern w:val="0"/>
          <w:sz w:val="24"/>
        </w:rPr>
      </w:pPr>
      <w:r>
        <w:rPr>
          <w:kern w:val="0"/>
          <w:sz w:val="24"/>
        </w:rPr>
        <w:lastRenderedPageBreak/>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7C483C" w:rsidRDefault="007F41B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C483C" w:rsidRDefault="007F41B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C483C" w:rsidRDefault="007F41B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C483C" w:rsidRDefault="007F41B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483C" w:rsidRDefault="007F41B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C483C" w:rsidRDefault="007F41B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sidRPr="0013437B">
        <w:rPr>
          <w:color w:val="000000"/>
          <w:sz w:val="24"/>
        </w:rPr>
        <w:lastRenderedPageBreak/>
        <w:t>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7C483C" w:rsidRDefault="007F41B2">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报告期内，本组合</w:t>
      </w:r>
      <w:r w:rsidRPr="0013437B">
        <w:rPr>
          <w:color w:val="000000"/>
          <w:sz w:val="24"/>
        </w:rPr>
        <w:t>2017</w:t>
      </w:r>
      <w:r w:rsidRPr="0013437B">
        <w:rPr>
          <w:color w:val="000000"/>
          <w:sz w:val="24"/>
        </w:rPr>
        <w:t>年面临封闭期结束后转开放的运作，在封闭期内，组合主要持有与封闭期限对应的高票息资产，取得了稳定的套息收益，在四季度封闭期到期后组合主要配置高流动性资产，在保持较高组合静态收益的基础上，满足组合规模变动需求。</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1.002</w:t>
      </w:r>
      <w:r w:rsidRPr="0013437B">
        <w:rPr>
          <w:color w:val="000000"/>
          <w:sz w:val="24"/>
        </w:rPr>
        <w:t>元，本报告期份额净值增长率为</w:t>
      </w:r>
      <w:r w:rsidRPr="0013437B">
        <w:rPr>
          <w:color w:val="000000"/>
          <w:sz w:val="24"/>
        </w:rPr>
        <w:t>3.19%</w:t>
      </w:r>
      <w:r w:rsidRPr="0013437B">
        <w:rPr>
          <w:color w:val="000000"/>
          <w:sz w:val="24"/>
        </w:rPr>
        <w:t>，同期业绩比较基准增长率为</w:t>
      </w:r>
      <w:r w:rsidRPr="0013437B">
        <w:rPr>
          <w:color w:val="000000"/>
          <w:sz w:val="24"/>
        </w:rPr>
        <w:t>2.45%</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7C483C" w:rsidRDefault="007F41B2">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w:t>
      </w:r>
      <w:r>
        <w:rPr>
          <w:color w:val="000000"/>
          <w:sz w:val="24"/>
        </w:rPr>
        <w:lastRenderedPageBreak/>
        <w:t>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13437B" w:rsidRDefault="001A59F9" w:rsidP="0013437B">
      <w:pPr>
        <w:spacing w:before="29" w:line="288" w:lineRule="auto"/>
        <w:ind w:firstLineChars="200" w:firstLine="480"/>
        <w:rPr>
          <w:color w:val="000000"/>
          <w:sz w:val="24"/>
        </w:rPr>
      </w:pPr>
      <w:r w:rsidRPr="0013437B">
        <w:rPr>
          <w:color w:val="000000"/>
          <w:sz w:val="24"/>
        </w:rPr>
        <w:t>在组合操作方面，未来组合将继续根据组合规模变动情况，动态地进行各类资产的优化配置。考虑到组合规模较小，我们将关注交易所各类债券品种的投资机会，利率债以波段操作为主，信用债以票息收益为主要收益来源，关注中短久期信用品种的投资机会。</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C483C" w:rsidRDefault="007F41B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C483C" w:rsidRDefault="007F41B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lastRenderedPageBreak/>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作为本基金的托管人，中信银行严格遵守了《证券投资基金法》及其他有关法律法规、基金合同和托管协议的规定，对交银施罗德丰硕收益债券证券投资基金</w:t>
      </w:r>
      <w:r w:rsidRPr="0013437B">
        <w:rPr>
          <w:color w:val="000000"/>
          <w:sz w:val="24"/>
        </w:rPr>
        <w:t>2017</w:t>
      </w:r>
      <w:r w:rsidRPr="0013437B">
        <w:rPr>
          <w:color w:val="000000"/>
          <w:sz w:val="24"/>
        </w:rPr>
        <w:t>年度的投资运作，进行了认真、独立的会计核算和必要的投资监督，认真履行了托管人的义务，不存在任何损害基金份额持有人利益的行为。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丰硕收益债券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丰硕收益债券证券投资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交银施罗德丰硕收益债券型证券投资基金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交银施罗德丰硕收益债券型证券投资基金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lastRenderedPageBreak/>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522,281.43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3,394,086.10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8,609,090.91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11,993,619.32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13,261.51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35,823.27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33,770,800.00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760,065,794.00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33,770,800.00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702,065,794.00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58,000,000.00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19,101.37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234,000.00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531,853.80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11,213,751.95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54,266,389.02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786,937,074.64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359,999,650.00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80,126.85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44,210.09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293,066.79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8,289.38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54,950.04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33,157.55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219,800.08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9,856.51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9,873.44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194,599.50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306,000.00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475,640.38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361,077,939.85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53,688,629.82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438,630,665.79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102,118.82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-12,771,531.00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53,790,748.64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425,859,134.79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54,266,389.02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786,937,074.64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w:t>
      </w:r>
      <w:r w:rsidR="001A59F9" w:rsidRPr="00AA0214">
        <w:rPr>
          <w:kern w:val="0"/>
          <w:sz w:val="24"/>
        </w:rPr>
        <w:t>C</w:t>
      </w:r>
      <w:r w:rsidR="001A59F9" w:rsidRPr="00AA0214">
        <w:rPr>
          <w:kern w:val="0"/>
          <w:sz w:val="24"/>
        </w:rPr>
        <w:t>类基金份额净值</w:t>
      </w:r>
      <w:r w:rsidR="001A59F9" w:rsidRPr="00AA0214">
        <w:rPr>
          <w:kern w:val="0"/>
          <w:sz w:val="24"/>
        </w:rPr>
        <w:t>1.002</w:t>
      </w:r>
      <w:r w:rsidR="001A59F9" w:rsidRPr="00AA0214">
        <w:rPr>
          <w:kern w:val="0"/>
          <w:sz w:val="24"/>
        </w:rPr>
        <w:t>元，</w:t>
      </w:r>
      <w:r w:rsidR="001A59F9" w:rsidRPr="00AA0214">
        <w:rPr>
          <w:kern w:val="0"/>
          <w:sz w:val="24"/>
        </w:rPr>
        <w:t>C</w:t>
      </w:r>
      <w:r w:rsidR="001A59F9" w:rsidRPr="00AA0214">
        <w:rPr>
          <w:kern w:val="0"/>
          <w:sz w:val="24"/>
        </w:rPr>
        <w:t>类基金份额总额</w:t>
      </w:r>
      <w:r w:rsidR="001A59F9" w:rsidRPr="00AA0214">
        <w:rPr>
          <w:kern w:val="0"/>
          <w:sz w:val="24"/>
        </w:rPr>
        <w:t>53,688,629.82</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交银施罗德丰硕收益债券型证券投资基金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25,418,367.40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14,197,249.74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22,900,180.54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23,233,446.81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165,681.53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458,160.29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19,705,503.17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20,873,847.18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2,538,168.13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1,899,467.12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490,827.71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1,972.22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-10,973,928.83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6,106,986.85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lastRenderedPageBreak/>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-10,762,093.67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6,203,512.88</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-211,835.16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-96,526.03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13,492,115.69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-15,143,183.92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12,177,969.33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14,612,755.29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3,094,715.99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3,568,241.20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580,259.26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669,045.18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2,321,036.93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2,676,180.94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13,328.60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9,461.37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5,812,149.79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7,339,316.02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5,812,149.79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7,339,316.02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356,478.76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350,510.58</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13,240,398.07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-415,505.55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13,240,398.07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-415,505.55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交银施罗德丰硕收益债券型证券投资基金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-12,771,531.00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425,859,134.79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w:t>
            </w:r>
            <w:r w:rsidRPr="00D34C2B">
              <w:rPr>
                <w:rFonts w:hint="eastAsia"/>
                <w:color w:val="000000"/>
                <w:sz w:val="24"/>
              </w:rPr>
              <w:lastRenderedPageBreak/>
              <w:t>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13,240,398.07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13,240,398.07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-384,942,035.97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-366,748.25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-385,308,784.22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999.00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1,000.00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-384,943,034.97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-366,749.25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-385,309,784.22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53,688,629.82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102,118.82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53,790,748.64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2,118,787.13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440,749,452.92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-415,505.55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-415,505.55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-14,474,812.58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-14,474,812.58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438,630,665.79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-12,771,531.00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425,859,134.79</w:t>
            </w:r>
          </w:p>
        </w:tc>
      </w:tr>
    </w:tbl>
    <w:p w:rsidR="001F790F" w:rsidRPr="00AF31CF" w:rsidRDefault="001F790F" w:rsidP="00AF31CF">
      <w:pPr>
        <w:spacing w:before="29" w:line="288" w:lineRule="auto"/>
        <w:rPr>
          <w:sz w:val="24"/>
        </w:rPr>
      </w:pPr>
      <w:r w:rsidRPr="00AF31CF">
        <w:rPr>
          <w:rFonts w:hint="eastAsia"/>
          <w:sz w:val="24"/>
        </w:rPr>
        <w:lastRenderedPageBreak/>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C483C" w:rsidRDefault="007F41B2" w:rsidP="003B685F">
      <w:pPr>
        <w:spacing w:before="29" w:line="288" w:lineRule="auto"/>
        <w:ind w:firstLineChars="200" w:firstLine="480"/>
        <w:rPr>
          <w:color w:val="000000"/>
          <w:sz w:val="24"/>
        </w:rPr>
      </w:pPr>
      <w:r>
        <w:rPr>
          <w:color w:val="000000"/>
          <w:sz w:val="24"/>
        </w:rPr>
        <w:t>交银施罗德丰硕收益债券型证券投资基金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[2015]2267</w:t>
      </w:r>
      <w:r>
        <w:rPr>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，封闭期满后转为开放式基金。本基金首次设立募集不包括认购资金利息共募集人民币</w:t>
      </w:r>
      <w:r>
        <w:rPr>
          <w:color w:val="000000"/>
          <w:sz w:val="24"/>
        </w:rPr>
        <w:t>438,442,304.66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1235</w:t>
      </w:r>
      <w:r>
        <w:rPr>
          <w:color w:val="000000"/>
          <w:sz w:val="24"/>
        </w:rPr>
        <w:t>号验资报告予以验证。经向中国证监会备案，《交银施罗德丰硕收益债券型证券投资基金基金合同》于</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日正式生效，基金合同生效日的基金份额总额为</w:t>
      </w:r>
      <w:r>
        <w:rPr>
          <w:color w:val="000000"/>
          <w:sz w:val="24"/>
        </w:rPr>
        <w:t>438,630,665.79</w:t>
      </w:r>
      <w:r>
        <w:rPr>
          <w:color w:val="000000"/>
          <w:sz w:val="24"/>
        </w:rPr>
        <w:t>份基金份额，其中认购资金利息折合</w:t>
      </w:r>
      <w:r>
        <w:rPr>
          <w:color w:val="000000"/>
          <w:sz w:val="24"/>
        </w:rPr>
        <w:t>188,361.13</w:t>
      </w:r>
      <w:r>
        <w:rPr>
          <w:color w:val="000000"/>
          <w:sz w:val="24"/>
        </w:rPr>
        <w:t>份基金份额。本基金的基金管理人为交银施罗德基金管理有限公司，基金托管人为中信银行股份有限公司。</w:t>
      </w:r>
    </w:p>
    <w:p w:rsidR="007C483C" w:rsidRDefault="007C483C">
      <w:pPr>
        <w:spacing w:before="29" w:line="288" w:lineRule="auto"/>
        <w:ind w:firstLineChars="200" w:firstLine="480"/>
        <w:rPr>
          <w:color w:val="000000"/>
          <w:sz w:val="24"/>
        </w:rPr>
      </w:pPr>
    </w:p>
    <w:p w:rsidR="007C483C" w:rsidRDefault="007F41B2">
      <w:pPr>
        <w:spacing w:before="29" w:line="288" w:lineRule="auto"/>
        <w:ind w:firstLineChars="200" w:firstLine="480"/>
        <w:rPr>
          <w:color w:val="000000"/>
          <w:sz w:val="24"/>
        </w:rPr>
      </w:pPr>
      <w:r>
        <w:rPr>
          <w:color w:val="000000"/>
          <w:sz w:val="24"/>
        </w:rPr>
        <w:t>根据《交银施罗德丰硕收益债券型证券投资基金基金合同》和《交银施罗德丰硕收益债券型证券投资基金招募说明书》，本基金根据认购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类基金份额的申购。根据《关于交银施罗德丰硕收益债券型证券投资基金封闭期结束转为开放式运作暨开放日常申购、赎回业务的公告》的相关规定，本基金封闭期自</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11</w:t>
      </w:r>
      <w:r>
        <w:rPr>
          <w:color w:val="000000"/>
          <w:sz w:val="24"/>
        </w:rPr>
        <w:t>月</w:t>
      </w:r>
      <w:r>
        <w:rPr>
          <w:color w:val="000000"/>
          <w:sz w:val="24"/>
        </w:rPr>
        <w:t>9</w:t>
      </w:r>
      <w:r>
        <w:rPr>
          <w:color w:val="000000"/>
          <w:sz w:val="24"/>
        </w:rPr>
        <w:t>日止，自</w:t>
      </w:r>
      <w:r>
        <w:rPr>
          <w:color w:val="000000"/>
          <w:sz w:val="24"/>
        </w:rPr>
        <w:t>2017</w:t>
      </w:r>
      <w:r>
        <w:rPr>
          <w:color w:val="000000"/>
          <w:sz w:val="24"/>
        </w:rPr>
        <w:t>年</w:t>
      </w:r>
      <w:r>
        <w:rPr>
          <w:color w:val="000000"/>
          <w:sz w:val="24"/>
        </w:rPr>
        <w:t>11</w:t>
      </w:r>
      <w:r>
        <w:rPr>
          <w:color w:val="000000"/>
          <w:sz w:val="24"/>
        </w:rPr>
        <w:t>月</w:t>
      </w:r>
      <w:r>
        <w:rPr>
          <w:color w:val="000000"/>
          <w:sz w:val="24"/>
        </w:rPr>
        <w:t>10</w:t>
      </w:r>
      <w:r>
        <w:rPr>
          <w:color w:val="000000"/>
          <w:sz w:val="24"/>
        </w:rPr>
        <w:t>日起转为开放式运作，自该日起开始办理日常申购、赎回业务。</w:t>
      </w:r>
    </w:p>
    <w:p w:rsidR="007C483C" w:rsidRDefault="007C483C">
      <w:pPr>
        <w:spacing w:before="29" w:line="288" w:lineRule="auto"/>
        <w:ind w:firstLineChars="200" w:firstLine="480"/>
        <w:rPr>
          <w:color w:val="000000"/>
          <w:sz w:val="24"/>
        </w:rPr>
      </w:pPr>
    </w:p>
    <w:p w:rsidR="007C483C" w:rsidRDefault="007F41B2">
      <w:pPr>
        <w:spacing w:before="29" w:line="288" w:lineRule="auto"/>
        <w:ind w:firstLineChars="200" w:firstLine="480"/>
        <w:rPr>
          <w:color w:val="000000"/>
          <w:sz w:val="24"/>
        </w:rPr>
      </w:pPr>
      <w:r>
        <w:rPr>
          <w:color w:val="000000"/>
          <w:sz w:val="24"/>
        </w:rPr>
        <w:t>根据《中华人民共和国证券投资基金法》和《交银施罗德丰硕收益债券型证券投资基金基金合同》的有关规定，本基金的投资范围为具有良好流动性的金融工具，包括国内依法发行上市的国债、金融债、央行票据、地方政府债、企业债、公司债、分离交易可转债的纯债、次级债、资产支持证券、短期融资券、中期票据、非公开发行公司债、债券回购、银行存款、货币市场工具等固定收益类资产和法律法规允许投资的其他金融</w:t>
      </w:r>
      <w:r>
        <w:rPr>
          <w:color w:val="000000"/>
          <w:sz w:val="24"/>
        </w:rPr>
        <w:lastRenderedPageBreak/>
        <w:t>工具。其中，封闭期内，本基金所投企业债和公司债信用评级需在</w:t>
      </w:r>
      <w:r>
        <w:rPr>
          <w:color w:val="000000"/>
          <w:sz w:val="24"/>
        </w:rPr>
        <w:t>AA</w:t>
      </w:r>
      <w:r>
        <w:rPr>
          <w:color w:val="000000"/>
          <w:sz w:val="24"/>
        </w:rPr>
        <w:t>级</w:t>
      </w:r>
      <w:r>
        <w:rPr>
          <w:color w:val="000000"/>
          <w:sz w:val="24"/>
        </w:rPr>
        <w:t>(</w:t>
      </w:r>
      <w:r>
        <w:rPr>
          <w:color w:val="000000"/>
          <w:sz w:val="24"/>
        </w:rPr>
        <w:t>含</w:t>
      </w:r>
      <w:r>
        <w:rPr>
          <w:color w:val="000000"/>
          <w:sz w:val="24"/>
        </w:rPr>
        <w:t>)</w:t>
      </w:r>
      <w:r>
        <w:rPr>
          <w:color w:val="000000"/>
          <w:sz w:val="24"/>
        </w:rPr>
        <w:t>以上。本基金不投资股票、权证等权益类资产。同时本基金不参与可转换债券投资</w:t>
      </w:r>
      <w:r>
        <w:rPr>
          <w:color w:val="000000"/>
          <w:sz w:val="24"/>
        </w:rPr>
        <w:t>(</w:t>
      </w:r>
      <w:r>
        <w:rPr>
          <w:color w:val="000000"/>
          <w:sz w:val="24"/>
        </w:rPr>
        <w:t>分离交易可转债的纯债部分除外</w:t>
      </w:r>
      <w:r>
        <w:rPr>
          <w:color w:val="000000"/>
          <w:sz w:val="24"/>
        </w:rPr>
        <w:t>)</w:t>
      </w:r>
      <w:r>
        <w:rPr>
          <w:color w:val="000000"/>
          <w:sz w:val="24"/>
        </w:rPr>
        <w:t>。基金的投资组合比例为：债券资产的比例不低于基金资产的</w:t>
      </w:r>
      <w:r>
        <w:rPr>
          <w:color w:val="000000"/>
          <w:sz w:val="24"/>
        </w:rPr>
        <w:t>80%</w:t>
      </w:r>
      <w:r>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。本基金封闭期内投资的业绩比较基准为两年期银行定期存款税后收益率</w:t>
      </w:r>
      <w:r>
        <w:rPr>
          <w:color w:val="000000"/>
          <w:sz w:val="24"/>
        </w:rPr>
        <w:t>+1.25%</w:t>
      </w:r>
      <w:r>
        <w:rPr>
          <w:color w:val="000000"/>
          <w:sz w:val="24"/>
        </w:rPr>
        <w:t>，转为开放式运作后业绩比较基准为中债综合全价指数。</w:t>
      </w:r>
    </w:p>
    <w:p w:rsidR="007C483C" w:rsidRDefault="007C483C">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bookmarkStart w:id="60" w:name="_GoBack"/>
      <w:bookmarkEnd w:id="60"/>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C483C" w:rsidRDefault="007F41B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颁布的《证券投资基金会计核算业务指引》、《交银施罗德丰硕收益债券型证券投资基金基金合同》和在财务报表附注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C483C" w:rsidRDefault="007F41B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C483C" w:rsidRDefault="007F41B2">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p>
    <w:p w:rsidR="007C483C" w:rsidRDefault="007F41B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对基金取得的企业债券利息收入，应由发行债券的企业在向基金支付利息时代扣代缴</w:t>
      </w:r>
      <w:r w:rsidRPr="002F6772">
        <w:rPr>
          <w:color w:val="000000"/>
          <w:sz w:val="24"/>
        </w:rPr>
        <w:t>20%</w:t>
      </w:r>
      <w:r w:rsidRPr="002F6772">
        <w:rPr>
          <w:color w:val="000000"/>
          <w:sz w:val="24"/>
        </w:rPr>
        <w:t>的个人所得税。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C483C">
        <w:tc>
          <w:tcPr>
            <w:tcW w:w="5220" w:type="dxa"/>
            <w:vAlign w:val="center"/>
          </w:tcPr>
          <w:p w:rsidR="007C483C" w:rsidRDefault="007F41B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C483C" w:rsidRDefault="007F41B2">
            <w:pPr>
              <w:jc w:val="center"/>
            </w:pPr>
            <w:r>
              <w:rPr>
                <w:color w:val="000000"/>
                <w:sz w:val="24"/>
              </w:rPr>
              <w:t>基金管理人、基金销售机构</w:t>
            </w:r>
          </w:p>
        </w:tc>
      </w:tr>
      <w:tr w:rsidR="007C483C">
        <w:tc>
          <w:tcPr>
            <w:tcW w:w="5220" w:type="dxa"/>
            <w:vAlign w:val="center"/>
          </w:tcPr>
          <w:p w:rsidR="007C483C" w:rsidRDefault="007F41B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7C483C" w:rsidRDefault="007F41B2">
            <w:pPr>
              <w:jc w:val="center"/>
            </w:pPr>
            <w:r>
              <w:rPr>
                <w:color w:val="000000"/>
                <w:sz w:val="24"/>
              </w:rPr>
              <w:t>基金托管人、基金销售机构</w:t>
            </w:r>
          </w:p>
        </w:tc>
      </w:tr>
      <w:tr w:rsidR="007C483C">
        <w:tc>
          <w:tcPr>
            <w:tcW w:w="5220" w:type="dxa"/>
            <w:vAlign w:val="center"/>
          </w:tcPr>
          <w:p w:rsidR="007C483C" w:rsidRDefault="007F41B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C483C" w:rsidRDefault="007F41B2">
            <w:pPr>
              <w:jc w:val="center"/>
            </w:pPr>
            <w:r>
              <w:rPr>
                <w:color w:val="000000"/>
                <w:sz w:val="24"/>
              </w:rPr>
              <w:t>基金管理人的股东、基金销售机构</w:t>
            </w:r>
          </w:p>
        </w:tc>
      </w:tr>
      <w:tr w:rsidR="007C483C">
        <w:tc>
          <w:tcPr>
            <w:tcW w:w="5220" w:type="dxa"/>
            <w:vAlign w:val="center"/>
          </w:tcPr>
          <w:p w:rsidR="007C483C" w:rsidRDefault="007F41B2">
            <w:pPr>
              <w:jc w:val="left"/>
            </w:pPr>
            <w:r>
              <w:rPr>
                <w:color w:val="000000"/>
                <w:sz w:val="24"/>
              </w:rPr>
              <w:t>施罗德投资管理有限公司</w:t>
            </w:r>
          </w:p>
        </w:tc>
        <w:tc>
          <w:tcPr>
            <w:tcW w:w="3780" w:type="dxa"/>
            <w:vAlign w:val="center"/>
          </w:tcPr>
          <w:p w:rsidR="007C483C" w:rsidRDefault="007F41B2">
            <w:pPr>
              <w:jc w:val="center"/>
            </w:pPr>
            <w:r>
              <w:rPr>
                <w:color w:val="000000"/>
                <w:sz w:val="24"/>
              </w:rPr>
              <w:t>基金管理人的股东</w:t>
            </w:r>
          </w:p>
        </w:tc>
      </w:tr>
      <w:tr w:rsidR="007C483C">
        <w:tc>
          <w:tcPr>
            <w:tcW w:w="5220" w:type="dxa"/>
            <w:vAlign w:val="center"/>
          </w:tcPr>
          <w:p w:rsidR="007C483C" w:rsidRDefault="007F41B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C483C" w:rsidRDefault="007F41B2">
            <w:pPr>
              <w:jc w:val="center"/>
            </w:pPr>
            <w:r>
              <w:rPr>
                <w:color w:val="000000"/>
                <w:sz w:val="24"/>
              </w:rPr>
              <w:t>基金管理人的股东</w:t>
            </w:r>
          </w:p>
        </w:tc>
      </w:tr>
      <w:tr w:rsidR="007C483C">
        <w:tc>
          <w:tcPr>
            <w:tcW w:w="5220" w:type="dxa"/>
            <w:vAlign w:val="center"/>
          </w:tcPr>
          <w:p w:rsidR="007C483C" w:rsidRDefault="007F41B2">
            <w:pPr>
              <w:jc w:val="left"/>
            </w:pPr>
            <w:r>
              <w:rPr>
                <w:color w:val="000000"/>
                <w:sz w:val="24"/>
              </w:rPr>
              <w:t>交银施罗德资产管理有限公司</w:t>
            </w:r>
          </w:p>
        </w:tc>
        <w:tc>
          <w:tcPr>
            <w:tcW w:w="3780" w:type="dxa"/>
            <w:vAlign w:val="center"/>
          </w:tcPr>
          <w:p w:rsidR="007C483C" w:rsidRDefault="007F41B2">
            <w:pPr>
              <w:jc w:val="center"/>
            </w:pPr>
            <w:r>
              <w:rPr>
                <w:color w:val="000000"/>
                <w:sz w:val="24"/>
              </w:rPr>
              <w:t>基金管理人的子公司</w:t>
            </w:r>
          </w:p>
        </w:tc>
      </w:tr>
      <w:tr w:rsidR="007C483C">
        <w:tc>
          <w:tcPr>
            <w:tcW w:w="5220" w:type="dxa"/>
            <w:vAlign w:val="center"/>
          </w:tcPr>
          <w:p w:rsidR="007C483C" w:rsidRDefault="007F41B2">
            <w:pPr>
              <w:jc w:val="left"/>
            </w:pPr>
            <w:r>
              <w:rPr>
                <w:color w:val="000000"/>
                <w:sz w:val="24"/>
              </w:rPr>
              <w:t>上海直源投资管理有限公司</w:t>
            </w:r>
          </w:p>
        </w:tc>
        <w:tc>
          <w:tcPr>
            <w:tcW w:w="3780" w:type="dxa"/>
            <w:vAlign w:val="center"/>
          </w:tcPr>
          <w:p w:rsidR="007C483C" w:rsidRDefault="007F41B2">
            <w:pPr>
              <w:jc w:val="center"/>
            </w:pPr>
            <w:r>
              <w:rPr>
                <w:color w:val="000000"/>
                <w:sz w:val="24"/>
              </w:rPr>
              <w:t>受基金管理人控制的公司</w:t>
            </w:r>
          </w:p>
        </w:tc>
      </w:tr>
      <w:tr w:rsidR="007C483C">
        <w:tc>
          <w:tcPr>
            <w:tcW w:w="5220" w:type="dxa"/>
            <w:vAlign w:val="center"/>
          </w:tcPr>
          <w:p w:rsidR="007C483C" w:rsidRDefault="007F41B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C483C" w:rsidRDefault="007F41B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3,094,715.99</w:t>
            </w:r>
          </w:p>
        </w:tc>
        <w:tc>
          <w:tcPr>
            <w:tcW w:w="2657" w:type="dxa"/>
            <w:vAlign w:val="center"/>
          </w:tcPr>
          <w:p w:rsidR="001A59F9" w:rsidRPr="00924183" w:rsidRDefault="001A59F9" w:rsidP="00924183">
            <w:pPr>
              <w:spacing w:before="29" w:line="288" w:lineRule="auto"/>
              <w:jc w:val="right"/>
              <w:rPr>
                <w:sz w:val="24"/>
              </w:rPr>
            </w:pPr>
            <w:r w:rsidRPr="00924183">
              <w:rPr>
                <w:sz w:val="24"/>
              </w:rPr>
              <w:t>3,568,241.20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1,569,062.63</w:t>
            </w:r>
          </w:p>
        </w:tc>
        <w:tc>
          <w:tcPr>
            <w:tcW w:w="2657" w:type="dxa"/>
            <w:vAlign w:val="center"/>
          </w:tcPr>
          <w:p w:rsidR="001A59F9" w:rsidRPr="00924183" w:rsidRDefault="001A59F9" w:rsidP="00924183">
            <w:pPr>
              <w:spacing w:before="29" w:line="288" w:lineRule="auto"/>
              <w:jc w:val="right"/>
              <w:rPr>
                <w:sz w:val="24"/>
              </w:rPr>
            </w:pPr>
            <w:r w:rsidRPr="00924183">
              <w:rPr>
                <w:sz w:val="24"/>
              </w:rPr>
              <w:t>1,812,235.03</w:t>
            </w:r>
          </w:p>
        </w:tc>
      </w:tr>
    </w:tbl>
    <w:p w:rsidR="007C483C" w:rsidRDefault="007F41B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×0.80%÷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580,259.26</w:t>
            </w:r>
          </w:p>
        </w:tc>
        <w:tc>
          <w:tcPr>
            <w:tcW w:w="2657" w:type="dxa"/>
            <w:vAlign w:val="center"/>
          </w:tcPr>
          <w:p w:rsidR="001A59F9" w:rsidRPr="00243BD8" w:rsidRDefault="001A59F9" w:rsidP="00243BD8">
            <w:pPr>
              <w:spacing w:before="29" w:line="288" w:lineRule="auto"/>
              <w:jc w:val="right"/>
              <w:rPr>
                <w:sz w:val="24"/>
              </w:rPr>
            </w:pPr>
            <w:r w:rsidRPr="00243BD8">
              <w:rPr>
                <w:sz w:val="24"/>
              </w:rPr>
              <w:t>669,045.18</w:t>
            </w:r>
          </w:p>
        </w:tc>
      </w:tr>
    </w:tbl>
    <w:p w:rsidR="007C483C" w:rsidRDefault="007F41B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×0.15%÷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5C4CA2" w:rsidRDefault="000A1B00" w:rsidP="000A1B00">
      <w:pPr>
        <w:autoSpaceDE w:val="0"/>
        <w:autoSpaceDN w:val="0"/>
        <w:adjustRightInd w:val="0"/>
        <w:spacing w:before="29" w:line="288" w:lineRule="auto"/>
        <w:ind w:left="15"/>
        <w:jc w:val="right"/>
        <w:rPr>
          <w:bCs/>
          <w:color w:val="000000"/>
          <w:sz w:val="24"/>
        </w:rPr>
      </w:pPr>
      <w:r w:rsidRPr="005C4CA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6"/>
        <w:gridCol w:w="6172"/>
      </w:tblGrid>
      <w:tr w:rsidR="000A1B00" w:rsidRPr="00E54D6D" w:rsidTr="00A311D3">
        <w:tc>
          <w:tcPr>
            <w:tcW w:w="2821" w:type="dxa"/>
            <w:vMerge w:val="restart"/>
            <w:tcBorders>
              <w:top w:val="single" w:sz="4" w:space="0" w:color="000000"/>
              <w:left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61" w:type="dxa"/>
            <w:tcBorders>
              <w:top w:val="single" w:sz="4" w:space="0" w:color="000000"/>
              <w:left w:val="single" w:sz="4" w:space="0" w:color="000000"/>
              <w:bottom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本期</w:t>
            </w:r>
          </w:p>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2017</w:t>
            </w:r>
            <w:r w:rsidRPr="00EE65F8">
              <w:rPr>
                <w:color w:val="000000"/>
                <w:sz w:val="24"/>
              </w:rPr>
              <w:t>年</w:t>
            </w:r>
            <w:r w:rsidRPr="00EE65F8">
              <w:rPr>
                <w:color w:val="000000"/>
                <w:sz w:val="24"/>
              </w:rPr>
              <w:t>1</w:t>
            </w:r>
            <w:r w:rsidRPr="00EE65F8">
              <w:rPr>
                <w:color w:val="000000"/>
                <w:sz w:val="24"/>
              </w:rPr>
              <w:t>月</w:t>
            </w:r>
            <w:r w:rsidRPr="00EE65F8">
              <w:rPr>
                <w:color w:val="000000"/>
                <w:sz w:val="24"/>
              </w:rPr>
              <w:t>1</w:t>
            </w:r>
            <w:r w:rsidRPr="00EE65F8">
              <w:rPr>
                <w:color w:val="000000"/>
                <w:sz w:val="24"/>
              </w:rPr>
              <w:t>日至</w:t>
            </w:r>
            <w:r w:rsidRPr="00EE65F8">
              <w:rPr>
                <w:color w:val="000000"/>
                <w:sz w:val="24"/>
              </w:rPr>
              <w:t>2017</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0A1B00" w:rsidRPr="00E54D6D" w:rsidTr="00A311D3">
        <w:tc>
          <w:tcPr>
            <w:tcW w:w="2821" w:type="dxa"/>
            <w:vMerge/>
            <w:tcBorders>
              <w:left w:val="single" w:sz="4" w:space="0" w:color="000000"/>
              <w:bottom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p>
        </w:tc>
        <w:tc>
          <w:tcPr>
            <w:tcW w:w="6161" w:type="dxa"/>
            <w:tcBorders>
              <w:top w:val="single" w:sz="4" w:space="0" w:color="000000"/>
              <w:left w:val="single" w:sz="4" w:space="0" w:color="000000"/>
              <w:bottom w:val="single" w:sz="4" w:space="0" w:color="000000"/>
              <w:right w:val="single" w:sz="4" w:space="0" w:color="000000"/>
            </w:tcBorders>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7C483C">
        <w:tc>
          <w:tcPr>
            <w:tcW w:w="2826" w:type="dxa"/>
            <w:vAlign w:val="center"/>
          </w:tcPr>
          <w:p w:rsidR="007C483C" w:rsidRDefault="007F41B2">
            <w:pPr>
              <w:jc w:val="left"/>
            </w:pPr>
            <w:r>
              <w:rPr>
                <w:sz w:val="24"/>
              </w:rPr>
              <w:t>中信银行</w:t>
            </w:r>
          </w:p>
        </w:tc>
        <w:tc>
          <w:tcPr>
            <w:tcW w:w="6172" w:type="dxa"/>
            <w:vAlign w:val="center"/>
          </w:tcPr>
          <w:p w:rsidR="007C483C" w:rsidRDefault="007F41B2">
            <w:pPr>
              <w:jc w:val="right"/>
            </w:pPr>
            <w:r>
              <w:rPr>
                <w:sz w:val="24"/>
              </w:rPr>
              <w:t>21,425.84</w:t>
            </w:r>
          </w:p>
        </w:tc>
      </w:tr>
      <w:tr w:rsidR="007C483C">
        <w:tc>
          <w:tcPr>
            <w:tcW w:w="2826" w:type="dxa"/>
            <w:vAlign w:val="center"/>
          </w:tcPr>
          <w:p w:rsidR="007C483C" w:rsidRDefault="007F41B2">
            <w:pPr>
              <w:jc w:val="left"/>
            </w:pPr>
            <w:r>
              <w:rPr>
                <w:sz w:val="24"/>
              </w:rPr>
              <w:t>交通银行</w:t>
            </w:r>
          </w:p>
        </w:tc>
        <w:tc>
          <w:tcPr>
            <w:tcW w:w="6172" w:type="dxa"/>
            <w:vAlign w:val="center"/>
          </w:tcPr>
          <w:p w:rsidR="007C483C" w:rsidRDefault="007F41B2">
            <w:pPr>
              <w:jc w:val="right"/>
            </w:pPr>
            <w:r>
              <w:rPr>
                <w:sz w:val="24"/>
              </w:rPr>
              <w:t>373,715.81</w:t>
            </w:r>
          </w:p>
        </w:tc>
      </w:tr>
      <w:tr w:rsidR="007C483C">
        <w:tc>
          <w:tcPr>
            <w:tcW w:w="2826" w:type="dxa"/>
            <w:vAlign w:val="center"/>
          </w:tcPr>
          <w:p w:rsidR="007C483C" w:rsidRDefault="007F41B2">
            <w:pPr>
              <w:jc w:val="left"/>
            </w:pPr>
            <w:r>
              <w:rPr>
                <w:sz w:val="24"/>
              </w:rPr>
              <w:t>交银施罗德基金公司</w:t>
            </w:r>
          </w:p>
        </w:tc>
        <w:tc>
          <w:tcPr>
            <w:tcW w:w="6172" w:type="dxa"/>
            <w:vAlign w:val="center"/>
          </w:tcPr>
          <w:p w:rsidR="007C483C" w:rsidRDefault="007F41B2">
            <w:pPr>
              <w:jc w:val="right"/>
            </w:pPr>
            <w:r>
              <w:rPr>
                <w:sz w:val="24"/>
              </w:rPr>
              <w:t>4,519.47</w:t>
            </w:r>
          </w:p>
        </w:tc>
      </w:tr>
      <w:tr w:rsidR="000A1B00" w:rsidRPr="00E54D6D" w:rsidTr="00A311D3">
        <w:tc>
          <w:tcPr>
            <w:tcW w:w="2821" w:type="dxa"/>
            <w:vAlign w:val="center"/>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61" w:type="dxa"/>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399,661.12</w:t>
            </w:r>
          </w:p>
        </w:tc>
      </w:tr>
      <w:tr w:rsidR="000A1B00" w:rsidRPr="00E54D6D" w:rsidTr="00A311D3">
        <w:tc>
          <w:tcPr>
            <w:tcW w:w="2821" w:type="dxa"/>
            <w:vMerge w:val="restart"/>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61" w:type="dxa"/>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上年度可比期间</w:t>
            </w:r>
          </w:p>
          <w:p w:rsidR="000A1B00" w:rsidRPr="00EE65F8" w:rsidRDefault="000A1B00" w:rsidP="00A311D3">
            <w:pPr>
              <w:widowControl/>
              <w:autoSpaceDE w:val="0"/>
              <w:autoSpaceDN w:val="0"/>
              <w:spacing w:before="29" w:line="288" w:lineRule="auto"/>
              <w:ind w:right="-15"/>
              <w:jc w:val="center"/>
              <w:textAlignment w:val="bottom"/>
              <w:rPr>
                <w:color w:val="000000"/>
                <w:sz w:val="24"/>
              </w:rPr>
            </w:pPr>
            <w:r w:rsidRPr="00EE65F8">
              <w:rPr>
                <w:color w:val="000000"/>
                <w:sz w:val="24"/>
              </w:rPr>
              <w:t>2016</w:t>
            </w:r>
            <w:r w:rsidRPr="00EE65F8">
              <w:rPr>
                <w:color w:val="000000"/>
                <w:sz w:val="24"/>
              </w:rPr>
              <w:t>年</w:t>
            </w:r>
            <w:r w:rsidRPr="00EE65F8">
              <w:rPr>
                <w:color w:val="000000"/>
                <w:sz w:val="24"/>
              </w:rPr>
              <w:t>1</w:t>
            </w:r>
            <w:r w:rsidRPr="00EE65F8">
              <w:rPr>
                <w:color w:val="000000"/>
                <w:sz w:val="24"/>
              </w:rPr>
              <w:t>月</w:t>
            </w:r>
            <w:r w:rsidRPr="00EE65F8">
              <w:rPr>
                <w:color w:val="000000"/>
                <w:sz w:val="24"/>
              </w:rPr>
              <w:t>1</w:t>
            </w:r>
            <w:r w:rsidRPr="00EE65F8">
              <w:rPr>
                <w:color w:val="000000"/>
                <w:sz w:val="24"/>
              </w:rPr>
              <w:t>日至</w:t>
            </w:r>
            <w:r w:rsidRPr="00EE65F8">
              <w:rPr>
                <w:color w:val="000000"/>
                <w:sz w:val="24"/>
              </w:rPr>
              <w:t>2016</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0A1B00" w:rsidRPr="00E54D6D" w:rsidTr="00A311D3">
        <w:tc>
          <w:tcPr>
            <w:tcW w:w="2821" w:type="dxa"/>
            <w:vMerge/>
            <w:vAlign w:val="center"/>
          </w:tcPr>
          <w:p w:rsidR="000A1B00" w:rsidRPr="00EE65F8" w:rsidRDefault="000A1B00" w:rsidP="00A311D3">
            <w:pPr>
              <w:widowControl/>
              <w:autoSpaceDE w:val="0"/>
              <w:autoSpaceDN w:val="0"/>
              <w:spacing w:before="29" w:line="288" w:lineRule="auto"/>
              <w:ind w:right="-15"/>
              <w:jc w:val="center"/>
              <w:textAlignment w:val="bottom"/>
              <w:rPr>
                <w:color w:val="000000"/>
                <w:sz w:val="24"/>
              </w:rPr>
            </w:pPr>
          </w:p>
        </w:tc>
        <w:tc>
          <w:tcPr>
            <w:tcW w:w="6161" w:type="dxa"/>
            <w:vAlign w:val="center"/>
          </w:tcPr>
          <w:p w:rsidR="000A1B00" w:rsidRPr="00EE65F8" w:rsidRDefault="000A1B00" w:rsidP="00A311D3">
            <w:pPr>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7C483C">
        <w:tc>
          <w:tcPr>
            <w:tcW w:w="2826" w:type="dxa"/>
            <w:vAlign w:val="center"/>
          </w:tcPr>
          <w:p w:rsidR="007C483C" w:rsidRDefault="007F41B2">
            <w:pPr>
              <w:jc w:val="left"/>
            </w:pPr>
            <w:r>
              <w:rPr>
                <w:sz w:val="24"/>
              </w:rPr>
              <w:lastRenderedPageBreak/>
              <w:t>中信银行</w:t>
            </w:r>
          </w:p>
        </w:tc>
        <w:tc>
          <w:tcPr>
            <w:tcW w:w="6172" w:type="dxa"/>
            <w:vAlign w:val="center"/>
          </w:tcPr>
          <w:p w:rsidR="007C483C" w:rsidRDefault="007F41B2">
            <w:pPr>
              <w:jc w:val="right"/>
            </w:pPr>
            <w:r>
              <w:rPr>
                <w:sz w:val="24"/>
              </w:rPr>
              <w:t>22,690.86</w:t>
            </w:r>
          </w:p>
        </w:tc>
      </w:tr>
      <w:tr w:rsidR="007C483C">
        <w:tc>
          <w:tcPr>
            <w:tcW w:w="2826" w:type="dxa"/>
            <w:vAlign w:val="center"/>
          </w:tcPr>
          <w:p w:rsidR="007C483C" w:rsidRDefault="007F41B2">
            <w:pPr>
              <w:jc w:val="left"/>
            </w:pPr>
            <w:r>
              <w:rPr>
                <w:sz w:val="24"/>
              </w:rPr>
              <w:t>交通银行</w:t>
            </w:r>
          </w:p>
        </w:tc>
        <w:tc>
          <w:tcPr>
            <w:tcW w:w="6172" w:type="dxa"/>
            <w:vAlign w:val="center"/>
          </w:tcPr>
          <w:p w:rsidR="007C483C" w:rsidRDefault="007F41B2">
            <w:pPr>
              <w:jc w:val="right"/>
            </w:pPr>
            <w:r>
              <w:rPr>
                <w:sz w:val="24"/>
              </w:rPr>
              <w:t>419,400.32</w:t>
            </w:r>
          </w:p>
        </w:tc>
      </w:tr>
      <w:tr w:rsidR="007C483C">
        <w:tc>
          <w:tcPr>
            <w:tcW w:w="2826" w:type="dxa"/>
            <w:vAlign w:val="center"/>
          </w:tcPr>
          <w:p w:rsidR="007C483C" w:rsidRDefault="007F41B2">
            <w:pPr>
              <w:jc w:val="left"/>
            </w:pPr>
            <w:r>
              <w:rPr>
                <w:sz w:val="24"/>
              </w:rPr>
              <w:t>交银施罗德基金公司</w:t>
            </w:r>
          </w:p>
        </w:tc>
        <w:tc>
          <w:tcPr>
            <w:tcW w:w="6172" w:type="dxa"/>
            <w:vAlign w:val="center"/>
          </w:tcPr>
          <w:p w:rsidR="007C483C" w:rsidRDefault="007F41B2">
            <w:pPr>
              <w:jc w:val="right"/>
            </w:pPr>
            <w:r>
              <w:rPr>
                <w:sz w:val="24"/>
              </w:rPr>
              <w:t>5,269.36</w:t>
            </w:r>
          </w:p>
        </w:tc>
      </w:tr>
      <w:tr w:rsidR="000A1B00" w:rsidRPr="00E54D6D" w:rsidTr="00A311D3">
        <w:tc>
          <w:tcPr>
            <w:tcW w:w="2821" w:type="dxa"/>
            <w:vAlign w:val="center"/>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61" w:type="dxa"/>
            <w:vAlign w:val="center"/>
          </w:tcPr>
          <w:p w:rsidR="000A1B00" w:rsidRPr="006E2BD3" w:rsidRDefault="000A1B00" w:rsidP="00A311D3">
            <w:pPr>
              <w:widowControl/>
              <w:autoSpaceDE w:val="0"/>
              <w:autoSpaceDN w:val="0"/>
              <w:spacing w:before="29" w:line="288" w:lineRule="auto"/>
              <w:ind w:right="-15"/>
              <w:jc w:val="center"/>
              <w:textAlignment w:val="bottom"/>
              <w:rPr>
                <w:color w:val="000000"/>
                <w:sz w:val="24"/>
              </w:rPr>
            </w:pPr>
            <w:r w:rsidRPr="006E2BD3">
              <w:rPr>
                <w:color w:val="000000"/>
                <w:sz w:val="24"/>
              </w:rPr>
              <w:t>447,360.54</w:t>
            </w:r>
          </w:p>
        </w:tc>
      </w:tr>
    </w:tbl>
    <w:p w:rsidR="007C483C" w:rsidRDefault="007F41B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0A1B00" w:rsidRPr="00846E38" w:rsidRDefault="000A1B00" w:rsidP="000A1B00">
      <w:pPr>
        <w:tabs>
          <w:tab w:val="left" w:pos="426"/>
        </w:tabs>
        <w:spacing w:before="29" w:line="288" w:lineRule="auto"/>
        <w:jc w:val="left"/>
        <w:rPr>
          <w:kern w:val="0"/>
          <w:sz w:val="24"/>
        </w:rPr>
      </w:pPr>
      <w:r w:rsidRPr="00846E38">
        <w:rPr>
          <w:kern w:val="0"/>
          <w:sz w:val="24"/>
        </w:rPr>
        <w:t>日基金销售服务费＝前一日</w:t>
      </w:r>
      <w:r w:rsidRPr="00846E38">
        <w:rPr>
          <w:kern w:val="0"/>
          <w:sz w:val="24"/>
        </w:rPr>
        <w:t>C</w:t>
      </w:r>
      <w:r w:rsidRPr="00846E38">
        <w:rPr>
          <w:kern w:val="0"/>
          <w:sz w:val="24"/>
        </w:rPr>
        <w:t>类基金份额对应的资产净值</w:t>
      </w:r>
      <w:r w:rsidRPr="00846E38">
        <w:rPr>
          <w:kern w:val="0"/>
          <w:sz w:val="24"/>
        </w:rPr>
        <w:t xml:space="preserve">×0.6%÷ </w:t>
      </w:r>
      <w:r w:rsidRPr="00846E38">
        <w:rPr>
          <w:kern w:val="0"/>
          <w:sz w:val="24"/>
        </w:rPr>
        <w:t>当年天数。</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C483C">
        <w:tc>
          <w:tcPr>
            <w:tcW w:w="1701" w:type="dxa"/>
            <w:vAlign w:val="center"/>
          </w:tcPr>
          <w:p w:rsidR="007C483C" w:rsidRDefault="007F41B2">
            <w:pPr>
              <w:jc w:val="left"/>
            </w:pPr>
            <w:r>
              <w:rPr>
                <w:color w:val="000000"/>
                <w:szCs w:val="21"/>
              </w:rPr>
              <w:t>中信银行</w:t>
            </w:r>
          </w:p>
        </w:tc>
        <w:tc>
          <w:tcPr>
            <w:tcW w:w="1985" w:type="dxa"/>
            <w:vAlign w:val="center"/>
          </w:tcPr>
          <w:p w:rsidR="007C483C" w:rsidRDefault="007F41B2">
            <w:pPr>
              <w:jc w:val="right"/>
            </w:pPr>
            <w:r>
              <w:rPr>
                <w:color w:val="000000"/>
                <w:szCs w:val="21"/>
              </w:rPr>
              <w:t>522,281.43</w:t>
            </w:r>
          </w:p>
        </w:tc>
        <w:tc>
          <w:tcPr>
            <w:tcW w:w="1701" w:type="dxa"/>
            <w:vAlign w:val="center"/>
          </w:tcPr>
          <w:p w:rsidR="007C483C" w:rsidRDefault="007F41B2">
            <w:pPr>
              <w:jc w:val="right"/>
            </w:pPr>
            <w:r>
              <w:rPr>
                <w:color w:val="000000"/>
                <w:szCs w:val="21"/>
              </w:rPr>
              <w:t>53,774.93</w:t>
            </w:r>
          </w:p>
        </w:tc>
        <w:tc>
          <w:tcPr>
            <w:tcW w:w="1843" w:type="dxa"/>
            <w:vAlign w:val="center"/>
          </w:tcPr>
          <w:p w:rsidR="007C483C" w:rsidRDefault="007F41B2">
            <w:pPr>
              <w:jc w:val="right"/>
            </w:pPr>
            <w:r>
              <w:rPr>
                <w:color w:val="000000"/>
                <w:szCs w:val="21"/>
              </w:rPr>
              <w:t>3,394,086.10</w:t>
            </w:r>
          </w:p>
        </w:tc>
        <w:tc>
          <w:tcPr>
            <w:tcW w:w="1768" w:type="dxa"/>
            <w:vAlign w:val="center"/>
          </w:tcPr>
          <w:p w:rsidR="007C483C" w:rsidRDefault="007F41B2">
            <w:pPr>
              <w:jc w:val="right"/>
            </w:pPr>
            <w:r>
              <w:rPr>
                <w:color w:val="000000"/>
                <w:szCs w:val="21"/>
              </w:rPr>
              <w:t>107,549.60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440E20" w:rsidRPr="001A2A8C" w:rsidRDefault="00440E20"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440E20">
      <w:pPr>
        <w:spacing w:before="29" w:line="288" w:lineRule="auto"/>
        <w:rPr>
          <w:color w:val="000000"/>
          <w:sz w:val="24"/>
        </w:rPr>
      </w:pPr>
      <w:r w:rsidRPr="001A2A8C">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C483C" w:rsidRDefault="007F41B2">
      <w:pPr>
        <w:spacing w:before="29" w:line="288" w:lineRule="auto"/>
        <w:ind w:firstLineChars="200" w:firstLine="480"/>
        <w:rPr>
          <w:color w:val="000000"/>
          <w:sz w:val="24"/>
        </w:rPr>
      </w:pPr>
      <w:r>
        <w:rPr>
          <w:color w:val="000000"/>
          <w:sz w:val="24"/>
        </w:rPr>
        <w:t>(1)</w:t>
      </w:r>
      <w:r>
        <w:rPr>
          <w:color w:val="000000"/>
          <w:sz w:val="24"/>
        </w:rPr>
        <w:t>公允价值</w:t>
      </w:r>
    </w:p>
    <w:p w:rsidR="007C483C" w:rsidRDefault="007F41B2">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7C483C" w:rsidRDefault="007F41B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C483C" w:rsidRDefault="007F41B2">
      <w:pPr>
        <w:spacing w:before="29" w:line="288" w:lineRule="auto"/>
        <w:ind w:firstLineChars="200" w:firstLine="480"/>
        <w:rPr>
          <w:color w:val="000000"/>
          <w:sz w:val="24"/>
        </w:rPr>
      </w:pPr>
      <w:r>
        <w:rPr>
          <w:color w:val="000000"/>
          <w:sz w:val="24"/>
        </w:rPr>
        <w:t>第一层次：相同资产或负债在活跃市场上未经调整的报价。</w:t>
      </w:r>
    </w:p>
    <w:p w:rsidR="007C483C" w:rsidRDefault="007F41B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C483C" w:rsidRDefault="007F41B2">
      <w:pPr>
        <w:spacing w:before="29" w:line="288" w:lineRule="auto"/>
        <w:ind w:firstLineChars="200" w:firstLine="480"/>
        <w:rPr>
          <w:color w:val="000000"/>
          <w:sz w:val="24"/>
        </w:rPr>
      </w:pPr>
      <w:r>
        <w:rPr>
          <w:color w:val="000000"/>
          <w:sz w:val="24"/>
        </w:rPr>
        <w:t>第三层次：相关资产或负债的不可观察输入值。</w:t>
      </w:r>
    </w:p>
    <w:p w:rsidR="007C483C" w:rsidRDefault="007F41B2">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7C483C" w:rsidRDefault="007F41B2">
      <w:pPr>
        <w:spacing w:before="29" w:line="288" w:lineRule="auto"/>
        <w:ind w:firstLineChars="200" w:firstLine="480"/>
        <w:rPr>
          <w:color w:val="000000"/>
          <w:sz w:val="24"/>
        </w:rPr>
      </w:pPr>
      <w:r>
        <w:rPr>
          <w:color w:val="000000"/>
          <w:sz w:val="24"/>
        </w:rPr>
        <w:t>(i)</w:t>
      </w:r>
      <w:r>
        <w:rPr>
          <w:color w:val="000000"/>
          <w:sz w:val="24"/>
        </w:rPr>
        <w:t>各层次金融工具公允价值</w:t>
      </w:r>
    </w:p>
    <w:p w:rsidR="007C483C" w:rsidRDefault="007F41B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 xml:space="preserve"> 33,770,800.00 </w:t>
      </w:r>
      <w:r>
        <w:rPr>
          <w:color w:val="000000"/>
          <w:sz w:val="24"/>
        </w:rPr>
        <w:t>元，无属于第一层次及第三层次的余额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760,065,794.00</w:t>
      </w:r>
      <w:r>
        <w:rPr>
          <w:color w:val="000000"/>
          <w:sz w:val="24"/>
        </w:rPr>
        <w:t>元，无第一层次和第三层次</w:t>
      </w:r>
      <w:r>
        <w:rPr>
          <w:color w:val="000000"/>
          <w:sz w:val="24"/>
        </w:rPr>
        <w:t>)</w:t>
      </w:r>
      <w:r>
        <w:rPr>
          <w:color w:val="000000"/>
          <w:sz w:val="24"/>
        </w:rPr>
        <w:t>。</w:t>
      </w:r>
    </w:p>
    <w:p w:rsidR="007C483C" w:rsidRDefault="007F41B2">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7C483C" w:rsidRDefault="007F41B2">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7C483C" w:rsidRDefault="007F41B2">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7C483C" w:rsidRDefault="007F41B2">
      <w:pPr>
        <w:spacing w:before="29" w:line="288" w:lineRule="auto"/>
        <w:ind w:firstLineChars="200" w:firstLine="480"/>
        <w:rPr>
          <w:color w:val="000000"/>
          <w:sz w:val="24"/>
        </w:rPr>
      </w:pPr>
      <w:r>
        <w:rPr>
          <w:color w:val="000000"/>
          <w:sz w:val="24"/>
        </w:rPr>
        <w:t>无。</w:t>
      </w:r>
    </w:p>
    <w:p w:rsidR="007C483C" w:rsidRDefault="007F41B2">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7C483C" w:rsidRDefault="007F41B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C483C" w:rsidRDefault="007F41B2">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7C483C" w:rsidRDefault="007F41B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C483C" w:rsidRDefault="007F41B2">
      <w:pPr>
        <w:spacing w:before="29" w:line="288" w:lineRule="auto"/>
        <w:ind w:firstLineChars="200" w:firstLine="480"/>
        <w:rPr>
          <w:color w:val="000000"/>
          <w:sz w:val="24"/>
        </w:rPr>
      </w:pPr>
      <w:r>
        <w:rPr>
          <w:color w:val="000000"/>
          <w:sz w:val="24"/>
        </w:rPr>
        <w:t xml:space="preserve">(2) </w:t>
      </w:r>
      <w:r>
        <w:rPr>
          <w:color w:val="000000"/>
          <w:sz w:val="24"/>
        </w:rPr>
        <w:t>增值税</w:t>
      </w:r>
    </w:p>
    <w:p w:rsidR="007C483C" w:rsidRDefault="007F41B2">
      <w:pPr>
        <w:spacing w:before="29" w:line="288" w:lineRule="auto"/>
        <w:ind w:firstLineChars="200" w:firstLine="480"/>
        <w:rPr>
          <w:color w:val="000000"/>
          <w:sz w:val="24"/>
        </w:rPr>
      </w:pPr>
      <w:r>
        <w:rPr>
          <w:color w:val="000000"/>
          <w:sz w:val="24"/>
        </w:rPr>
        <w:lastRenderedPageBreak/>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7C483C" w:rsidRDefault="007C483C">
      <w:pPr>
        <w:spacing w:before="29" w:line="288" w:lineRule="auto"/>
        <w:ind w:firstLineChars="200" w:firstLine="480"/>
        <w:rPr>
          <w:color w:val="000000"/>
          <w:sz w:val="24"/>
        </w:rPr>
      </w:pPr>
    </w:p>
    <w:p w:rsidR="007C483C" w:rsidRDefault="007F41B2">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C483C" w:rsidRDefault="007F41B2">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7C483C" w:rsidRDefault="007F41B2">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33,770,800.00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62.23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33,770,800.00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62.23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10,800,000.00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19.90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w:t>
            </w:r>
            <w:r w:rsidRPr="003A0690">
              <w:rPr>
                <w:rFonts w:hint="eastAsia"/>
                <w:sz w:val="24"/>
              </w:rPr>
              <w:lastRenderedPageBreak/>
              <w:t>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lastRenderedPageBreak/>
              <w:t>9,131,372.34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16.83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564,216.68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1.04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54,266,389.02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5D0476" w:rsidRPr="00FD6854" w:rsidRDefault="005D0476" w:rsidP="00FD6854">
      <w:pPr>
        <w:tabs>
          <w:tab w:val="left" w:pos="426"/>
        </w:tabs>
        <w:spacing w:before="29" w:line="288" w:lineRule="auto"/>
        <w:jc w:val="left"/>
        <w:rPr>
          <w:kern w:val="0"/>
          <w:sz w:val="24"/>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Default="001A59F9" w:rsidP="00016A50">
      <w:pPr>
        <w:tabs>
          <w:tab w:val="left" w:pos="426"/>
        </w:tabs>
        <w:spacing w:line="360" w:lineRule="auto"/>
        <w:jc w:val="left"/>
        <w:rPr>
          <w:kern w:val="0"/>
          <w:sz w:val="24"/>
        </w:rPr>
      </w:pPr>
      <w:r w:rsidRPr="00A20DFB">
        <w:rPr>
          <w:kern w:val="0"/>
          <w:sz w:val="24"/>
        </w:rPr>
        <w:t>本基金本报告期末未持有股票。</w:t>
      </w:r>
    </w:p>
    <w:p w:rsidR="005D0476" w:rsidRPr="00A20DFB" w:rsidRDefault="005D0476" w:rsidP="00016A50">
      <w:pPr>
        <w:tabs>
          <w:tab w:val="left" w:pos="426"/>
        </w:tabs>
        <w:spacing w:line="360"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5D0476" w:rsidRPr="00C234F0" w:rsidRDefault="005D0476" w:rsidP="00C234F0">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112C6D">
            <w:pPr>
              <w:spacing w:before="29" w:line="288" w:lineRule="auto"/>
              <w:ind w:left="17"/>
              <w:jc w:val="right"/>
              <w:rPr>
                <w:sz w:val="24"/>
              </w:rPr>
            </w:pPr>
            <w:r w:rsidRPr="00C234F0">
              <w:rPr>
                <w:sz w:val="24"/>
              </w:rPr>
              <w:t>-</w:t>
            </w:r>
          </w:p>
        </w:tc>
        <w:tc>
          <w:tcPr>
            <w:tcW w:w="2249" w:type="dxa"/>
            <w:vAlign w:val="center"/>
          </w:tcPr>
          <w:p w:rsidR="001A59F9" w:rsidRPr="00C234F0" w:rsidRDefault="001A59F9" w:rsidP="00112C6D">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112C6D">
            <w:pPr>
              <w:spacing w:before="29" w:line="288" w:lineRule="auto"/>
              <w:ind w:left="17"/>
              <w:jc w:val="right"/>
              <w:rPr>
                <w:sz w:val="24"/>
              </w:rPr>
            </w:pPr>
            <w:r w:rsidRPr="00C234F0">
              <w:rPr>
                <w:sz w:val="24"/>
              </w:rPr>
              <w:t>23,814,800.00</w:t>
            </w:r>
          </w:p>
        </w:tc>
        <w:tc>
          <w:tcPr>
            <w:tcW w:w="2249" w:type="dxa"/>
            <w:vAlign w:val="center"/>
          </w:tcPr>
          <w:p w:rsidR="001A59F9" w:rsidRPr="00C234F0" w:rsidRDefault="001A59F9" w:rsidP="00112C6D">
            <w:pPr>
              <w:spacing w:before="29" w:line="288" w:lineRule="auto"/>
              <w:ind w:left="17"/>
              <w:jc w:val="right"/>
              <w:rPr>
                <w:sz w:val="24"/>
              </w:rPr>
            </w:pPr>
            <w:r w:rsidRPr="00C234F0">
              <w:rPr>
                <w:sz w:val="24"/>
              </w:rPr>
              <w:t>44.27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112C6D">
            <w:pPr>
              <w:spacing w:before="29" w:line="288" w:lineRule="auto"/>
              <w:ind w:left="17"/>
              <w:jc w:val="right"/>
              <w:rPr>
                <w:sz w:val="24"/>
              </w:rPr>
            </w:pPr>
            <w:r w:rsidRPr="00C234F0">
              <w:rPr>
                <w:sz w:val="24"/>
              </w:rPr>
              <w:t>23,814,800.00</w:t>
            </w:r>
          </w:p>
        </w:tc>
        <w:tc>
          <w:tcPr>
            <w:tcW w:w="2249" w:type="dxa"/>
            <w:vAlign w:val="center"/>
          </w:tcPr>
          <w:p w:rsidR="001A59F9" w:rsidRPr="00C234F0" w:rsidRDefault="001A59F9" w:rsidP="00112C6D">
            <w:pPr>
              <w:spacing w:before="29" w:line="288" w:lineRule="auto"/>
              <w:ind w:left="17"/>
              <w:jc w:val="right"/>
              <w:rPr>
                <w:sz w:val="24"/>
              </w:rPr>
            </w:pPr>
            <w:r w:rsidRPr="00C234F0">
              <w:rPr>
                <w:sz w:val="24"/>
              </w:rPr>
              <w:t>44.27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112C6D">
            <w:pPr>
              <w:spacing w:before="29" w:line="288" w:lineRule="auto"/>
              <w:ind w:left="17"/>
              <w:jc w:val="right"/>
              <w:rPr>
                <w:sz w:val="24"/>
              </w:rPr>
            </w:pPr>
            <w:r w:rsidRPr="00C234F0">
              <w:rPr>
                <w:sz w:val="24"/>
              </w:rPr>
              <w:t>-</w:t>
            </w:r>
          </w:p>
        </w:tc>
        <w:tc>
          <w:tcPr>
            <w:tcW w:w="2249" w:type="dxa"/>
            <w:vAlign w:val="center"/>
          </w:tcPr>
          <w:p w:rsidR="001A59F9" w:rsidRPr="00C234F0" w:rsidRDefault="001A59F9" w:rsidP="00112C6D">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112C6D">
            <w:pPr>
              <w:spacing w:before="29" w:line="288" w:lineRule="auto"/>
              <w:ind w:left="17"/>
              <w:jc w:val="right"/>
              <w:rPr>
                <w:sz w:val="24"/>
              </w:rPr>
            </w:pPr>
            <w:r w:rsidRPr="00C234F0">
              <w:rPr>
                <w:sz w:val="24"/>
              </w:rPr>
              <w:t>-</w:t>
            </w:r>
          </w:p>
        </w:tc>
        <w:tc>
          <w:tcPr>
            <w:tcW w:w="2249" w:type="dxa"/>
            <w:vAlign w:val="center"/>
          </w:tcPr>
          <w:p w:rsidR="001A59F9" w:rsidRPr="00C234F0" w:rsidRDefault="001A59F9" w:rsidP="00112C6D">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112C6D">
            <w:pPr>
              <w:spacing w:before="29" w:line="288" w:lineRule="auto"/>
              <w:ind w:left="17"/>
              <w:jc w:val="right"/>
              <w:rPr>
                <w:sz w:val="24"/>
              </w:rPr>
            </w:pPr>
            <w:r w:rsidRPr="00C234F0">
              <w:rPr>
                <w:sz w:val="24"/>
              </w:rPr>
              <w:t>-</w:t>
            </w:r>
          </w:p>
        </w:tc>
        <w:tc>
          <w:tcPr>
            <w:tcW w:w="2249" w:type="dxa"/>
            <w:vAlign w:val="center"/>
          </w:tcPr>
          <w:p w:rsidR="001A59F9" w:rsidRPr="00C234F0" w:rsidRDefault="001A59F9" w:rsidP="00112C6D">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112C6D">
            <w:pPr>
              <w:spacing w:before="29" w:line="288" w:lineRule="auto"/>
              <w:ind w:left="17"/>
              <w:jc w:val="right"/>
              <w:rPr>
                <w:sz w:val="24"/>
              </w:rPr>
            </w:pPr>
            <w:r w:rsidRPr="00C234F0">
              <w:rPr>
                <w:sz w:val="24"/>
              </w:rPr>
              <w:t>-</w:t>
            </w:r>
          </w:p>
        </w:tc>
        <w:tc>
          <w:tcPr>
            <w:tcW w:w="2249" w:type="dxa"/>
            <w:vAlign w:val="center"/>
          </w:tcPr>
          <w:p w:rsidR="00E122CE" w:rsidRPr="00C234F0" w:rsidRDefault="00E122CE" w:rsidP="00112C6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112C6D">
            <w:pPr>
              <w:spacing w:before="29" w:line="288" w:lineRule="auto"/>
              <w:ind w:left="17"/>
              <w:jc w:val="right"/>
              <w:rPr>
                <w:color w:val="000000"/>
                <w:sz w:val="24"/>
              </w:rPr>
            </w:pPr>
            <w:r w:rsidRPr="004B6D45">
              <w:rPr>
                <w:rFonts w:hint="eastAsia"/>
                <w:color w:val="000000"/>
                <w:sz w:val="24"/>
              </w:rPr>
              <w:t>9,956,000.00</w:t>
            </w:r>
          </w:p>
        </w:tc>
        <w:tc>
          <w:tcPr>
            <w:tcW w:w="2249" w:type="dxa"/>
            <w:vAlign w:val="center"/>
          </w:tcPr>
          <w:p w:rsidR="00E122CE" w:rsidRPr="004B6D45" w:rsidRDefault="00E122CE" w:rsidP="00112C6D">
            <w:pPr>
              <w:spacing w:before="29" w:line="288" w:lineRule="auto"/>
              <w:ind w:left="17"/>
              <w:jc w:val="right"/>
              <w:rPr>
                <w:color w:val="000000"/>
                <w:sz w:val="24"/>
              </w:rPr>
            </w:pPr>
            <w:r w:rsidRPr="004B6D45">
              <w:rPr>
                <w:rFonts w:hint="eastAsia"/>
                <w:color w:val="000000"/>
                <w:sz w:val="24"/>
              </w:rPr>
              <w:t>18.51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33,770,800.00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62.78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lastRenderedPageBreak/>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7C483C">
        <w:tc>
          <w:tcPr>
            <w:tcW w:w="1499" w:type="dxa"/>
            <w:vAlign w:val="center"/>
          </w:tcPr>
          <w:p w:rsidR="007C483C" w:rsidRDefault="007F41B2">
            <w:pPr>
              <w:jc w:val="center"/>
            </w:pPr>
            <w:r>
              <w:rPr>
                <w:color w:val="000000"/>
                <w:sz w:val="24"/>
              </w:rPr>
              <w:t>1</w:t>
            </w:r>
          </w:p>
        </w:tc>
        <w:tc>
          <w:tcPr>
            <w:tcW w:w="1499" w:type="dxa"/>
            <w:vAlign w:val="center"/>
          </w:tcPr>
          <w:p w:rsidR="007C483C" w:rsidRDefault="007F41B2">
            <w:pPr>
              <w:jc w:val="center"/>
            </w:pPr>
            <w:r>
              <w:rPr>
                <w:color w:val="000000"/>
                <w:sz w:val="24"/>
              </w:rPr>
              <w:t>170410</w:t>
            </w:r>
          </w:p>
        </w:tc>
        <w:tc>
          <w:tcPr>
            <w:tcW w:w="1500" w:type="dxa"/>
            <w:vAlign w:val="center"/>
          </w:tcPr>
          <w:p w:rsidR="007C483C" w:rsidRDefault="007F41B2">
            <w:pPr>
              <w:jc w:val="center"/>
            </w:pPr>
            <w:r>
              <w:rPr>
                <w:color w:val="000000"/>
                <w:sz w:val="24"/>
              </w:rPr>
              <w:t>17</w:t>
            </w:r>
            <w:r>
              <w:rPr>
                <w:color w:val="000000"/>
                <w:sz w:val="24"/>
              </w:rPr>
              <w:t>农发</w:t>
            </w:r>
            <w:r>
              <w:rPr>
                <w:color w:val="000000"/>
                <w:sz w:val="24"/>
              </w:rPr>
              <w:t>10</w:t>
            </w:r>
          </w:p>
        </w:tc>
        <w:tc>
          <w:tcPr>
            <w:tcW w:w="1500" w:type="dxa"/>
            <w:vAlign w:val="center"/>
          </w:tcPr>
          <w:p w:rsidR="007C483C" w:rsidRDefault="007F41B2">
            <w:pPr>
              <w:jc w:val="right"/>
            </w:pPr>
            <w:r>
              <w:rPr>
                <w:color w:val="000000"/>
                <w:sz w:val="24"/>
              </w:rPr>
              <w:t>140,000</w:t>
            </w:r>
          </w:p>
        </w:tc>
        <w:tc>
          <w:tcPr>
            <w:tcW w:w="1500" w:type="dxa"/>
            <w:vAlign w:val="center"/>
          </w:tcPr>
          <w:p w:rsidR="007C483C" w:rsidRDefault="007F41B2">
            <w:pPr>
              <w:jc w:val="right"/>
            </w:pPr>
            <w:r>
              <w:rPr>
                <w:color w:val="000000"/>
                <w:sz w:val="24"/>
              </w:rPr>
              <w:t>13,925,800.00</w:t>
            </w:r>
          </w:p>
        </w:tc>
        <w:tc>
          <w:tcPr>
            <w:tcW w:w="1500" w:type="dxa"/>
            <w:vAlign w:val="center"/>
          </w:tcPr>
          <w:p w:rsidR="007C483C" w:rsidRDefault="007F41B2">
            <w:pPr>
              <w:jc w:val="right"/>
            </w:pPr>
            <w:r>
              <w:rPr>
                <w:color w:val="000000"/>
                <w:sz w:val="24"/>
              </w:rPr>
              <w:t>25.89</w:t>
            </w:r>
          </w:p>
        </w:tc>
      </w:tr>
      <w:tr w:rsidR="007C483C">
        <w:tc>
          <w:tcPr>
            <w:tcW w:w="1499" w:type="dxa"/>
            <w:vAlign w:val="center"/>
          </w:tcPr>
          <w:p w:rsidR="007C483C" w:rsidRDefault="007F41B2">
            <w:pPr>
              <w:jc w:val="center"/>
            </w:pPr>
            <w:r>
              <w:rPr>
                <w:color w:val="000000"/>
                <w:sz w:val="24"/>
              </w:rPr>
              <w:t>2</w:t>
            </w:r>
          </w:p>
        </w:tc>
        <w:tc>
          <w:tcPr>
            <w:tcW w:w="1499" w:type="dxa"/>
            <w:vAlign w:val="center"/>
          </w:tcPr>
          <w:p w:rsidR="007C483C" w:rsidRDefault="007F41B2">
            <w:pPr>
              <w:jc w:val="center"/>
            </w:pPr>
            <w:r>
              <w:rPr>
                <w:color w:val="000000"/>
                <w:sz w:val="24"/>
              </w:rPr>
              <w:t>111716279</w:t>
            </w:r>
          </w:p>
        </w:tc>
        <w:tc>
          <w:tcPr>
            <w:tcW w:w="1500" w:type="dxa"/>
            <w:vAlign w:val="center"/>
          </w:tcPr>
          <w:p w:rsidR="007C483C" w:rsidRDefault="007F41B2">
            <w:pPr>
              <w:jc w:val="center"/>
            </w:pPr>
            <w:r>
              <w:rPr>
                <w:color w:val="000000"/>
                <w:sz w:val="24"/>
              </w:rPr>
              <w:t>17</w:t>
            </w:r>
            <w:r>
              <w:rPr>
                <w:color w:val="000000"/>
                <w:sz w:val="24"/>
              </w:rPr>
              <w:t>上海银行</w:t>
            </w:r>
            <w:r>
              <w:rPr>
                <w:color w:val="000000"/>
                <w:sz w:val="24"/>
              </w:rPr>
              <w:t>CD279</w:t>
            </w:r>
          </w:p>
        </w:tc>
        <w:tc>
          <w:tcPr>
            <w:tcW w:w="1500" w:type="dxa"/>
            <w:vAlign w:val="center"/>
          </w:tcPr>
          <w:p w:rsidR="007C483C" w:rsidRDefault="007F41B2">
            <w:pPr>
              <w:jc w:val="right"/>
            </w:pPr>
            <w:r>
              <w:rPr>
                <w:color w:val="000000"/>
                <w:sz w:val="24"/>
              </w:rPr>
              <w:t>100,000</w:t>
            </w:r>
          </w:p>
        </w:tc>
        <w:tc>
          <w:tcPr>
            <w:tcW w:w="1500" w:type="dxa"/>
            <w:vAlign w:val="center"/>
          </w:tcPr>
          <w:p w:rsidR="007C483C" w:rsidRDefault="007F41B2">
            <w:pPr>
              <w:jc w:val="right"/>
            </w:pPr>
            <w:r>
              <w:rPr>
                <w:color w:val="000000"/>
                <w:sz w:val="24"/>
              </w:rPr>
              <w:t>9,956,000.00</w:t>
            </w:r>
          </w:p>
        </w:tc>
        <w:tc>
          <w:tcPr>
            <w:tcW w:w="1500" w:type="dxa"/>
            <w:vAlign w:val="center"/>
          </w:tcPr>
          <w:p w:rsidR="007C483C" w:rsidRDefault="007F41B2">
            <w:pPr>
              <w:jc w:val="right"/>
            </w:pPr>
            <w:r>
              <w:rPr>
                <w:color w:val="000000"/>
                <w:sz w:val="24"/>
              </w:rPr>
              <w:t>18.51</w:t>
            </w:r>
          </w:p>
        </w:tc>
      </w:tr>
      <w:tr w:rsidR="007C483C">
        <w:tc>
          <w:tcPr>
            <w:tcW w:w="1499" w:type="dxa"/>
            <w:vAlign w:val="center"/>
          </w:tcPr>
          <w:p w:rsidR="007C483C" w:rsidRDefault="007F41B2">
            <w:pPr>
              <w:jc w:val="center"/>
            </w:pPr>
            <w:r>
              <w:rPr>
                <w:color w:val="000000"/>
                <w:sz w:val="24"/>
              </w:rPr>
              <w:t>3</w:t>
            </w:r>
          </w:p>
        </w:tc>
        <w:tc>
          <w:tcPr>
            <w:tcW w:w="1499" w:type="dxa"/>
            <w:vAlign w:val="center"/>
          </w:tcPr>
          <w:p w:rsidR="007C483C" w:rsidRDefault="007F41B2">
            <w:pPr>
              <w:jc w:val="center"/>
            </w:pPr>
            <w:r>
              <w:rPr>
                <w:color w:val="000000"/>
                <w:sz w:val="24"/>
              </w:rPr>
              <w:t>018005</w:t>
            </w:r>
          </w:p>
        </w:tc>
        <w:tc>
          <w:tcPr>
            <w:tcW w:w="1500" w:type="dxa"/>
            <w:vAlign w:val="center"/>
          </w:tcPr>
          <w:p w:rsidR="007C483C" w:rsidRDefault="007F41B2">
            <w:pPr>
              <w:jc w:val="center"/>
            </w:pPr>
            <w:r>
              <w:rPr>
                <w:color w:val="000000"/>
                <w:sz w:val="24"/>
              </w:rPr>
              <w:t>国开</w:t>
            </w:r>
            <w:r>
              <w:rPr>
                <w:color w:val="000000"/>
                <w:sz w:val="24"/>
              </w:rPr>
              <w:t>1701</w:t>
            </w:r>
          </w:p>
        </w:tc>
        <w:tc>
          <w:tcPr>
            <w:tcW w:w="1500" w:type="dxa"/>
            <w:vAlign w:val="center"/>
          </w:tcPr>
          <w:p w:rsidR="007C483C" w:rsidRDefault="007F41B2">
            <w:pPr>
              <w:jc w:val="right"/>
            </w:pPr>
            <w:r>
              <w:rPr>
                <w:color w:val="000000"/>
                <w:sz w:val="24"/>
              </w:rPr>
              <w:t>100,000</w:t>
            </w:r>
          </w:p>
        </w:tc>
        <w:tc>
          <w:tcPr>
            <w:tcW w:w="1500" w:type="dxa"/>
            <w:vAlign w:val="center"/>
          </w:tcPr>
          <w:p w:rsidR="007C483C" w:rsidRDefault="007F41B2">
            <w:pPr>
              <w:jc w:val="right"/>
            </w:pPr>
            <w:r>
              <w:rPr>
                <w:color w:val="000000"/>
                <w:sz w:val="24"/>
              </w:rPr>
              <w:t>9,889,000.00</w:t>
            </w:r>
          </w:p>
        </w:tc>
        <w:tc>
          <w:tcPr>
            <w:tcW w:w="1500" w:type="dxa"/>
            <w:vAlign w:val="center"/>
          </w:tcPr>
          <w:p w:rsidR="007C483C" w:rsidRDefault="007F41B2">
            <w:pPr>
              <w:jc w:val="right"/>
            </w:pPr>
            <w:r>
              <w:rPr>
                <w:color w:val="000000"/>
                <w:sz w:val="24"/>
              </w:rPr>
              <w:t>18.38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D22E67">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13,261.51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19,101.37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531,853.80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564,216.68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本基金本报告期末未持有股票。</w:t>
      </w:r>
    </w:p>
    <w:p w:rsidR="00112C6D" w:rsidRPr="00273FD9" w:rsidRDefault="00112C6D"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F41B2" w:rsidRPr="004B25B0" w:rsidTr="007F41B2">
        <w:tc>
          <w:tcPr>
            <w:tcW w:w="964" w:type="pct"/>
            <w:vMerge w:val="restart"/>
            <w:tcBorders>
              <w:top w:val="single" w:sz="8" w:space="0" w:color="000000"/>
              <w:left w:val="single" w:sz="8" w:space="0" w:color="000000"/>
              <w:right w:val="single" w:sz="8" w:space="0" w:color="000000"/>
            </w:tcBorders>
            <w:vAlign w:val="center"/>
          </w:tcPr>
          <w:p w:rsidR="007C483C" w:rsidRDefault="007F41B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7F41B2" w:rsidRPr="004B25B0" w:rsidTr="007F41B2">
        <w:tc>
          <w:tcPr>
            <w:tcW w:w="964" w:type="pct"/>
            <w:vMerge/>
            <w:tcBorders>
              <w:left w:val="single" w:sz="8" w:space="0" w:color="000000"/>
              <w:right w:val="single" w:sz="8" w:space="0" w:color="000000"/>
            </w:tcBorders>
          </w:tcPr>
          <w:p w:rsidR="007C483C" w:rsidRDefault="007C483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F41B2" w:rsidRPr="004B25B0" w:rsidTr="007F41B2">
        <w:tc>
          <w:tcPr>
            <w:tcW w:w="964" w:type="pct"/>
            <w:vMerge/>
            <w:tcBorders>
              <w:left w:val="single" w:sz="8" w:space="0" w:color="000000"/>
              <w:bottom w:val="single" w:sz="8" w:space="0" w:color="000000"/>
              <w:right w:val="single" w:sz="8" w:space="0" w:color="000000"/>
            </w:tcBorders>
          </w:tcPr>
          <w:p w:rsidR="007C483C" w:rsidRDefault="007C483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F41B2" w:rsidRPr="004B25B0" w:rsidTr="007F41B2">
        <w:tc>
          <w:tcPr>
            <w:tcW w:w="964" w:type="pct"/>
            <w:tcBorders>
              <w:top w:val="single" w:sz="8" w:space="0" w:color="000000"/>
              <w:left w:val="single" w:sz="8" w:space="0" w:color="000000"/>
              <w:bottom w:val="single" w:sz="8" w:space="0" w:color="000000"/>
              <w:right w:val="single" w:sz="8" w:space="0" w:color="000000"/>
            </w:tcBorders>
            <w:vAlign w:val="center"/>
          </w:tcPr>
          <w:p w:rsidR="007C483C" w:rsidRDefault="007F41B2">
            <w:pPr>
              <w:jc w:val="center"/>
            </w:pPr>
            <w:r>
              <w:rPr>
                <w:bCs/>
                <w:color w:val="000000"/>
                <w:szCs w:val="21"/>
              </w:rPr>
              <w:t>406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132,238.00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53,688,629.82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7F41B2" w:rsidP="00BF787C">
            <w:pPr>
              <w:widowControl/>
              <w:spacing w:before="29" w:line="288" w:lineRule="auto"/>
              <w:jc w:val="right"/>
              <w:rPr>
                <w:color w:val="000000"/>
                <w:kern w:val="0"/>
                <w:sz w:val="24"/>
              </w:rPr>
            </w:pPr>
            <w:r>
              <w:rPr>
                <w:color w:val="000000"/>
                <w:kern w:val="0"/>
                <w:sz w:val="24"/>
              </w:rPr>
              <w:t>-</w:t>
            </w:r>
          </w:p>
        </w:tc>
        <w:tc>
          <w:tcPr>
            <w:tcW w:w="2160" w:type="dxa"/>
            <w:vAlign w:val="center"/>
          </w:tcPr>
          <w:p w:rsidR="001A59F9" w:rsidRPr="00BF787C" w:rsidRDefault="007F41B2"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lastRenderedPageBreak/>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7F41B2" w:rsidP="00BF787C">
            <w:pPr>
              <w:widowControl/>
              <w:spacing w:before="29" w:line="288" w:lineRule="auto"/>
              <w:jc w:val="right"/>
              <w:rPr>
                <w:color w:val="000000"/>
                <w:kern w:val="0"/>
                <w:sz w:val="24"/>
              </w:rPr>
            </w:pPr>
            <w:r>
              <w:rPr>
                <w:color w:val="000000"/>
                <w:kern w:val="0"/>
                <w:sz w:val="24"/>
              </w:rPr>
              <w:t>-</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7F41B2" w:rsidP="00BF787C">
            <w:pPr>
              <w:widowControl/>
              <w:spacing w:before="29" w:line="288" w:lineRule="auto"/>
              <w:jc w:val="right"/>
              <w:rPr>
                <w:color w:val="000000"/>
                <w:kern w:val="0"/>
                <w:sz w:val="24"/>
              </w:rPr>
            </w:pPr>
            <w:r>
              <w:rPr>
                <w:color w:val="000000"/>
                <w:kern w:val="0"/>
                <w:sz w:val="24"/>
              </w:rPr>
              <w:t>-</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11</w:t>
            </w:r>
            <w:r w:rsidR="00146153" w:rsidRPr="00300454">
              <w:rPr>
                <w:sz w:val="24"/>
              </w:rPr>
              <w:t>月</w:t>
            </w:r>
            <w:r w:rsidR="00146153" w:rsidRPr="00300454">
              <w:rPr>
                <w:sz w:val="24"/>
              </w:rPr>
              <w:t>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438,630,665.79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438,630,665.79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999.00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384,943,034.97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53,688,629.82</w:t>
            </w:r>
          </w:p>
        </w:tc>
      </w:tr>
    </w:tbl>
    <w:p w:rsidR="007C483C" w:rsidRDefault="007F41B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7C483C" w:rsidRDefault="007F41B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交银施罗德丰硕收益债券型证券投资基金的封闭期自</w:t>
      </w:r>
      <w:r w:rsidRPr="00700C00">
        <w:rPr>
          <w:color w:val="000000"/>
          <w:sz w:val="24"/>
        </w:rPr>
        <w:t>2015</w:t>
      </w:r>
      <w:r w:rsidRPr="00700C00">
        <w:rPr>
          <w:color w:val="000000"/>
          <w:sz w:val="24"/>
        </w:rPr>
        <w:t>年</w:t>
      </w:r>
      <w:r w:rsidRPr="00700C00">
        <w:rPr>
          <w:color w:val="000000"/>
          <w:sz w:val="24"/>
        </w:rPr>
        <w:t>11</w:t>
      </w:r>
      <w:r w:rsidRPr="00700C00">
        <w:rPr>
          <w:color w:val="000000"/>
          <w:sz w:val="24"/>
        </w:rPr>
        <w:t>月</w:t>
      </w:r>
      <w:r w:rsidRPr="00700C00">
        <w:rPr>
          <w:color w:val="000000"/>
          <w:sz w:val="24"/>
        </w:rPr>
        <w:t>9</w:t>
      </w:r>
      <w:r w:rsidRPr="00700C00">
        <w:rPr>
          <w:color w:val="000000"/>
          <w:sz w:val="24"/>
        </w:rPr>
        <w:t>日开始至</w:t>
      </w:r>
      <w:r w:rsidRPr="00700C00">
        <w:rPr>
          <w:color w:val="000000"/>
          <w:sz w:val="24"/>
        </w:rPr>
        <w:t>2017</w:t>
      </w:r>
      <w:r w:rsidRPr="00700C00">
        <w:rPr>
          <w:color w:val="000000"/>
          <w:sz w:val="24"/>
        </w:rPr>
        <w:lastRenderedPageBreak/>
        <w:t>年</w:t>
      </w:r>
      <w:r w:rsidRPr="00700C00">
        <w:rPr>
          <w:color w:val="000000"/>
          <w:sz w:val="24"/>
        </w:rPr>
        <w:t>11</w:t>
      </w:r>
      <w:r w:rsidRPr="00700C00">
        <w:rPr>
          <w:color w:val="000000"/>
          <w:sz w:val="24"/>
        </w:rPr>
        <w:t>月</w:t>
      </w:r>
      <w:r w:rsidRPr="00700C00">
        <w:rPr>
          <w:color w:val="000000"/>
          <w:sz w:val="24"/>
        </w:rPr>
        <w:t>9</w:t>
      </w:r>
      <w:r w:rsidRPr="00700C00">
        <w:rPr>
          <w:color w:val="000000"/>
          <w:sz w:val="24"/>
        </w:rPr>
        <w:t>日止，自</w:t>
      </w:r>
      <w:r w:rsidRPr="00700C00">
        <w:rPr>
          <w:color w:val="000000"/>
          <w:sz w:val="24"/>
        </w:rPr>
        <w:t>2017</w:t>
      </w:r>
      <w:r w:rsidRPr="00700C00">
        <w:rPr>
          <w:color w:val="000000"/>
          <w:sz w:val="24"/>
        </w:rPr>
        <w:t>年</w:t>
      </w:r>
      <w:r w:rsidRPr="00700C00">
        <w:rPr>
          <w:color w:val="000000"/>
          <w:sz w:val="24"/>
        </w:rPr>
        <w:t>11</w:t>
      </w:r>
      <w:r w:rsidRPr="00700C00">
        <w:rPr>
          <w:color w:val="000000"/>
          <w:sz w:val="24"/>
        </w:rPr>
        <w:t>月</w:t>
      </w:r>
      <w:r w:rsidRPr="00700C00">
        <w:rPr>
          <w:color w:val="000000"/>
          <w:sz w:val="24"/>
        </w:rPr>
        <w:t>10</w:t>
      </w:r>
      <w:r w:rsidRPr="00700C00">
        <w:rPr>
          <w:color w:val="000000"/>
          <w:sz w:val="24"/>
        </w:rPr>
        <w:t>日起转为开放式运作，并自该日起适用《交银施罗德丰硕收益债券型证券投资基金基金合同》中关于</w:t>
      </w:r>
      <w:r w:rsidRPr="00700C00">
        <w:rPr>
          <w:color w:val="000000"/>
          <w:sz w:val="24"/>
        </w:rPr>
        <w:t>“</w:t>
      </w:r>
      <w:r w:rsidRPr="00700C00">
        <w:rPr>
          <w:color w:val="000000"/>
          <w:sz w:val="24"/>
        </w:rPr>
        <w:t>转为开放式运作后的投资</w:t>
      </w:r>
      <w:r w:rsidRPr="00700C00">
        <w:rPr>
          <w:color w:val="000000"/>
          <w:sz w:val="24"/>
        </w:rPr>
        <w:t>”</w:t>
      </w:r>
      <w:r w:rsidRPr="00700C00">
        <w:rPr>
          <w:color w:val="000000"/>
          <w:sz w:val="24"/>
        </w:rPr>
        <w:t>的相关规定进行运作。</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7C483C" w:rsidRDefault="007F41B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C483C" w:rsidRDefault="007F41B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7C483C" w:rsidRDefault="007F41B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C483C">
        <w:tc>
          <w:tcPr>
            <w:tcW w:w="1559" w:type="dxa"/>
            <w:vAlign w:val="center"/>
          </w:tcPr>
          <w:p w:rsidR="007C483C" w:rsidRDefault="007F41B2">
            <w:pPr>
              <w:jc w:val="left"/>
            </w:pPr>
            <w:r>
              <w:rPr>
                <w:color w:val="000000"/>
                <w:szCs w:val="21"/>
              </w:rPr>
              <w:t>安信证券股份有限公司</w:t>
            </w:r>
          </w:p>
        </w:tc>
        <w:tc>
          <w:tcPr>
            <w:tcW w:w="779" w:type="dxa"/>
            <w:vAlign w:val="center"/>
          </w:tcPr>
          <w:p w:rsidR="007C483C" w:rsidRDefault="007F41B2">
            <w:pPr>
              <w:jc w:val="right"/>
            </w:pPr>
            <w:r>
              <w:rPr>
                <w:color w:val="000000"/>
                <w:szCs w:val="21"/>
              </w:rPr>
              <w:t>2</w:t>
            </w:r>
          </w:p>
        </w:tc>
        <w:tc>
          <w:tcPr>
            <w:tcW w:w="1800" w:type="dxa"/>
            <w:vAlign w:val="center"/>
          </w:tcPr>
          <w:p w:rsidR="007C483C" w:rsidRDefault="007F41B2">
            <w:pPr>
              <w:jc w:val="right"/>
            </w:pPr>
            <w:r>
              <w:rPr>
                <w:color w:val="000000"/>
                <w:szCs w:val="21"/>
              </w:rPr>
              <w:t>-</w:t>
            </w:r>
          </w:p>
        </w:tc>
        <w:tc>
          <w:tcPr>
            <w:tcW w:w="1080" w:type="dxa"/>
            <w:vAlign w:val="center"/>
          </w:tcPr>
          <w:p w:rsidR="007C483C" w:rsidRDefault="007F41B2">
            <w:pPr>
              <w:jc w:val="right"/>
            </w:pPr>
            <w:r>
              <w:rPr>
                <w:color w:val="000000"/>
                <w:szCs w:val="21"/>
              </w:rPr>
              <w:t>-</w:t>
            </w:r>
          </w:p>
        </w:tc>
        <w:tc>
          <w:tcPr>
            <w:tcW w:w="1620" w:type="dxa"/>
            <w:vAlign w:val="center"/>
          </w:tcPr>
          <w:p w:rsidR="007C483C" w:rsidRDefault="007F41B2">
            <w:pPr>
              <w:jc w:val="right"/>
            </w:pPr>
            <w:r>
              <w:rPr>
                <w:color w:val="000000"/>
                <w:szCs w:val="21"/>
              </w:rPr>
              <w:t>-</w:t>
            </w:r>
          </w:p>
        </w:tc>
        <w:tc>
          <w:tcPr>
            <w:tcW w:w="1080" w:type="dxa"/>
            <w:vAlign w:val="center"/>
          </w:tcPr>
          <w:p w:rsidR="007C483C" w:rsidRDefault="007F41B2">
            <w:pPr>
              <w:jc w:val="right"/>
            </w:pPr>
            <w:r>
              <w:rPr>
                <w:color w:val="000000"/>
                <w:szCs w:val="21"/>
              </w:rPr>
              <w:t>-</w:t>
            </w:r>
          </w:p>
        </w:tc>
        <w:tc>
          <w:tcPr>
            <w:tcW w:w="1080" w:type="dxa"/>
            <w:vAlign w:val="center"/>
          </w:tcPr>
          <w:p w:rsidR="007C483C" w:rsidRDefault="007F41B2">
            <w:pPr>
              <w:jc w:val="left"/>
            </w:pPr>
            <w:r>
              <w:rPr>
                <w:color w:val="000000"/>
                <w:szCs w:val="21"/>
              </w:rPr>
              <w:t>-</w:t>
            </w:r>
          </w:p>
        </w:tc>
      </w:tr>
      <w:tr w:rsidR="007C483C">
        <w:tc>
          <w:tcPr>
            <w:tcW w:w="1559" w:type="dxa"/>
            <w:vAlign w:val="center"/>
          </w:tcPr>
          <w:p w:rsidR="007C483C" w:rsidRDefault="007F41B2">
            <w:pPr>
              <w:jc w:val="left"/>
            </w:pPr>
            <w:r>
              <w:rPr>
                <w:color w:val="000000"/>
                <w:szCs w:val="21"/>
              </w:rPr>
              <w:t>国金证券股份有限公司</w:t>
            </w:r>
          </w:p>
        </w:tc>
        <w:tc>
          <w:tcPr>
            <w:tcW w:w="779" w:type="dxa"/>
            <w:vAlign w:val="center"/>
          </w:tcPr>
          <w:p w:rsidR="007C483C" w:rsidRDefault="007F41B2">
            <w:pPr>
              <w:jc w:val="right"/>
            </w:pPr>
            <w:r>
              <w:rPr>
                <w:color w:val="000000"/>
                <w:szCs w:val="21"/>
              </w:rPr>
              <w:t>2</w:t>
            </w:r>
          </w:p>
        </w:tc>
        <w:tc>
          <w:tcPr>
            <w:tcW w:w="1800" w:type="dxa"/>
            <w:vAlign w:val="center"/>
          </w:tcPr>
          <w:p w:rsidR="007C483C" w:rsidRDefault="007F41B2">
            <w:pPr>
              <w:jc w:val="right"/>
            </w:pPr>
            <w:r>
              <w:rPr>
                <w:color w:val="000000"/>
                <w:szCs w:val="21"/>
              </w:rPr>
              <w:t>-</w:t>
            </w:r>
          </w:p>
        </w:tc>
        <w:tc>
          <w:tcPr>
            <w:tcW w:w="1080" w:type="dxa"/>
            <w:vAlign w:val="center"/>
          </w:tcPr>
          <w:p w:rsidR="007C483C" w:rsidRDefault="007F41B2">
            <w:pPr>
              <w:jc w:val="right"/>
            </w:pPr>
            <w:r>
              <w:rPr>
                <w:color w:val="000000"/>
                <w:szCs w:val="21"/>
              </w:rPr>
              <w:t>-</w:t>
            </w:r>
          </w:p>
        </w:tc>
        <w:tc>
          <w:tcPr>
            <w:tcW w:w="1620" w:type="dxa"/>
            <w:vAlign w:val="center"/>
          </w:tcPr>
          <w:p w:rsidR="007C483C" w:rsidRDefault="007F41B2">
            <w:pPr>
              <w:jc w:val="right"/>
            </w:pPr>
            <w:r>
              <w:rPr>
                <w:color w:val="000000"/>
                <w:szCs w:val="21"/>
              </w:rPr>
              <w:t>-</w:t>
            </w:r>
          </w:p>
        </w:tc>
        <w:tc>
          <w:tcPr>
            <w:tcW w:w="1080" w:type="dxa"/>
            <w:vAlign w:val="center"/>
          </w:tcPr>
          <w:p w:rsidR="007C483C" w:rsidRDefault="007F41B2">
            <w:pPr>
              <w:jc w:val="right"/>
            </w:pPr>
            <w:r>
              <w:rPr>
                <w:color w:val="000000"/>
                <w:szCs w:val="21"/>
              </w:rPr>
              <w:t>-</w:t>
            </w:r>
          </w:p>
        </w:tc>
        <w:tc>
          <w:tcPr>
            <w:tcW w:w="1080" w:type="dxa"/>
            <w:vAlign w:val="center"/>
          </w:tcPr>
          <w:p w:rsidR="007C483C" w:rsidRDefault="007F41B2">
            <w:pPr>
              <w:jc w:val="left"/>
            </w:pPr>
            <w:r>
              <w:rPr>
                <w:color w:val="000000"/>
                <w:szCs w:val="21"/>
              </w:rPr>
              <w:t>-</w:t>
            </w:r>
          </w:p>
        </w:tc>
      </w:tr>
      <w:tr w:rsidR="007C483C">
        <w:tc>
          <w:tcPr>
            <w:tcW w:w="1559" w:type="dxa"/>
            <w:vAlign w:val="center"/>
          </w:tcPr>
          <w:p w:rsidR="007C483C" w:rsidRDefault="007F41B2">
            <w:pPr>
              <w:jc w:val="left"/>
            </w:pPr>
            <w:r>
              <w:rPr>
                <w:color w:val="000000"/>
                <w:szCs w:val="21"/>
              </w:rPr>
              <w:t>中泰证券股份有限公司</w:t>
            </w:r>
          </w:p>
        </w:tc>
        <w:tc>
          <w:tcPr>
            <w:tcW w:w="779" w:type="dxa"/>
            <w:vAlign w:val="center"/>
          </w:tcPr>
          <w:p w:rsidR="007C483C" w:rsidRDefault="007F41B2">
            <w:pPr>
              <w:jc w:val="right"/>
            </w:pPr>
            <w:r>
              <w:rPr>
                <w:color w:val="000000"/>
                <w:szCs w:val="21"/>
              </w:rPr>
              <w:t>2</w:t>
            </w:r>
          </w:p>
        </w:tc>
        <w:tc>
          <w:tcPr>
            <w:tcW w:w="1800" w:type="dxa"/>
            <w:vAlign w:val="center"/>
          </w:tcPr>
          <w:p w:rsidR="007C483C" w:rsidRDefault="007F41B2">
            <w:pPr>
              <w:jc w:val="right"/>
            </w:pPr>
            <w:r>
              <w:rPr>
                <w:color w:val="000000"/>
                <w:szCs w:val="21"/>
              </w:rPr>
              <w:t>-</w:t>
            </w:r>
          </w:p>
        </w:tc>
        <w:tc>
          <w:tcPr>
            <w:tcW w:w="1080" w:type="dxa"/>
            <w:vAlign w:val="center"/>
          </w:tcPr>
          <w:p w:rsidR="007C483C" w:rsidRDefault="007F41B2">
            <w:pPr>
              <w:jc w:val="right"/>
            </w:pPr>
            <w:r>
              <w:rPr>
                <w:color w:val="000000"/>
                <w:szCs w:val="21"/>
              </w:rPr>
              <w:t>-</w:t>
            </w:r>
          </w:p>
        </w:tc>
        <w:tc>
          <w:tcPr>
            <w:tcW w:w="1620" w:type="dxa"/>
            <w:vAlign w:val="center"/>
          </w:tcPr>
          <w:p w:rsidR="007C483C" w:rsidRDefault="007F41B2">
            <w:pPr>
              <w:jc w:val="right"/>
            </w:pPr>
            <w:r>
              <w:rPr>
                <w:color w:val="000000"/>
                <w:szCs w:val="21"/>
              </w:rPr>
              <w:t>-</w:t>
            </w:r>
          </w:p>
        </w:tc>
        <w:tc>
          <w:tcPr>
            <w:tcW w:w="1080" w:type="dxa"/>
            <w:vAlign w:val="center"/>
          </w:tcPr>
          <w:p w:rsidR="007C483C" w:rsidRDefault="007F41B2">
            <w:pPr>
              <w:jc w:val="right"/>
            </w:pPr>
            <w:r>
              <w:rPr>
                <w:color w:val="000000"/>
                <w:szCs w:val="21"/>
              </w:rPr>
              <w:t>-</w:t>
            </w:r>
          </w:p>
        </w:tc>
        <w:tc>
          <w:tcPr>
            <w:tcW w:w="1080" w:type="dxa"/>
            <w:vAlign w:val="center"/>
          </w:tcPr>
          <w:p w:rsidR="007C483C" w:rsidRDefault="007F41B2">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w:t>
            </w:r>
            <w:r w:rsidRPr="00465C9F">
              <w:rPr>
                <w:rFonts w:hint="eastAsia"/>
                <w:color w:val="000000"/>
                <w:szCs w:val="21"/>
              </w:rPr>
              <w:lastRenderedPageBreak/>
              <w:t>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lastRenderedPageBreak/>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w:t>
            </w:r>
            <w:r w:rsidRPr="00465C9F">
              <w:rPr>
                <w:rFonts w:hint="eastAsia"/>
                <w:color w:val="000000"/>
                <w:szCs w:val="21"/>
              </w:rPr>
              <w:lastRenderedPageBreak/>
              <w:t>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lastRenderedPageBreak/>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r w:rsidRPr="00465C9F">
              <w:rPr>
                <w:rFonts w:hint="eastAsia"/>
                <w:color w:val="000000"/>
                <w:szCs w:val="21"/>
              </w:rPr>
              <w:lastRenderedPageBreak/>
              <w:t>证成交总额的比例</w:t>
            </w:r>
          </w:p>
        </w:tc>
      </w:tr>
      <w:tr w:rsidR="007C483C">
        <w:tc>
          <w:tcPr>
            <w:tcW w:w="1559" w:type="dxa"/>
            <w:vAlign w:val="center"/>
          </w:tcPr>
          <w:p w:rsidR="007C483C" w:rsidRDefault="007F41B2">
            <w:pPr>
              <w:jc w:val="left"/>
            </w:pPr>
            <w:r>
              <w:rPr>
                <w:color w:val="000000"/>
                <w:szCs w:val="21"/>
              </w:rPr>
              <w:lastRenderedPageBreak/>
              <w:t>安信证券股份有限公司</w:t>
            </w:r>
          </w:p>
        </w:tc>
        <w:tc>
          <w:tcPr>
            <w:tcW w:w="1319" w:type="dxa"/>
            <w:vAlign w:val="center"/>
          </w:tcPr>
          <w:p w:rsidR="007C483C" w:rsidRDefault="007F41B2">
            <w:pPr>
              <w:jc w:val="right"/>
            </w:pPr>
            <w:r>
              <w:rPr>
                <w:color w:val="000000"/>
                <w:szCs w:val="21"/>
              </w:rPr>
              <w:t>500,604,954.62</w:t>
            </w:r>
          </w:p>
        </w:tc>
        <w:tc>
          <w:tcPr>
            <w:tcW w:w="1080" w:type="dxa"/>
            <w:vAlign w:val="center"/>
          </w:tcPr>
          <w:p w:rsidR="007C483C" w:rsidRDefault="007F41B2">
            <w:pPr>
              <w:jc w:val="right"/>
            </w:pPr>
            <w:r>
              <w:rPr>
                <w:color w:val="000000"/>
                <w:szCs w:val="21"/>
              </w:rPr>
              <w:t>100.00%</w:t>
            </w:r>
          </w:p>
        </w:tc>
        <w:tc>
          <w:tcPr>
            <w:tcW w:w="1143" w:type="dxa"/>
            <w:vAlign w:val="center"/>
          </w:tcPr>
          <w:p w:rsidR="007C483C" w:rsidRDefault="007F41B2">
            <w:pPr>
              <w:jc w:val="right"/>
            </w:pPr>
            <w:r>
              <w:rPr>
                <w:color w:val="000000"/>
                <w:szCs w:val="21"/>
              </w:rPr>
              <w:t>11,306,200,000.00</w:t>
            </w:r>
          </w:p>
        </w:tc>
        <w:tc>
          <w:tcPr>
            <w:tcW w:w="1197" w:type="dxa"/>
            <w:vAlign w:val="center"/>
          </w:tcPr>
          <w:p w:rsidR="007C483C" w:rsidRDefault="007F41B2">
            <w:pPr>
              <w:jc w:val="right"/>
            </w:pPr>
            <w:r>
              <w:rPr>
                <w:color w:val="000000"/>
                <w:szCs w:val="21"/>
              </w:rPr>
              <w:t>100.00%</w:t>
            </w:r>
          </w:p>
        </w:tc>
        <w:tc>
          <w:tcPr>
            <w:tcW w:w="1497" w:type="dxa"/>
            <w:vAlign w:val="center"/>
          </w:tcPr>
          <w:p w:rsidR="007C483C" w:rsidRDefault="007F41B2">
            <w:pPr>
              <w:jc w:val="right"/>
            </w:pPr>
            <w:r>
              <w:rPr>
                <w:color w:val="000000"/>
                <w:szCs w:val="21"/>
              </w:rPr>
              <w:t>-</w:t>
            </w:r>
          </w:p>
        </w:tc>
        <w:tc>
          <w:tcPr>
            <w:tcW w:w="1203" w:type="dxa"/>
            <w:vAlign w:val="center"/>
          </w:tcPr>
          <w:p w:rsidR="007C483C" w:rsidRDefault="007F41B2">
            <w:pPr>
              <w:jc w:val="right"/>
            </w:pPr>
            <w:r>
              <w:rPr>
                <w:color w:val="000000"/>
                <w:szCs w:val="21"/>
              </w:rPr>
              <w:t>-</w:t>
            </w:r>
          </w:p>
        </w:tc>
      </w:tr>
    </w:tbl>
    <w:p w:rsidR="007C483C" w:rsidRDefault="007F41B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7C483C" w:rsidRDefault="007F41B2">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根据本基金基金合同的规定，本基金在基金合同生效之日起两年（含两年）的期间内封闭式运作（按照基金合同的约定提前转换基金运作方式的除外），封闭期结束后转为开放式运作。封闭期在本基金的基金合同中如无特别指明即为自基金合同生效之日起至两个公历年后对应日止，若两年后对应日为非工作日的，相应顺延。本基金的封闭期自2015年11月9日开始至2017年11月9日止，自2017年11月10日起转为开放式运作。本基金在转为开放式运作后，自2017年11月10日开始办理日常申购、赎回等业务，并适用基金合同中关于转为开放式运作后的有关规定。详情请查阅本基金管理人于2017年11月3日发布的《交银施罗德基金管理有限公司关于交银施罗德丰硕收益债券型证券投资基金封闭期结束转为开放式运作的提示性公告》以及2017年11月8日发布的《交银施罗德基金管理有限公司关于交银施罗德丰硕收益债券型证券投资基金封闭期结束转为开放式运作暨开放日常申购、赎回业务的公告》。</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lastRenderedPageBreak/>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DA" w:rsidRDefault="00F93EDA">
      <w:r>
        <w:separator/>
      </w:r>
    </w:p>
  </w:endnote>
  <w:endnote w:type="continuationSeparator" w:id="0">
    <w:p w:rsidR="00F93EDA" w:rsidRDefault="00F9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3B685F">
      <w:rPr>
        <w:noProof/>
        <w:kern w:val="0"/>
        <w:szCs w:val="21"/>
      </w:rPr>
      <w:t>20</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3B685F">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DA" w:rsidRDefault="00F93EDA">
      <w:r>
        <w:separator/>
      </w:r>
    </w:p>
  </w:footnote>
  <w:footnote w:type="continuationSeparator" w:id="0">
    <w:p w:rsidR="00F93EDA" w:rsidRDefault="00F9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2C6D"/>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166"/>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685F"/>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0E20"/>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476"/>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483C"/>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41B2"/>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2E67"/>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17F48"/>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3EDA"/>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3800D2-9DAB-49DD-AA99-007EB75D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33</Pages>
  <Words>3289</Words>
  <Characters>18748</Characters>
  <Application>Microsoft Office Word</Application>
  <DocSecurity>0</DocSecurity>
  <Lines>156</Lines>
  <Paragraphs>43</Paragraphs>
  <ScaleCrop>false</ScaleCrop>
  <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559</cp:revision>
  <cp:lastPrinted>2007-07-19T00:46:00Z</cp:lastPrinted>
  <dcterms:created xsi:type="dcterms:W3CDTF">2013-10-15T01:57:00Z</dcterms:created>
  <dcterms:modified xsi:type="dcterms:W3CDTF">2018-03-26T14:28:00Z</dcterms:modified>
</cp:coreProperties>
</file>