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0F" w:rsidRPr="00B87C7F" w:rsidRDefault="00464A0F" w:rsidP="00464A0F">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464A0F">
        <w:rPr>
          <w:rFonts w:ascii="Times New Roman" w:eastAsia="宋体" w:hAnsi="宋体" w:cs="Times New Roman" w:hint="eastAsia"/>
          <w:b/>
          <w:sz w:val="28"/>
          <w:szCs w:val="28"/>
        </w:rPr>
        <w:t>交银施罗德新生活力灵活配置混合型证券投资基金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464A0F" w:rsidRDefault="00464A0F" w:rsidP="00464A0F">
      <w:pPr>
        <w:widowControl/>
        <w:jc w:val="left"/>
        <w:rPr>
          <w:rFonts w:ascii="Times New Roman" w:eastAsia="宋体" w:hAnsi="Times New Roman" w:cs="Times New Roman"/>
          <w:b/>
          <w:sz w:val="24"/>
          <w:szCs w:val="23"/>
        </w:rPr>
      </w:pPr>
    </w:p>
    <w:p w:rsidR="00464A0F" w:rsidRDefault="00464A0F" w:rsidP="00464A0F">
      <w:pPr>
        <w:widowControl/>
        <w:jc w:val="left"/>
        <w:rPr>
          <w:rFonts w:ascii="Times New Roman" w:eastAsia="宋体" w:hAnsi="Times New Roman" w:cs="Times New Roman"/>
          <w:b/>
          <w:sz w:val="24"/>
          <w:szCs w:val="23"/>
        </w:rPr>
      </w:pPr>
    </w:p>
    <w:p w:rsidR="00464A0F" w:rsidRPr="00E45F39" w:rsidRDefault="00464A0F" w:rsidP="00464A0F">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464A0F">
        <w:rPr>
          <w:rFonts w:ascii="Times New Roman" w:hAnsi="宋体" w:hint="eastAsia"/>
          <w:sz w:val="24"/>
          <w:szCs w:val="24"/>
        </w:rPr>
        <w:t>交银施罗德新生活力灵活配置混合型证券投资基金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464A0F" w:rsidRDefault="00464A0F" w:rsidP="00464A0F">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8E0ED0" w:rsidRPr="008E0ED0">
        <w:rPr>
          <w:rFonts w:ascii="Times New Roman" w:hAnsi="宋体" w:hint="eastAsia"/>
          <w:sz w:val="24"/>
          <w:szCs w:val="24"/>
        </w:rPr>
        <w:t>对持续持有期少于</w:t>
      </w:r>
      <w:r w:rsidR="008E0ED0" w:rsidRPr="008E0ED0">
        <w:rPr>
          <w:rFonts w:ascii="Times New Roman" w:hAnsi="宋体" w:hint="eastAsia"/>
          <w:sz w:val="24"/>
          <w:szCs w:val="24"/>
        </w:rPr>
        <w:t>7</w:t>
      </w:r>
      <w:r w:rsidR="008E0ED0" w:rsidRPr="008E0ED0">
        <w:rPr>
          <w:rFonts w:ascii="Times New Roman" w:hAnsi="宋体" w:hint="eastAsia"/>
          <w:sz w:val="24"/>
          <w:szCs w:val="24"/>
        </w:rPr>
        <w:t>日的投资者收取不低于</w:t>
      </w:r>
      <w:r w:rsidR="008E0ED0" w:rsidRPr="008E0ED0">
        <w:rPr>
          <w:rFonts w:ascii="Times New Roman" w:hAnsi="宋体" w:hint="eastAsia"/>
          <w:sz w:val="24"/>
          <w:szCs w:val="24"/>
        </w:rPr>
        <w:t>1.5%</w:t>
      </w:r>
      <w:r w:rsidR="008E0ED0" w:rsidRPr="008E0ED0">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464A0F" w:rsidRPr="00C83FFB" w:rsidRDefault="00464A0F" w:rsidP="00464A0F">
      <w:pPr>
        <w:adjustRightInd w:val="0"/>
        <w:snapToGrid w:val="0"/>
        <w:spacing w:line="360" w:lineRule="auto"/>
        <w:ind w:firstLine="480"/>
        <w:jc w:val="left"/>
        <w:rPr>
          <w:rFonts w:ascii="Times New Roman" w:hAnsi="宋体"/>
          <w:sz w:val="24"/>
          <w:szCs w:val="24"/>
        </w:rPr>
      </w:pPr>
    </w:p>
    <w:p w:rsidR="00464A0F" w:rsidRPr="00E45F39" w:rsidRDefault="00464A0F" w:rsidP="00464A0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464A0F" w:rsidRDefault="00464A0F" w:rsidP="00464A0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464A0F">
        <w:rPr>
          <w:rFonts w:ascii="Times New Roman" w:hAnsi="宋体" w:hint="eastAsia"/>
          <w:sz w:val="24"/>
          <w:szCs w:val="24"/>
        </w:rPr>
        <w:t>交银施罗德新生活力灵活配置混合型证券投资基金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464A0F" w:rsidRPr="00E45F39" w:rsidRDefault="00464A0F" w:rsidP="00464A0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464A0F" w:rsidRDefault="00464A0F" w:rsidP="00464A0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464A0F" w:rsidRPr="001674F7" w:rsidRDefault="00464A0F" w:rsidP="00464A0F">
      <w:pPr>
        <w:adjustRightInd w:val="0"/>
        <w:snapToGrid w:val="0"/>
        <w:spacing w:line="360" w:lineRule="auto"/>
        <w:ind w:firstLine="480"/>
        <w:jc w:val="left"/>
        <w:rPr>
          <w:rFonts w:ascii="Times New Roman" w:hAnsi="宋体"/>
          <w:sz w:val="24"/>
          <w:szCs w:val="24"/>
        </w:rPr>
      </w:pPr>
    </w:p>
    <w:p w:rsidR="00464A0F" w:rsidRPr="00E45F39" w:rsidRDefault="00464A0F" w:rsidP="00464A0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64A0F" w:rsidRDefault="00464A0F" w:rsidP="00464A0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464A0F" w:rsidRDefault="00464A0F" w:rsidP="00464A0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464A0F" w:rsidRPr="00E45F39" w:rsidRDefault="00464A0F" w:rsidP="00464A0F">
      <w:pPr>
        <w:adjustRightInd w:val="0"/>
        <w:snapToGrid w:val="0"/>
        <w:spacing w:line="360" w:lineRule="auto"/>
        <w:ind w:firstLine="480"/>
        <w:jc w:val="left"/>
        <w:rPr>
          <w:rFonts w:ascii="Times New Roman" w:hAnsi="宋体"/>
          <w:sz w:val="24"/>
          <w:szCs w:val="24"/>
        </w:rPr>
      </w:pPr>
    </w:p>
    <w:p w:rsidR="00464A0F" w:rsidRPr="00E45F39" w:rsidRDefault="00464A0F" w:rsidP="00464A0F">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464A0F" w:rsidRDefault="00464A0F" w:rsidP="00FB3DE8">
      <w:pPr>
        <w:tabs>
          <w:tab w:val="left" w:pos="1843"/>
        </w:tabs>
        <w:spacing w:beforeLines="50" w:afterLines="50" w:line="305" w:lineRule="auto"/>
        <w:jc w:val="right"/>
        <w:rPr>
          <w:rFonts w:ascii="Times New Roman" w:eastAsia="宋体" w:hAnsi="Times New Roman" w:cs="Times New Roman"/>
          <w:b/>
          <w:sz w:val="24"/>
          <w:szCs w:val="23"/>
        </w:rPr>
        <w:sectPr w:rsidR="00464A0F" w:rsidSect="00464A0F">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FB3DE8">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FB3DE8">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5C09A7">
        <w:rPr>
          <w:rFonts w:ascii="Times New Roman" w:eastAsia="宋体" w:hAnsi="Times New Roman" w:cs="Times New Roman" w:hint="eastAsia"/>
          <w:b/>
          <w:sz w:val="24"/>
          <w:szCs w:val="23"/>
        </w:rPr>
        <w:t>交银施罗德新生活力灵活配置混合型证券投资基金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026"/>
        <w:gridCol w:w="4417"/>
        <w:gridCol w:w="4387"/>
      </w:tblGrid>
      <w:tr w:rsidR="007440CC" w:rsidRPr="006C7529" w:rsidTr="007440CC">
        <w:trPr>
          <w:jc w:val="center"/>
        </w:trPr>
        <w:tc>
          <w:tcPr>
            <w:tcW w:w="127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86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85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7440CC" w:rsidRPr="006C7529" w:rsidTr="007440CC">
        <w:trPr>
          <w:jc w:val="center"/>
        </w:trPr>
        <w:tc>
          <w:tcPr>
            <w:tcW w:w="127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391D46" w:rsidRPr="00391D46" w:rsidRDefault="00391D46" w:rsidP="00E12145">
            <w:pPr>
              <w:spacing w:line="360" w:lineRule="auto"/>
              <w:jc w:val="center"/>
              <w:rPr>
                <w:rFonts w:ascii="Times New Roman" w:eastAsia="宋体" w:hAnsi="Times New Roman" w:cs="Times New Roman"/>
                <w:szCs w:val="21"/>
              </w:rPr>
            </w:pPr>
            <w:r w:rsidRPr="00391D46">
              <w:rPr>
                <w:rFonts w:ascii="Times New Roman" w:eastAsia="宋体" w:hAnsi="Times New Roman" w:cs="Times New Roman" w:hint="eastAsia"/>
                <w:szCs w:val="21"/>
              </w:rPr>
              <w:t>一、订立本基金合同的目的、依据和原则</w:t>
            </w:r>
          </w:p>
        </w:tc>
        <w:tc>
          <w:tcPr>
            <w:tcW w:w="1867" w:type="pct"/>
          </w:tcPr>
          <w:p w:rsidR="003302D7" w:rsidRPr="006C7529" w:rsidRDefault="007440CC" w:rsidP="005C09A7">
            <w:pPr>
              <w:spacing w:line="360" w:lineRule="auto"/>
              <w:ind w:firstLineChars="200" w:firstLine="420"/>
              <w:rPr>
                <w:rFonts w:ascii="Times New Roman" w:eastAsia="宋体" w:hAnsi="Times New Roman" w:cs="Times New Roman"/>
                <w:szCs w:val="21"/>
              </w:rPr>
            </w:pPr>
            <w:r w:rsidRPr="007440CC">
              <w:rPr>
                <w:rFonts w:ascii="Times New Roman" w:eastAsia="宋体" w:hAnsi="Times New Roman" w:cs="Times New Roman" w:hint="eastAsia"/>
                <w:szCs w:val="21"/>
              </w:rPr>
              <w:t>2</w:t>
            </w:r>
            <w:r w:rsidRPr="007440CC">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订立本基金合同的依据是《中华人民共和国合同法》、《中华人民共和国证券投资基金法》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以下简称“《基金法》”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、《公开募集证券投资基金运作管理办法》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以下简称“《运作办法》”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、《证券投资基金销售管理办法》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以下简称“《销售办法》”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、《证券投资基金信息披露管理办法》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以下简称“《信息披露办法》”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和其他有关法律法规。</w:t>
            </w:r>
          </w:p>
        </w:tc>
        <w:tc>
          <w:tcPr>
            <w:tcW w:w="1854" w:type="pct"/>
          </w:tcPr>
          <w:p w:rsidR="003302D7" w:rsidRPr="00F000D4" w:rsidRDefault="007440CC" w:rsidP="00E12145">
            <w:pPr>
              <w:spacing w:line="360" w:lineRule="auto"/>
              <w:ind w:firstLineChars="200" w:firstLine="420"/>
              <w:rPr>
                <w:rFonts w:ascii="Times New Roman" w:eastAsia="宋体" w:hAnsi="Times New Roman" w:cs="Times New Roman"/>
                <w:szCs w:val="21"/>
              </w:rPr>
            </w:pPr>
            <w:r w:rsidRPr="007440CC">
              <w:rPr>
                <w:rFonts w:ascii="Times New Roman" w:eastAsia="宋体" w:hAnsi="Times New Roman" w:cs="Times New Roman" w:hint="eastAsia"/>
                <w:szCs w:val="21"/>
              </w:rPr>
              <w:t>2</w:t>
            </w:r>
            <w:r w:rsidRPr="007440CC">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订立本基金合同的依据是《中华人民共和国合同法》、《中华人民共和国证券投资基金法》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以下简称“《基金法》”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、《公开募集证券投资基金运作管理办法》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以下简称“《运作办法》”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、《证券投资基金销售管理办法》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以下简称“《销售办法》”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、《证券投资基金信息披露管理办法》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以下简称“《信息披露办法》”</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、《公开募集开放式证券投资基金流动性风险管理规定》</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以下简称“《流动性规定》”</w:t>
            </w:r>
            <w:r w:rsidR="005C09A7" w:rsidRPr="005C09A7">
              <w:rPr>
                <w:rFonts w:ascii="Times New Roman" w:eastAsia="宋体" w:hAnsi="Times New Roman" w:cs="Times New Roman" w:hint="eastAsia"/>
                <w:szCs w:val="21"/>
              </w:rPr>
              <w:t>)</w:t>
            </w:r>
            <w:r w:rsidR="005C09A7" w:rsidRPr="005C09A7">
              <w:rPr>
                <w:rFonts w:ascii="Times New Roman" w:eastAsia="宋体" w:hAnsi="Times New Roman" w:cs="Times New Roman" w:hint="eastAsia"/>
                <w:szCs w:val="21"/>
              </w:rPr>
              <w:t>和其他有关法律法规。</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867"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854"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6365BA" w:rsidRDefault="007440CC" w:rsidP="00077C65">
            <w:pPr>
              <w:spacing w:line="360" w:lineRule="auto"/>
              <w:ind w:firstLineChars="200" w:firstLine="420"/>
              <w:rPr>
                <w:rFonts w:ascii="Times New Roman" w:hAnsi="Times New Roman" w:cs="Times New Roman"/>
                <w:bCs/>
                <w:szCs w:val="21"/>
              </w:rPr>
            </w:pPr>
            <w:r w:rsidRPr="007440CC">
              <w:rPr>
                <w:rFonts w:ascii="Times New Roman" w:hAnsi="Times New Roman" w:cs="Times New Roman" w:hint="eastAsia"/>
                <w:bCs/>
                <w:szCs w:val="21"/>
              </w:rPr>
              <w:t>13</w:t>
            </w:r>
            <w:r w:rsidRPr="007440CC">
              <w:rPr>
                <w:rFonts w:ascii="Times New Roman" w:hAnsi="Times New Roman" w:cs="Times New Roman" w:hint="eastAsia"/>
                <w:bCs/>
                <w:szCs w:val="21"/>
              </w:rPr>
              <w:t>、《流动性规定》：指中国证监会</w:t>
            </w:r>
            <w:r w:rsidRPr="007440CC">
              <w:rPr>
                <w:rFonts w:ascii="Times New Roman" w:hAnsi="Times New Roman" w:cs="Times New Roman" w:hint="eastAsia"/>
                <w:bCs/>
                <w:szCs w:val="21"/>
              </w:rPr>
              <w:t>2017</w:t>
            </w:r>
            <w:r w:rsidRPr="007440CC">
              <w:rPr>
                <w:rFonts w:ascii="Times New Roman" w:hAnsi="Times New Roman" w:cs="Times New Roman" w:hint="eastAsia"/>
                <w:bCs/>
                <w:szCs w:val="21"/>
              </w:rPr>
              <w:t>年</w:t>
            </w:r>
            <w:r w:rsidRPr="007440CC">
              <w:rPr>
                <w:rFonts w:ascii="Times New Roman" w:hAnsi="Times New Roman" w:cs="Times New Roman" w:hint="eastAsia"/>
                <w:bCs/>
                <w:szCs w:val="21"/>
              </w:rPr>
              <w:t>8</w:t>
            </w:r>
            <w:r w:rsidRPr="007440CC">
              <w:rPr>
                <w:rFonts w:ascii="Times New Roman" w:hAnsi="Times New Roman" w:cs="Times New Roman" w:hint="eastAsia"/>
                <w:bCs/>
                <w:szCs w:val="21"/>
              </w:rPr>
              <w:t>月</w:t>
            </w:r>
            <w:r w:rsidRPr="007440CC">
              <w:rPr>
                <w:rFonts w:ascii="Times New Roman" w:hAnsi="Times New Roman" w:cs="Times New Roman" w:hint="eastAsia"/>
                <w:bCs/>
                <w:szCs w:val="21"/>
              </w:rPr>
              <w:t>31</w:t>
            </w:r>
            <w:r w:rsidRPr="007440CC">
              <w:rPr>
                <w:rFonts w:ascii="Times New Roman" w:hAnsi="Times New Roman" w:cs="Times New Roman" w:hint="eastAsia"/>
                <w:bCs/>
                <w:szCs w:val="21"/>
              </w:rPr>
              <w:t>日颁布、同年</w:t>
            </w:r>
            <w:r w:rsidRPr="007440CC">
              <w:rPr>
                <w:rFonts w:ascii="Times New Roman" w:hAnsi="Times New Roman" w:cs="Times New Roman" w:hint="eastAsia"/>
                <w:bCs/>
                <w:szCs w:val="21"/>
              </w:rPr>
              <w:t>10</w:t>
            </w:r>
            <w:r w:rsidRPr="007440CC">
              <w:rPr>
                <w:rFonts w:ascii="Times New Roman" w:hAnsi="Times New Roman" w:cs="Times New Roman" w:hint="eastAsia"/>
                <w:bCs/>
                <w:szCs w:val="21"/>
              </w:rPr>
              <w:t>月</w:t>
            </w:r>
            <w:r w:rsidRPr="007440CC">
              <w:rPr>
                <w:rFonts w:ascii="Times New Roman" w:hAnsi="Times New Roman" w:cs="Times New Roman" w:hint="eastAsia"/>
                <w:bCs/>
                <w:szCs w:val="21"/>
              </w:rPr>
              <w:t>1</w:t>
            </w:r>
            <w:r w:rsidRPr="007440CC">
              <w:rPr>
                <w:rFonts w:ascii="Times New Roman" w:hAnsi="Times New Roman" w:cs="Times New Roman" w:hint="eastAsia"/>
                <w:bCs/>
                <w:szCs w:val="21"/>
              </w:rPr>
              <w:t>日实施的《公开募集开放式证券投资基金流动性风险管理规定》及颁布机关对其不时做出的修订</w:t>
            </w:r>
          </w:p>
          <w:p w:rsidR="007440CC" w:rsidRPr="00A65CA5" w:rsidRDefault="005C09A7" w:rsidP="00077C65">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52</w:t>
            </w:r>
            <w:r w:rsidR="007440CC" w:rsidRPr="007440CC">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007440CC" w:rsidRPr="007440CC">
              <w:rPr>
                <w:rFonts w:ascii="Times New Roman" w:hAnsi="Times New Roman" w:cs="Times New Roman" w:hint="eastAsia"/>
                <w:bCs/>
                <w:szCs w:val="21"/>
              </w:rPr>
              <w:t>10</w:t>
            </w:r>
            <w:r w:rsidR="007440CC" w:rsidRPr="007440CC">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867" w:type="pct"/>
          </w:tcPr>
          <w:p w:rsidR="006365BA" w:rsidRPr="006C7529" w:rsidRDefault="006365BA" w:rsidP="00E12145">
            <w:pPr>
              <w:spacing w:line="360" w:lineRule="auto"/>
              <w:rPr>
                <w:rFonts w:ascii="Times New Roman" w:eastAsia="宋体" w:hAnsi="Times New Roman" w:cs="Times New Roman"/>
                <w:szCs w:val="21"/>
              </w:rPr>
            </w:pPr>
          </w:p>
        </w:tc>
        <w:tc>
          <w:tcPr>
            <w:tcW w:w="1854"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F000D4" w:rsidRDefault="007440CC" w:rsidP="00BE68AA">
            <w:pPr>
              <w:spacing w:line="360" w:lineRule="auto"/>
              <w:ind w:firstLineChars="200" w:firstLine="420"/>
              <w:rPr>
                <w:rFonts w:ascii="Times New Roman" w:eastAsia="宋体" w:hAnsi="Times New Roman" w:cs="Times New Roman"/>
                <w:szCs w:val="21"/>
              </w:rPr>
            </w:pPr>
            <w:r w:rsidRPr="007440CC">
              <w:rPr>
                <w:rFonts w:ascii="Times New Roman" w:hAnsi="Times New Roman" w:cs="Times New Roman" w:hint="eastAsia"/>
                <w:bCs/>
                <w:szCs w:val="21"/>
              </w:rPr>
              <w:t>4</w:t>
            </w:r>
            <w:r w:rsidRPr="007440CC">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7440CC" w:rsidRPr="006C7529" w:rsidTr="007440CC">
        <w:trPr>
          <w:jc w:val="center"/>
        </w:trPr>
        <w:tc>
          <w:tcPr>
            <w:tcW w:w="127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w:t>
            </w:r>
            <w:r w:rsidRPr="006C7529">
              <w:rPr>
                <w:rFonts w:ascii="Times New Roman" w:eastAsia="宋体" w:hAnsi="Times New Roman" w:cs="Times New Roman"/>
                <w:b/>
                <w:szCs w:val="21"/>
              </w:rPr>
              <w:lastRenderedPageBreak/>
              <w:t>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六、申购和赎回的价格、费用及其用途</w:t>
            </w:r>
          </w:p>
        </w:tc>
        <w:tc>
          <w:tcPr>
            <w:tcW w:w="1867" w:type="pct"/>
          </w:tcPr>
          <w:p w:rsidR="00BE68AA" w:rsidRPr="006C7529" w:rsidRDefault="005C09A7" w:rsidP="005C09A7">
            <w:pPr>
              <w:spacing w:line="360" w:lineRule="auto"/>
              <w:ind w:firstLineChars="200" w:firstLine="420"/>
              <w:rPr>
                <w:rFonts w:ascii="Times New Roman" w:eastAsia="宋体" w:hAnsi="Times New Roman" w:cs="Times New Roman"/>
                <w:szCs w:val="21"/>
              </w:rPr>
            </w:pPr>
            <w:r w:rsidRPr="005C09A7">
              <w:rPr>
                <w:rFonts w:ascii="Times New Roman" w:eastAsia="宋体" w:hAnsi="Times New Roman" w:cs="Times New Roman" w:hint="eastAsia"/>
                <w:szCs w:val="21"/>
              </w:rPr>
              <w:lastRenderedPageBreak/>
              <w:t>5</w:t>
            </w:r>
            <w:r w:rsidRPr="005C09A7">
              <w:rPr>
                <w:rFonts w:ascii="Times New Roman" w:eastAsia="宋体" w:hAnsi="Times New Roman" w:cs="Times New Roman" w:hint="eastAsia"/>
                <w:szCs w:val="21"/>
              </w:rPr>
              <w:t>、赎回费用由赎回基金份额的基金份额持</w:t>
            </w:r>
            <w:r w:rsidRPr="005C09A7">
              <w:rPr>
                <w:rFonts w:ascii="Times New Roman" w:eastAsia="宋体" w:hAnsi="Times New Roman" w:cs="Times New Roman" w:hint="eastAsia"/>
                <w:szCs w:val="21"/>
              </w:rPr>
              <w:lastRenderedPageBreak/>
              <w:t>有人承担，在基金份额持有人赎回基金份额时收取。赎回费用纳入基金财产的比例详见招募说明书，未归入基金财产的部分用于支付登记费和其他必要的手续费。</w:t>
            </w:r>
          </w:p>
        </w:tc>
        <w:tc>
          <w:tcPr>
            <w:tcW w:w="1854" w:type="pct"/>
          </w:tcPr>
          <w:p w:rsidR="00BE68AA" w:rsidRPr="00F000D4" w:rsidRDefault="005C09A7" w:rsidP="00BE68AA">
            <w:pPr>
              <w:spacing w:line="360" w:lineRule="auto"/>
              <w:ind w:firstLineChars="200" w:firstLine="420"/>
              <w:rPr>
                <w:rFonts w:ascii="Times New Roman" w:eastAsia="宋体" w:hAnsi="Times New Roman" w:cs="Times New Roman"/>
                <w:szCs w:val="21"/>
              </w:rPr>
            </w:pPr>
            <w:r w:rsidRPr="005C09A7">
              <w:rPr>
                <w:rFonts w:ascii="Times New Roman" w:eastAsia="宋体" w:hAnsi="Times New Roman" w:cs="Times New Roman" w:hint="eastAsia"/>
                <w:szCs w:val="21"/>
              </w:rPr>
              <w:lastRenderedPageBreak/>
              <w:t>5</w:t>
            </w:r>
            <w:r w:rsidRPr="005C09A7">
              <w:rPr>
                <w:rFonts w:ascii="Times New Roman" w:eastAsia="宋体" w:hAnsi="Times New Roman" w:cs="Times New Roman" w:hint="eastAsia"/>
                <w:szCs w:val="21"/>
              </w:rPr>
              <w:t>、赎回费用由赎回基金份额的基金份额</w:t>
            </w:r>
            <w:r w:rsidRPr="005C09A7">
              <w:rPr>
                <w:rFonts w:ascii="Times New Roman" w:eastAsia="宋体" w:hAnsi="Times New Roman" w:cs="Times New Roman" w:hint="eastAsia"/>
                <w:szCs w:val="21"/>
              </w:rPr>
              <w:lastRenderedPageBreak/>
              <w:t>持有人承担，在基金份额持有人赎回基金份额时收取。赎回费用纳入基金财产的比例详见招募说明书，未归入基金财产的部分用于支付登记费和其他必要的手续费。其中，对持续持有期少于</w:t>
            </w:r>
            <w:r w:rsidRPr="005C09A7">
              <w:rPr>
                <w:rFonts w:ascii="Times New Roman" w:eastAsia="宋体" w:hAnsi="Times New Roman" w:cs="Times New Roman" w:hint="eastAsia"/>
                <w:szCs w:val="21"/>
              </w:rPr>
              <w:t>7</w:t>
            </w:r>
            <w:r w:rsidRPr="005C09A7">
              <w:rPr>
                <w:rFonts w:ascii="Times New Roman" w:eastAsia="宋体" w:hAnsi="Times New Roman" w:cs="Times New Roman" w:hint="eastAsia"/>
                <w:szCs w:val="21"/>
              </w:rPr>
              <w:t>日的投资者收取不低于</w:t>
            </w:r>
            <w:r w:rsidRPr="005C09A7">
              <w:rPr>
                <w:rFonts w:ascii="Times New Roman" w:eastAsia="宋体" w:hAnsi="Times New Roman" w:cs="Times New Roman" w:hint="eastAsia"/>
                <w:szCs w:val="21"/>
              </w:rPr>
              <w:t>1.5%</w:t>
            </w:r>
            <w:r w:rsidRPr="005C09A7">
              <w:rPr>
                <w:rFonts w:ascii="Times New Roman" w:eastAsia="宋体" w:hAnsi="Times New Roman" w:cs="Times New Roman" w:hint="eastAsia"/>
                <w:szCs w:val="21"/>
              </w:rPr>
              <w:t>的赎回费并全额计入基金财产。</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867"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E12145" w:rsidRDefault="005C09A7" w:rsidP="007440CC">
            <w:pPr>
              <w:spacing w:line="360" w:lineRule="auto"/>
              <w:ind w:firstLineChars="200" w:firstLine="420"/>
              <w:rPr>
                <w:rFonts w:asciiTheme="minorEastAsia" w:hAnsiTheme="minorEastAsia" w:cs="Times New Roman"/>
                <w:szCs w:val="21"/>
              </w:rPr>
            </w:pPr>
            <w:r w:rsidRPr="005C09A7">
              <w:rPr>
                <w:rFonts w:asciiTheme="minorEastAsia" w:hAnsiTheme="minorEastAsia" w:cs="Times New Roman" w:hint="eastAsia"/>
                <w:bCs/>
                <w:szCs w:val="21"/>
              </w:rPr>
              <w:lastRenderedPageBreak/>
              <w:t>发生上述第1、2、3、5、6、7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1854"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7440CC" w:rsidRPr="007440CC" w:rsidRDefault="007440CC" w:rsidP="007440CC">
            <w:pPr>
              <w:spacing w:line="360" w:lineRule="auto"/>
              <w:ind w:firstLineChars="200" w:firstLine="420"/>
              <w:rPr>
                <w:rFonts w:asciiTheme="minorEastAsia" w:hAnsiTheme="minorEastAsia"/>
                <w:bCs/>
                <w:szCs w:val="21"/>
              </w:rPr>
            </w:pPr>
            <w:r w:rsidRPr="007440CC">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6365BA" w:rsidRDefault="007440CC" w:rsidP="00E12145">
            <w:pPr>
              <w:spacing w:line="360" w:lineRule="auto"/>
              <w:ind w:firstLineChars="200" w:firstLine="420"/>
              <w:rPr>
                <w:rFonts w:asciiTheme="minorEastAsia" w:hAnsiTheme="minorEastAsia"/>
                <w:bCs/>
                <w:szCs w:val="21"/>
              </w:rPr>
            </w:pPr>
            <w:r w:rsidRPr="007440CC">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7440CC" w:rsidRPr="00E12145" w:rsidRDefault="005C09A7" w:rsidP="00E12145">
            <w:pPr>
              <w:spacing w:line="360" w:lineRule="auto"/>
              <w:ind w:firstLineChars="200" w:firstLine="420"/>
              <w:rPr>
                <w:rFonts w:asciiTheme="minorEastAsia" w:hAnsiTheme="minorEastAsia" w:cs="Times New Roman"/>
                <w:szCs w:val="21"/>
              </w:rPr>
            </w:pPr>
            <w:r w:rsidRPr="005C09A7">
              <w:rPr>
                <w:rFonts w:asciiTheme="minorEastAsia" w:hAnsiTheme="minorEastAsia" w:cs="Times New Roman" w:hint="eastAsia"/>
                <w:szCs w:val="21"/>
              </w:rPr>
              <w:lastRenderedPageBreak/>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867"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854"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E12145" w:rsidRDefault="007440CC" w:rsidP="002A1A08">
            <w:pPr>
              <w:spacing w:line="360" w:lineRule="auto"/>
              <w:ind w:firstLineChars="200" w:firstLine="420"/>
              <w:rPr>
                <w:rFonts w:asciiTheme="minorEastAsia" w:hAnsiTheme="minorEastAsia" w:cs="Times New Roman"/>
                <w:szCs w:val="21"/>
              </w:rPr>
            </w:pPr>
            <w:r w:rsidRPr="007440CC">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lastRenderedPageBreak/>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867"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lastRenderedPageBreak/>
              <w:t xml:space="preserve"> </w:t>
            </w:r>
          </w:p>
        </w:tc>
        <w:tc>
          <w:tcPr>
            <w:tcW w:w="1854"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E12145" w:rsidRDefault="0070654E" w:rsidP="00E12145">
            <w:pPr>
              <w:spacing w:line="360" w:lineRule="auto"/>
              <w:ind w:firstLineChars="200" w:firstLine="420"/>
              <w:rPr>
                <w:rFonts w:asciiTheme="minorEastAsia" w:hAnsiTheme="minorEastAsia" w:cs="Times New Roman"/>
                <w:bCs/>
                <w:szCs w:val="21"/>
              </w:rPr>
            </w:pPr>
            <w:r w:rsidRPr="0070654E">
              <w:rPr>
                <w:rFonts w:asciiTheme="minorEastAsia" w:hAnsiTheme="minorEastAsia" w:hint="eastAsia"/>
                <w:bCs/>
                <w:szCs w:val="21"/>
              </w:rPr>
              <w:t>本基金发生巨额赎回且单个基金份额持有人的赎回申请超过上一日基金总份额20%的情形下，基金管理人有权采取如下措施：对于</w:t>
            </w:r>
            <w:r w:rsidRPr="0070654E">
              <w:rPr>
                <w:rFonts w:asciiTheme="minorEastAsia" w:hAnsiTheme="minorEastAsia" w:hint="eastAsia"/>
                <w:bCs/>
                <w:szCs w:val="21"/>
              </w:rPr>
              <w:lastRenderedPageBreak/>
              <w:t>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440CC" w:rsidRPr="006C7529" w:rsidTr="007440CC">
        <w:trPr>
          <w:jc w:val="center"/>
        </w:trPr>
        <w:tc>
          <w:tcPr>
            <w:tcW w:w="127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867" w:type="pct"/>
          </w:tcPr>
          <w:p w:rsidR="00F6596F" w:rsidRPr="00077802" w:rsidRDefault="00F253F9" w:rsidP="00F253F9">
            <w:pPr>
              <w:spacing w:line="360" w:lineRule="auto"/>
              <w:ind w:firstLineChars="200" w:firstLine="420"/>
              <w:rPr>
                <w:rFonts w:asciiTheme="minorEastAsia" w:hAnsiTheme="minorEastAsia"/>
                <w:bCs/>
                <w:szCs w:val="21"/>
              </w:rPr>
            </w:pPr>
            <w:r w:rsidRPr="00F253F9">
              <w:rPr>
                <w:rFonts w:asciiTheme="minorEastAsia" w:hAnsiTheme="minorEastAsia" w:hint="eastAsia"/>
                <w:bCs/>
                <w:szCs w:val="21"/>
              </w:rPr>
              <w:t>基金的投资组合比例为：股票资产占基金资产的0%-95%，股票资产按照基金所持有的股票市值以及买入、卖出股指期货合约价值合计（轧差计算)；本基金投资于与新生活力主题相关证券的比例不低于非现金基金资产的80%；权证的投资比例不超过基金资产净值的3%；每个交易日日终在扣除股指期货合约需缴纳的交易保证金后，基金保留的现金或者投资于到期日在一年以内的政府债券的比例合计不低于基</w:t>
            </w:r>
            <w:r w:rsidRPr="00F253F9">
              <w:rPr>
                <w:rFonts w:asciiTheme="minorEastAsia" w:hAnsiTheme="minorEastAsia" w:hint="eastAsia"/>
                <w:bCs/>
                <w:szCs w:val="21"/>
              </w:rPr>
              <w:lastRenderedPageBreak/>
              <w:t>金资产净值的5%。</w:t>
            </w:r>
          </w:p>
        </w:tc>
        <w:tc>
          <w:tcPr>
            <w:tcW w:w="1854" w:type="pct"/>
          </w:tcPr>
          <w:p w:rsidR="00F6596F" w:rsidRPr="00E12145" w:rsidRDefault="00F253F9" w:rsidP="00E12145">
            <w:pPr>
              <w:spacing w:line="360" w:lineRule="auto"/>
              <w:ind w:firstLine="420"/>
              <w:rPr>
                <w:rFonts w:asciiTheme="minorEastAsia" w:hAnsiTheme="minorEastAsia" w:cs="Times New Roman"/>
                <w:bCs/>
                <w:szCs w:val="21"/>
              </w:rPr>
            </w:pPr>
            <w:r w:rsidRPr="00F253F9">
              <w:rPr>
                <w:rFonts w:asciiTheme="minorEastAsia" w:hAnsiTheme="minorEastAsia" w:hint="eastAsia"/>
                <w:bCs/>
                <w:szCs w:val="21"/>
              </w:rPr>
              <w:lastRenderedPageBreak/>
              <w:t>基金的投资组合比例为：股票资产占基金资产的0%-95%，股票资产按照基金所持有的股票市值以及买入、卖出股指期货合约价值合计（轧差计算)；本基金投资于与新生活力主题相关证券的比例不低于非现金基金资产的80%；权证的投资比例不超过基金资产净值的3%；每个交易日日终在扣除股指期货合约需缴纳的交易保证金后，基金保留的现金或者投资于到期日在一年以内的政府债券的比例合计</w:t>
            </w:r>
            <w:r w:rsidRPr="00F253F9">
              <w:rPr>
                <w:rFonts w:asciiTheme="minorEastAsia" w:hAnsiTheme="minorEastAsia" w:hint="eastAsia"/>
                <w:bCs/>
                <w:szCs w:val="21"/>
              </w:rPr>
              <w:lastRenderedPageBreak/>
              <w:t>不低于基金资产净值的5%，其中现金不包括结算备付金、存出保证金、应收申购款等。</w:t>
            </w:r>
          </w:p>
        </w:tc>
      </w:tr>
      <w:tr w:rsidR="007440CC" w:rsidRPr="006C7529" w:rsidTr="007440CC">
        <w:trPr>
          <w:jc w:val="center"/>
        </w:trPr>
        <w:tc>
          <w:tcPr>
            <w:tcW w:w="127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3046E7" w:rsidRDefault="006241CA" w:rsidP="006241CA">
            <w:pPr>
              <w:spacing w:line="360" w:lineRule="auto"/>
              <w:ind w:firstLineChars="200" w:firstLine="420"/>
              <w:jc w:val="center"/>
              <w:rPr>
                <w:rFonts w:asciiTheme="minorEastAsia" w:hAnsiTheme="minorEastAsia"/>
                <w:bCs/>
                <w:szCs w:val="21"/>
              </w:rPr>
            </w:pPr>
            <w:r w:rsidRPr="003046E7">
              <w:rPr>
                <w:rFonts w:asciiTheme="minorEastAsia" w:hAnsiTheme="minorEastAsia" w:hint="eastAsia"/>
                <w:bCs/>
                <w:szCs w:val="21"/>
              </w:rPr>
              <w:t>1</w:t>
            </w:r>
            <w:r>
              <w:rPr>
                <w:rFonts w:asciiTheme="minorEastAsia" w:hAnsiTheme="minorEastAsia" w:hint="eastAsia"/>
                <w:bCs/>
                <w:szCs w:val="21"/>
              </w:rPr>
              <w:t>、</w:t>
            </w:r>
            <w:r w:rsidR="007440CC">
              <w:rPr>
                <w:rFonts w:asciiTheme="minorEastAsia" w:hAnsiTheme="minorEastAsia" w:hint="eastAsia"/>
                <w:bCs/>
                <w:szCs w:val="21"/>
              </w:rPr>
              <w:t>组合限制</w:t>
            </w:r>
          </w:p>
          <w:p w:rsidR="006365BA" w:rsidRPr="006C7529" w:rsidRDefault="006365BA" w:rsidP="003046E7">
            <w:pPr>
              <w:spacing w:line="360" w:lineRule="auto"/>
              <w:rPr>
                <w:rFonts w:ascii="Times New Roman" w:eastAsia="宋体" w:hAnsi="Times New Roman" w:cs="Times New Roman"/>
                <w:szCs w:val="21"/>
              </w:rPr>
            </w:pPr>
          </w:p>
        </w:tc>
        <w:tc>
          <w:tcPr>
            <w:tcW w:w="1867" w:type="pct"/>
          </w:tcPr>
          <w:p w:rsidR="006365BA" w:rsidRPr="007440CC" w:rsidRDefault="005C09A7" w:rsidP="005C09A7">
            <w:pPr>
              <w:spacing w:line="360" w:lineRule="auto"/>
              <w:ind w:firstLineChars="200" w:firstLine="420"/>
              <w:rPr>
                <w:rFonts w:asciiTheme="minorEastAsia" w:hAnsiTheme="minorEastAsia" w:cs="Times New Roman"/>
                <w:szCs w:val="21"/>
              </w:rPr>
            </w:pPr>
            <w:r w:rsidRPr="005C09A7">
              <w:rPr>
                <w:rFonts w:asciiTheme="minorEastAsia" w:hAnsiTheme="minorEastAsia" w:hint="eastAsia"/>
                <w:bCs/>
                <w:szCs w:val="21"/>
              </w:rPr>
              <w:t>（2）每个交易日日终在扣除股指期货合约需缴纳的交易保证金后，保持不低于基金资产净值5％的现金或者到期日在一年以内的政府债券；</w:t>
            </w:r>
          </w:p>
        </w:tc>
        <w:tc>
          <w:tcPr>
            <w:tcW w:w="1854" w:type="pct"/>
          </w:tcPr>
          <w:p w:rsidR="005C09A7" w:rsidRDefault="005C09A7" w:rsidP="00F6596F">
            <w:pPr>
              <w:spacing w:line="360" w:lineRule="auto"/>
              <w:ind w:firstLineChars="200" w:firstLine="420"/>
              <w:rPr>
                <w:rFonts w:asciiTheme="minorEastAsia" w:hAnsiTheme="minorEastAsia"/>
                <w:bCs/>
                <w:szCs w:val="21"/>
              </w:rPr>
            </w:pPr>
            <w:r w:rsidRPr="005C09A7">
              <w:rPr>
                <w:rFonts w:asciiTheme="minorEastAsia" w:hAnsiTheme="minorEastAsia" w:hint="eastAsia"/>
                <w:bCs/>
                <w:szCs w:val="21"/>
              </w:rPr>
              <w:t>（2）每个交易日日终在扣除股指期货合约需缴纳的交易保证金后，保持不低于基金资产净值5％的现金或者到期日在一年以内的政府债券，其中现金不包括结算备付金、存出保证金、应收申购款等；</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7440CC" w:rsidRPr="007440CC" w:rsidRDefault="007440CC" w:rsidP="007440CC">
            <w:pPr>
              <w:spacing w:line="360" w:lineRule="auto"/>
              <w:ind w:firstLineChars="200" w:firstLine="420"/>
              <w:rPr>
                <w:rFonts w:asciiTheme="minorEastAsia" w:hAnsiTheme="minorEastAsia" w:cs="Times New Roman"/>
                <w:bCs/>
                <w:szCs w:val="21"/>
              </w:rPr>
            </w:pPr>
            <w:r w:rsidRPr="007440CC">
              <w:rPr>
                <w:rFonts w:asciiTheme="minorEastAsia" w:hAnsiTheme="minorEastAsia" w:cs="Times New Roman"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440CC" w:rsidRPr="007440CC" w:rsidRDefault="007440CC" w:rsidP="007440CC">
            <w:pPr>
              <w:spacing w:line="360" w:lineRule="auto"/>
              <w:ind w:firstLineChars="200" w:firstLine="420"/>
              <w:rPr>
                <w:rFonts w:asciiTheme="minorEastAsia" w:hAnsiTheme="minorEastAsia" w:cs="Times New Roman"/>
                <w:bCs/>
                <w:szCs w:val="21"/>
              </w:rPr>
            </w:pPr>
            <w:r w:rsidRPr="007440CC">
              <w:rPr>
                <w:rFonts w:asciiTheme="minorEastAsia" w:hAnsiTheme="minorEastAsia" w:cs="Times New Roman" w:hint="eastAsia"/>
                <w:bCs/>
                <w:szCs w:val="21"/>
              </w:rPr>
              <w:t>（20）本基金主动投资于流动性受限资产的市值合计不得超过基金资产净值的15%；因</w:t>
            </w:r>
            <w:r w:rsidRPr="007440CC">
              <w:rPr>
                <w:rFonts w:asciiTheme="minorEastAsia" w:hAnsiTheme="minorEastAsia" w:cs="Times New Roman" w:hint="eastAsia"/>
                <w:bCs/>
                <w:szCs w:val="21"/>
              </w:rPr>
              <w:lastRenderedPageBreak/>
              <w:t>证券市场波动、上市公司股票停牌、基金规模变动等基金管理人之外的因素致使基金不符合该比例限制的，基金管理人不得主动新增流动性受限资产的投资；</w:t>
            </w:r>
          </w:p>
          <w:p w:rsidR="006365BA" w:rsidRPr="009554EF" w:rsidRDefault="007440CC" w:rsidP="007440CC">
            <w:pPr>
              <w:spacing w:line="360" w:lineRule="auto"/>
              <w:ind w:firstLineChars="200" w:firstLine="420"/>
              <w:rPr>
                <w:rFonts w:asciiTheme="minorEastAsia" w:hAnsiTheme="minorEastAsia" w:cs="Times New Roman"/>
                <w:bCs/>
                <w:szCs w:val="21"/>
              </w:rPr>
            </w:pPr>
            <w:r w:rsidRPr="007440CC">
              <w:rPr>
                <w:rFonts w:asciiTheme="minorEastAsia" w:hAnsiTheme="minorEastAsia" w:cs="Times New Roman" w:hint="eastAsia"/>
                <w:bCs/>
                <w:szCs w:val="21"/>
              </w:rPr>
              <w:t>（21）本基金与私募类证券资管产品及中国证监会认定的其他主体为交易对手开展逆回购交易的，可接受质押品的资质要求应当与基金合同约定的投资范围保持一致；</w:t>
            </w:r>
          </w:p>
        </w:tc>
      </w:tr>
      <w:tr w:rsidR="007440CC" w:rsidRPr="006C7529" w:rsidTr="007440CC">
        <w:trPr>
          <w:jc w:val="center"/>
        </w:trPr>
        <w:tc>
          <w:tcPr>
            <w:tcW w:w="127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391D46" w:rsidRDefault="00391D46" w:rsidP="00E12145">
            <w:pPr>
              <w:spacing w:line="360" w:lineRule="auto"/>
              <w:jc w:val="center"/>
              <w:rPr>
                <w:rFonts w:ascii="Times New Roman" w:eastAsia="宋体" w:hAnsi="Times New Roman" w:cs="Times New Roman"/>
                <w:szCs w:val="21"/>
              </w:rPr>
            </w:pPr>
            <w:r w:rsidRPr="00391D46">
              <w:rPr>
                <w:rFonts w:ascii="Times New Roman" w:eastAsia="宋体" w:hAnsi="Times New Roman" w:cs="Times New Roman" w:hint="eastAsia"/>
                <w:szCs w:val="21"/>
              </w:rPr>
              <w:t>1</w:t>
            </w:r>
            <w:r w:rsidRPr="00391D46">
              <w:rPr>
                <w:rFonts w:ascii="Times New Roman" w:eastAsia="宋体" w:hAnsi="Times New Roman" w:cs="Times New Roman" w:hint="eastAsia"/>
                <w:szCs w:val="21"/>
              </w:rPr>
              <w:t>、组合限制</w:t>
            </w:r>
          </w:p>
        </w:tc>
        <w:tc>
          <w:tcPr>
            <w:tcW w:w="1867" w:type="pct"/>
          </w:tcPr>
          <w:p w:rsidR="006241CA" w:rsidRPr="003046E7" w:rsidRDefault="005C09A7" w:rsidP="007440CC">
            <w:pPr>
              <w:spacing w:line="360" w:lineRule="auto"/>
              <w:ind w:firstLineChars="200" w:firstLine="420"/>
              <w:rPr>
                <w:rFonts w:asciiTheme="minorEastAsia" w:hAnsiTheme="minorEastAsia"/>
                <w:bCs/>
                <w:szCs w:val="21"/>
              </w:rPr>
            </w:pPr>
            <w:r w:rsidRPr="005C09A7">
              <w:rPr>
                <w:rFonts w:asciiTheme="minorEastAsia" w:hAnsiTheme="minorEastAsia" w:hint="eastAsia"/>
                <w:bCs/>
                <w:szCs w:val="21"/>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tc>
        <w:tc>
          <w:tcPr>
            <w:tcW w:w="1854" w:type="pct"/>
          </w:tcPr>
          <w:p w:rsidR="006241CA" w:rsidRPr="003046E7" w:rsidRDefault="005C09A7" w:rsidP="00461792">
            <w:pPr>
              <w:spacing w:line="360" w:lineRule="auto"/>
              <w:ind w:firstLineChars="200" w:firstLine="420"/>
              <w:rPr>
                <w:rFonts w:asciiTheme="minorEastAsia" w:hAnsiTheme="minorEastAsia"/>
                <w:bCs/>
                <w:szCs w:val="21"/>
              </w:rPr>
            </w:pPr>
            <w:r w:rsidRPr="005C09A7">
              <w:rPr>
                <w:rFonts w:asciiTheme="minorEastAsia" w:hAnsiTheme="minorEastAsia" w:hint="eastAsia"/>
                <w:bCs/>
                <w:szCs w:val="21"/>
              </w:rPr>
              <w:t>除上述第（2）、（12）、（20）、（21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tc>
      </w:tr>
      <w:tr w:rsidR="007440CC" w:rsidRPr="006C7529" w:rsidTr="007440CC">
        <w:trPr>
          <w:trHeight w:val="561"/>
          <w:jc w:val="center"/>
        </w:trPr>
        <w:tc>
          <w:tcPr>
            <w:tcW w:w="1279" w:type="pct"/>
          </w:tcPr>
          <w:p w:rsidR="001F4A5A" w:rsidRDefault="001F4A5A" w:rsidP="001F4A5A">
            <w:pPr>
              <w:spacing w:line="360" w:lineRule="auto"/>
              <w:jc w:val="center"/>
              <w:rPr>
                <w:rFonts w:ascii="Times New Roman" w:eastAsia="宋体" w:hAnsi="Times New Roman" w:cs="Times New Roman"/>
                <w:b/>
                <w:szCs w:val="21"/>
              </w:rPr>
            </w:pPr>
            <w:r w:rsidRPr="001F4A5A">
              <w:rPr>
                <w:rFonts w:ascii="Times New Roman" w:eastAsia="宋体" w:hAnsi="Times New Roman" w:cs="Times New Roman" w:hint="eastAsia"/>
                <w:b/>
                <w:szCs w:val="21"/>
              </w:rPr>
              <w:t>第十四部分</w:t>
            </w:r>
            <w:r w:rsidRPr="001F4A5A">
              <w:rPr>
                <w:rFonts w:ascii="Times New Roman" w:eastAsia="宋体" w:hAnsi="Times New Roman" w:cs="Times New Roman" w:hint="eastAsia"/>
                <w:b/>
                <w:szCs w:val="21"/>
              </w:rPr>
              <w:t xml:space="preserve">  </w:t>
            </w:r>
            <w:r w:rsidRPr="001F4A5A">
              <w:rPr>
                <w:rFonts w:ascii="Times New Roman" w:eastAsia="宋体" w:hAnsi="Times New Roman" w:cs="Times New Roman" w:hint="eastAsia"/>
                <w:b/>
                <w:szCs w:val="21"/>
              </w:rPr>
              <w:t>基金资产估值</w:t>
            </w:r>
          </w:p>
          <w:p w:rsidR="001F4A5A" w:rsidRPr="001F4A5A" w:rsidRDefault="007440CC" w:rsidP="001F4A5A">
            <w:pPr>
              <w:spacing w:line="360" w:lineRule="auto"/>
              <w:jc w:val="center"/>
              <w:rPr>
                <w:rFonts w:ascii="Times New Roman" w:eastAsia="宋体" w:hAnsi="Times New Roman" w:cs="Times New Roman"/>
                <w:szCs w:val="21"/>
              </w:rPr>
            </w:pPr>
            <w:r w:rsidRPr="007440CC">
              <w:rPr>
                <w:rFonts w:ascii="Times New Roman" w:eastAsia="宋体" w:hAnsi="Times New Roman" w:cs="Times New Roman" w:hint="eastAsia"/>
                <w:szCs w:val="21"/>
              </w:rPr>
              <w:t>六、暂停估值的情形</w:t>
            </w:r>
          </w:p>
        </w:tc>
        <w:tc>
          <w:tcPr>
            <w:tcW w:w="1867" w:type="pct"/>
          </w:tcPr>
          <w:p w:rsidR="001F4A5A" w:rsidRPr="001F4A5A" w:rsidRDefault="001F4A5A" w:rsidP="001F4A5A">
            <w:pPr>
              <w:spacing w:line="360" w:lineRule="auto"/>
              <w:ind w:firstLineChars="200" w:firstLine="420"/>
              <w:rPr>
                <w:rFonts w:asciiTheme="minorEastAsia" w:hAnsiTheme="minorEastAsia"/>
                <w:bCs/>
                <w:szCs w:val="21"/>
              </w:rPr>
            </w:pPr>
          </w:p>
        </w:tc>
        <w:tc>
          <w:tcPr>
            <w:tcW w:w="1854" w:type="pct"/>
          </w:tcPr>
          <w:p w:rsidR="001F4A5A" w:rsidRDefault="007440CC" w:rsidP="00077C65">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7440CC" w:rsidRPr="001F4A5A" w:rsidRDefault="007440CC" w:rsidP="00077C65">
            <w:pPr>
              <w:spacing w:line="360" w:lineRule="auto"/>
              <w:ind w:firstLineChars="200" w:firstLine="420"/>
              <w:rPr>
                <w:rFonts w:asciiTheme="minorEastAsia" w:hAnsiTheme="minorEastAsia"/>
                <w:bCs/>
                <w:szCs w:val="21"/>
              </w:rPr>
            </w:pPr>
            <w:r w:rsidRPr="007440CC">
              <w:rPr>
                <w:rFonts w:asciiTheme="minorEastAsia" w:hAnsiTheme="minorEastAsia" w:hint="eastAsia"/>
                <w:bCs/>
                <w:szCs w:val="21"/>
              </w:rPr>
              <w:t>4、当前一估值日基金资产净值50%以上的</w:t>
            </w:r>
            <w:r w:rsidRPr="007440CC">
              <w:rPr>
                <w:rFonts w:asciiTheme="minorEastAsia" w:hAnsiTheme="minorEastAsia" w:hint="eastAsia"/>
                <w:bCs/>
                <w:szCs w:val="21"/>
              </w:rPr>
              <w:lastRenderedPageBreak/>
              <w:t>资产出现无可参考的活跃市场价格且采用估值技术仍导致公允价值存在重大不确定性时，经与基金托管人协商</w:t>
            </w:r>
            <w:r w:rsidR="00332F02">
              <w:rPr>
                <w:rFonts w:asciiTheme="minorEastAsia" w:hAnsiTheme="minorEastAsia" w:hint="eastAsia"/>
                <w:bCs/>
                <w:szCs w:val="21"/>
              </w:rPr>
              <w:t>确认后</w:t>
            </w:r>
            <w:r w:rsidRPr="007440CC">
              <w:rPr>
                <w:rFonts w:asciiTheme="minorEastAsia" w:hAnsiTheme="minorEastAsia" w:hint="eastAsia"/>
                <w:bCs/>
                <w:szCs w:val="21"/>
              </w:rPr>
              <w:t>，基金管理人应当暂停估值；</w:t>
            </w:r>
          </w:p>
        </w:tc>
      </w:tr>
      <w:tr w:rsidR="007440CC" w:rsidRPr="006C7529" w:rsidTr="007440CC">
        <w:trPr>
          <w:jc w:val="center"/>
        </w:trPr>
        <w:tc>
          <w:tcPr>
            <w:tcW w:w="127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lastRenderedPageBreak/>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867" w:type="pct"/>
          </w:tcPr>
          <w:p w:rsidR="00417D25" w:rsidRPr="001D0B44" w:rsidRDefault="007440CC" w:rsidP="007440CC">
            <w:pPr>
              <w:spacing w:line="360" w:lineRule="auto"/>
              <w:ind w:firstLineChars="200" w:firstLine="420"/>
              <w:rPr>
                <w:rFonts w:asciiTheme="minorEastAsia" w:hAnsiTheme="minorEastAsia" w:cs="Times New Roman"/>
                <w:szCs w:val="21"/>
              </w:rPr>
            </w:pPr>
            <w:r w:rsidRPr="007440CC">
              <w:rPr>
                <w:rFonts w:asciiTheme="minorEastAsia" w:hAnsiTheme="minorEastAsia" w:cs="Times New Roman" w:hint="eastAsia"/>
                <w:szCs w:val="21"/>
              </w:rPr>
              <w:t>一、本基金的信息披露应符合《基金法》、《运作办法》、《信息披露办法》、《基金合同》及其他有关规定。</w:t>
            </w:r>
          </w:p>
        </w:tc>
        <w:tc>
          <w:tcPr>
            <w:tcW w:w="1854" w:type="pct"/>
          </w:tcPr>
          <w:p w:rsidR="00417D25" w:rsidRPr="001D0B44" w:rsidRDefault="007440CC" w:rsidP="001D0B44">
            <w:pPr>
              <w:spacing w:line="360" w:lineRule="auto"/>
              <w:ind w:firstLineChars="200" w:firstLine="420"/>
              <w:rPr>
                <w:rFonts w:asciiTheme="minorEastAsia" w:hAnsiTheme="minorEastAsia" w:cs="Times New Roman"/>
                <w:bCs/>
                <w:szCs w:val="21"/>
              </w:rPr>
            </w:pPr>
            <w:r w:rsidRPr="007440CC">
              <w:rPr>
                <w:rFonts w:asciiTheme="minorEastAsia" w:hAnsiTheme="minorEastAsia" w:cs="Times New Roman" w:hint="eastAsia"/>
                <w:bCs/>
                <w:szCs w:val="21"/>
              </w:rPr>
              <w:t>一、本基金的信息披露应符合《基金法》、《运作办法》、《信息披露办法》、《流动性规定》、《基金合同》及其他有关规定。</w:t>
            </w:r>
          </w:p>
        </w:tc>
      </w:tr>
      <w:tr w:rsidR="007440CC" w:rsidRPr="006C7529" w:rsidTr="007440CC">
        <w:trPr>
          <w:jc w:val="center"/>
        </w:trPr>
        <w:tc>
          <w:tcPr>
            <w:tcW w:w="1279" w:type="pct"/>
          </w:tcPr>
          <w:p w:rsidR="006365BA" w:rsidRPr="00A8233D" w:rsidRDefault="006365BA" w:rsidP="00417D25">
            <w:pPr>
              <w:jc w:val="center"/>
            </w:pPr>
            <w:bookmarkStart w:id="14" w:name="_Toc93226151"/>
            <w:bookmarkStart w:id="15" w:name="_Toc92662709"/>
            <w:bookmarkStart w:id="16" w:name="_Toc3056"/>
            <w:bookmarkStart w:id="17" w:name="_Toc193"/>
            <w:bookmarkStart w:id="18" w:name="_Toc141703898"/>
            <w:bookmarkStart w:id="19" w:name="_Toc139991748"/>
            <w:bookmarkStart w:id="20" w:name="_Toc128310501"/>
            <w:bookmarkStart w:id="21" w:name="_Toc1421"/>
            <w:bookmarkStart w:id="22" w:name="_Toc8512"/>
            <w:bookmarkStart w:id="23" w:name="_Toc11049"/>
            <w:bookmarkStart w:id="24" w:name="_Toc1173"/>
            <w:bookmarkStart w:id="25" w:name="_Toc12028"/>
            <w:bookmarkStart w:id="26" w:name="_Toc31866"/>
            <w:bookmarkStart w:id="27" w:name="_Toc29289"/>
            <w:bookmarkStart w:id="28" w:name="_Toc11802"/>
            <w:bookmarkStart w:id="29" w:name="_Toc466827103"/>
            <w:r w:rsidRPr="00E12145">
              <w:rPr>
                <w:rFonts w:hint="eastAsia"/>
                <w:b/>
              </w:rPr>
              <w:t>第十八部分</w:t>
            </w:r>
            <w:r w:rsidRPr="00E12145">
              <w:rPr>
                <w:b/>
              </w:rPr>
              <w:t xml:space="preserve">  </w:t>
            </w:r>
            <w:r w:rsidRPr="00E12145">
              <w:rPr>
                <w:rFonts w:hint="eastAsia"/>
                <w:b/>
              </w:rPr>
              <w:t>基金</w:t>
            </w:r>
            <w:bookmarkEnd w:id="14"/>
            <w:bookmarkEnd w:id="15"/>
            <w:r w:rsidRPr="00E12145">
              <w:rPr>
                <w:rFonts w:hint="eastAsia"/>
                <w:b/>
              </w:rPr>
              <w:t>的信息披露</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7440CC" w:rsidP="00417D25">
            <w:pPr>
              <w:spacing w:line="360" w:lineRule="auto"/>
              <w:jc w:val="center"/>
              <w:rPr>
                <w:rFonts w:ascii="Times New Roman" w:eastAsia="宋体" w:hAnsi="Times New Roman" w:cs="Times New Roman"/>
                <w:szCs w:val="21"/>
              </w:rPr>
            </w:pPr>
            <w:r w:rsidRPr="007440CC">
              <w:rPr>
                <w:rFonts w:ascii="Times New Roman" w:eastAsia="宋体" w:hAnsi="Times New Roman" w:cs="Times New Roman" w:hint="eastAsia"/>
                <w:bCs/>
                <w:szCs w:val="21"/>
              </w:rPr>
              <w:t>（六）基金定期报告，包括基金年度报告、基金半年度报告和基金季度报告</w:t>
            </w:r>
          </w:p>
        </w:tc>
        <w:tc>
          <w:tcPr>
            <w:tcW w:w="1867"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854"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7440CC" w:rsidRPr="007440CC" w:rsidRDefault="007440CC" w:rsidP="007440CC">
            <w:pPr>
              <w:spacing w:line="360" w:lineRule="auto"/>
              <w:ind w:firstLineChars="200" w:firstLine="420"/>
              <w:rPr>
                <w:rFonts w:ascii="Times New Roman" w:eastAsia="宋体" w:hAnsi="Times New Roman" w:cs="Times New Roman"/>
                <w:bCs/>
                <w:szCs w:val="21"/>
              </w:rPr>
            </w:pPr>
            <w:r w:rsidRPr="007440CC">
              <w:rPr>
                <w:rFonts w:ascii="Times New Roman" w:eastAsia="宋体" w:hAnsi="Times New Roman" w:cs="Times New Roman" w:hint="eastAsia"/>
                <w:bCs/>
                <w:szCs w:val="21"/>
              </w:rPr>
              <w:t>如报告期内出现单一投资者持有基金份额达到或超过基金总份额</w:t>
            </w:r>
            <w:r w:rsidRPr="007440CC">
              <w:rPr>
                <w:rFonts w:ascii="Times New Roman" w:eastAsia="宋体" w:hAnsi="Times New Roman" w:cs="Times New Roman" w:hint="eastAsia"/>
                <w:bCs/>
                <w:szCs w:val="21"/>
              </w:rPr>
              <w:t>20%</w:t>
            </w:r>
            <w:r w:rsidRPr="007440CC">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F000D4" w:rsidRDefault="007440CC" w:rsidP="007440CC">
            <w:pPr>
              <w:spacing w:line="360" w:lineRule="auto"/>
              <w:ind w:firstLineChars="200" w:firstLine="420"/>
              <w:rPr>
                <w:rFonts w:ascii="Times New Roman" w:eastAsia="宋体" w:hAnsi="Times New Roman" w:cs="Times New Roman"/>
                <w:bCs/>
                <w:szCs w:val="21"/>
              </w:rPr>
            </w:pPr>
            <w:r w:rsidRPr="007440CC">
              <w:rPr>
                <w:rFonts w:ascii="Times New Roman" w:eastAsia="宋体" w:hAnsi="Times New Roman" w:cs="Times New Roman" w:hint="eastAsia"/>
                <w:bCs/>
                <w:szCs w:val="21"/>
              </w:rPr>
              <w:t>基金管理人应当在基金年度报告和半年度报告中披露基金组合资产情况及其流动性</w:t>
            </w:r>
            <w:r w:rsidRPr="007440CC">
              <w:rPr>
                <w:rFonts w:ascii="Times New Roman" w:eastAsia="宋体" w:hAnsi="Times New Roman" w:cs="Times New Roman" w:hint="eastAsia"/>
                <w:bCs/>
                <w:szCs w:val="21"/>
              </w:rPr>
              <w:lastRenderedPageBreak/>
              <w:t>风险分析等。</w:t>
            </w:r>
          </w:p>
        </w:tc>
      </w:tr>
      <w:tr w:rsidR="007440CC" w:rsidRPr="006C7529" w:rsidTr="007440CC">
        <w:trPr>
          <w:jc w:val="center"/>
        </w:trPr>
        <w:tc>
          <w:tcPr>
            <w:tcW w:w="127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7440CC" w:rsidP="00E12145">
            <w:pPr>
              <w:spacing w:line="360" w:lineRule="auto"/>
              <w:jc w:val="center"/>
              <w:rPr>
                <w:rFonts w:ascii="Times New Roman" w:hAnsi="Times New Roman" w:cs="Times New Roman"/>
                <w:szCs w:val="21"/>
              </w:rPr>
            </w:pPr>
            <w:r w:rsidRPr="007440CC">
              <w:rPr>
                <w:rFonts w:ascii="Times New Roman" w:eastAsia="宋体" w:hAnsi="Times New Roman" w:cs="Times New Roman" w:hint="eastAsia"/>
                <w:bCs/>
                <w:szCs w:val="21"/>
              </w:rPr>
              <w:t>（七）临时报告</w:t>
            </w:r>
          </w:p>
        </w:tc>
        <w:tc>
          <w:tcPr>
            <w:tcW w:w="1867"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854"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6C7529" w:rsidRDefault="005C09A7" w:rsidP="00417D25">
            <w:pPr>
              <w:spacing w:line="360" w:lineRule="auto"/>
              <w:ind w:firstLineChars="200" w:firstLine="420"/>
              <w:rPr>
                <w:rFonts w:ascii="Times New Roman" w:eastAsia="宋体" w:hAnsi="Times New Roman" w:cs="Times New Roman"/>
                <w:bCs/>
                <w:szCs w:val="21"/>
                <w:u w:val="single"/>
              </w:rPr>
            </w:pPr>
            <w:r>
              <w:rPr>
                <w:rFonts w:ascii="Times New Roman" w:hAnsi="Times New Roman" w:cs="Times New Roman" w:hint="eastAsia"/>
                <w:bCs/>
                <w:szCs w:val="21"/>
              </w:rPr>
              <w:t>27</w:t>
            </w:r>
            <w:r w:rsidR="007440CC" w:rsidRPr="007440CC">
              <w:rPr>
                <w:rFonts w:ascii="Times New Roman" w:hAnsi="Times New Roman" w:cs="Times New Roman" w:hint="eastAsia"/>
                <w:bCs/>
                <w:szCs w:val="21"/>
              </w:rPr>
              <w:t>、发生涉及基金申购、赎回事项调整或潜在影响投资者赎回等重大事项时；</w:t>
            </w:r>
          </w:p>
        </w:tc>
      </w:tr>
      <w:tr w:rsidR="00797707" w:rsidRPr="006C7529" w:rsidTr="007440CC">
        <w:trPr>
          <w:jc w:val="center"/>
        </w:trPr>
        <w:tc>
          <w:tcPr>
            <w:tcW w:w="127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72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1230E4" w:rsidRPr="00866770" w:rsidRDefault="001230E4" w:rsidP="00464A0F">
      <w:pPr>
        <w:widowControl/>
        <w:jc w:val="left"/>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5C" w:rsidRDefault="00F3355C" w:rsidP="00863159">
      <w:r>
        <w:separator/>
      </w:r>
    </w:p>
  </w:endnote>
  <w:endnote w:type="continuationSeparator" w:id="0">
    <w:p w:rsidR="00F3355C" w:rsidRDefault="00F3355C"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FB57B5">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FB3DE8" w:rsidRPr="00FB3DE8">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5C" w:rsidRDefault="00F3355C" w:rsidP="00863159">
      <w:r>
        <w:separator/>
      </w:r>
    </w:p>
  </w:footnote>
  <w:footnote w:type="continuationSeparator" w:id="0">
    <w:p w:rsidR="00F3355C" w:rsidRDefault="00F3355C"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577EB"/>
    <w:rsid w:val="00077802"/>
    <w:rsid w:val="00077C65"/>
    <w:rsid w:val="00083EE8"/>
    <w:rsid w:val="000940B4"/>
    <w:rsid w:val="000A6E6B"/>
    <w:rsid w:val="000B5107"/>
    <w:rsid w:val="000C1A68"/>
    <w:rsid w:val="000D11CD"/>
    <w:rsid w:val="000D30D7"/>
    <w:rsid w:val="00106B4C"/>
    <w:rsid w:val="001230E4"/>
    <w:rsid w:val="00144100"/>
    <w:rsid w:val="00151F31"/>
    <w:rsid w:val="00171208"/>
    <w:rsid w:val="0019157E"/>
    <w:rsid w:val="00194A82"/>
    <w:rsid w:val="001D0B44"/>
    <w:rsid w:val="001E0EAB"/>
    <w:rsid w:val="001F4A5A"/>
    <w:rsid w:val="00202806"/>
    <w:rsid w:val="0021390F"/>
    <w:rsid w:val="002160D8"/>
    <w:rsid w:val="00226DF3"/>
    <w:rsid w:val="00243B58"/>
    <w:rsid w:val="0024478E"/>
    <w:rsid w:val="00256461"/>
    <w:rsid w:val="0025692E"/>
    <w:rsid w:val="00260B33"/>
    <w:rsid w:val="00266C04"/>
    <w:rsid w:val="002706B9"/>
    <w:rsid w:val="00273744"/>
    <w:rsid w:val="00281321"/>
    <w:rsid w:val="002A1A08"/>
    <w:rsid w:val="002B2BEC"/>
    <w:rsid w:val="002C6457"/>
    <w:rsid w:val="002C7AD1"/>
    <w:rsid w:val="002E566B"/>
    <w:rsid w:val="002F5712"/>
    <w:rsid w:val="003046E7"/>
    <w:rsid w:val="00307A30"/>
    <w:rsid w:val="0031703B"/>
    <w:rsid w:val="00322B1F"/>
    <w:rsid w:val="00323121"/>
    <w:rsid w:val="003302D7"/>
    <w:rsid w:val="00331747"/>
    <w:rsid w:val="00332F02"/>
    <w:rsid w:val="00334BC0"/>
    <w:rsid w:val="00360C80"/>
    <w:rsid w:val="003665AD"/>
    <w:rsid w:val="00366908"/>
    <w:rsid w:val="003728F9"/>
    <w:rsid w:val="00372D49"/>
    <w:rsid w:val="00373CC2"/>
    <w:rsid w:val="00373D04"/>
    <w:rsid w:val="00377736"/>
    <w:rsid w:val="00380122"/>
    <w:rsid w:val="00386247"/>
    <w:rsid w:val="0039134D"/>
    <w:rsid w:val="00391CCE"/>
    <w:rsid w:val="00391D46"/>
    <w:rsid w:val="00395675"/>
    <w:rsid w:val="003A78F7"/>
    <w:rsid w:val="003A7C07"/>
    <w:rsid w:val="003B0BAE"/>
    <w:rsid w:val="003B3377"/>
    <w:rsid w:val="003C0938"/>
    <w:rsid w:val="003D205F"/>
    <w:rsid w:val="003E2190"/>
    <w:rsid w:val="003F39C1"/>
    <w:rsid w:val="003F5732"/>
    <w:rsid w:val="003F6C40"/>
    <w:rsid w:val="004005BE"/>
    <w:rsid w:val="00411FF0"/>
    <w:rsid w:val="00413907"/>
    <w:rsid w:val="00417D25"/>
    <w:rsid w:val="00441B53"/>
    <w:rsid w:val="0045694B"/>
    <w:rsid w:val="00461792"/>
    <w:rsid w:val="00464A0F"/>
    <w:rsid w:val="00474FD6"/>
    <w:rsid w:val="00491781"/>
    <w:rsid w:val="004937C4"/>
    <w:rsid w:val="004A5F7F"/>
    <w:rsid w:val="004C7796"/>
    <w:rsid w:val="004D1E24"/>
    <w:rsid w:val="004E2D62"/>
    <w:rsid w:val="004F2B78"/>
    <w:rsid w:val="00501169"/>
    <w:rsid w:val="00516627"/>
    <w:rsid w:val="00516FCE"/>
    <w:rsid w:val="005174F5"/>
    <w:rsid w:val="00524B95"/>
    <w:rsid w:val="005304F6"/>
    <w:rsid w:val="00536FD2"/>
    <w:rsid w:val="005567D5"/>
    <w:rsid w:val="00565B19"/>
    <w:rsid w:val="0056732A"/>
    <w:rsid w:val="0058235F"/>
    <w:rsid w:val="0058296C"/>
    <w:rsid w:val="00582D0D"/>
    <w:rsid w:val="0058737E"/>
    <w:rsid w:val="005B022A"/>
    <w:rsid w:val="005B13A0"/>
    <w:rsid w:val="005C09A7"/>
    <w:rsid w:val="005D6862"/>
    <w:rsid w:val="005E1C51"/>
    <w:rsid w:val="006241CA"/>
    <w:rsid w:val="00625D27"/>
    <w:rsid w:val="006342E8"/>
    <w:rsid w:val="00634453"/>
    <w:rsid w:val="006365BA"/>
    <w:rsid w:val="006468E7"/>
    <w:rsid w:val="0064745B"/>
    <w:rsid w:val="0067487D"/>
    <w:rsid w:val="00677BF6"/>
    <w:rsid w:val="00695569"/>
    <w:rsid w:val="006B110E"/>
    <w:rsid w:val="006B7406"/>
    <w:rsid w:val="006B7FC8"/>
    <w:rsid w:val="006C6890"/>
    <w:rsid w:val="006D1102"/>
    <w:rsid w:val="006D7E29"/>
    <w:rsid w:val="006E11CA"/>
    <w:rsid w:val="006E3CC7"/>
    <w:rsid w:val="006F1BE4"/>
    <w:rsid w:val="00705E9D"/>
    <w:rsid w:val="0070654E"/>
    <w:rsid w:val="00731DAD"/>
    <w:rsid w:val="007367AB"/>
    <w:rsid w:val="007440CC"/>
    <w:rsid w:val="007544DF"/>
    <w:rsid w:val="0078167D"/>
    <w:rsid w:val="00781E21"/>
    <w:rsid w:val="00783837"/>
    <w:rsid w:val="0078743B"/>
    <w:rsid w:val="00790B01"/>
    <w:rsid w:val="00793D64"/>
    <w:rsid w:val="00797707"/>
    <w:rsid w:val="007A34C4"/>
    <w:rsid w:val="007A5A9A"/>
    <w:rsid w:val="007A6FC8"/>
    <w:rsid w:val="007C2122"/>
    <w:rsid w:val="007C22FC"/>
    <w:rsid w:val="007D0C7D"/>
    <w:rsid w:val="007D53A4"/>
    <w:rsid w:val="007E097B"/>
    <w:rsid w:val="007E229D"/>
    <w:rsid w:val="007F407E"/>
    <w:rsid w:val="008159E4"/>
    <w:rsid w:val="008513B8"/>
    <w:rsid w:val="008514E5"/>
    <w:rsid w:val="008531B5"/>
    <w:rsid w:val="00863159"/>
    <w:rsid w:val="00866770"/>
    <w:rsid w:val="00884D00"/>
    <w:rsid w:val="00887635"/>
    <w:rsid w:val="00890803"/>
    <w:rsid w:val="008B76A9"/>
    <w:rsid w:val="008D7B86"/>
    <w:rsid w:val="008E0ED0"/>
    <w:rsid w:val="008E7AC3"/>
    <w:rsid w:val="00901EB3"/>
    <w:rsid w:val="009040A2"/>
    <w:rsid w:val="00914B9B"/>
    <w:rsid w:val="00937B55"/>
    <w:rsid w:val="009421D0"/>
    <w:rsid w:val="0094524B"/>
    <w:rsid w:val="009554EF"/>
    <w:rsid w:val="00964F9A"/>
    <w:rsid w:val="00976051"/>
    <w:rsid w:val="00983489"/>
    <w:rsid w:val="009B02AC"/>
    <w:rsid w:val="009B11F8"/>
    <w:rsid w:val="009C6FF7"/>
    <w:rsid w:val="009C7F26"/>
    <w:rsid w:val="009D31F1"/>
    <w:rsid w:val="009D3FDB"/>
    <w:rsid w:val="009E2CFD"/>
    <w:rsid w:val="00A00F0E"/>
    <w:rsid w:val="00A16B2B"/>
    <w:rsid w:val="00A30ED9"/>
    <w:rsid w:val="00A41323"/>
    <w:rsid w:val="00A4256C"/>
    <w:rsid w:val="00A44A47"/>
    <w:rsid w:val="00A55B2C"/>
    <w:rsid w:val="00A640A6"/>
    <w:rsid w:val="00A65CA5"/>
    <w:rsid w:val="00A7129C"/>
    <w:rsid w:val="00A7612C"/>
    <w:rsid w:val="00A769B1"/>
    <w:rsid w:val="00A8233D"/>
    <w:rsid w:val="00A83765"/>
    <w:rsid w:val="00A85B89"/>
    <w:rsid w:val="00A91520"/>
    <w:rsid w:val="00AC1E5E"/>
    <w:rsid w:val="00AC4E2A"/>
    <w:rsid w:val="00AD33B2"/>
    <w:rsid w:val="00AE0306"/>
    <w:rsid w:val="00AE6615"/>
    <w:rsid w:val="00AF445C"/>
    <w:rsid w:val="00AF4A4D"/>
    <w:rsid w:val="00B411BC"/>
    <w:rsid w:val="00B418E7"/>
    <w:rsid w:val="00B459A0"/>
    <w:rsid w:val="00B51EAD"/>
    <w:rsid w:val="00B702B7"/>
    <w:rsid w:val="00B93F00"/>
    <w:rsid w:val="00BA0CAA"/>
    <w:rsid w:val="00BB0F03"/>
    <w:rsid w:val="00BB23E7"/>
    <w:rsid w:val="00BB79D0"/>
    <w:rsid w:val="00BC2746"/>
    <w:rsid w:val="00BD2166"/>
    <w:rsid w:val="00BE3C89"/>
    <w:rsid w:val="00BE51FA"/>
    <w:rsid w:val="00BE68AA"/>
    <w:rsid w:val="00C073BA"/>
    <w:rsid w:val="00C155FC"/>
    <w:rsid w:val="00C206FB"/>
    <w:rsid w:val="00C27D0C"/>
    <w:rsid w:val="00C3630F"/>
    <w:rsid w:val="00C40D0C"/>
    <w:rsid w:val="00C4211F"/>
    <w:rsid w:val="00C52047"/>
    <w:rsid w:val="00C57EC4"/>
    <w:rsid w:val="00C655FA"/>
    <w:rsid w:val="00C73B3C"/>
    <w:rsid w:val="00C80395"/>
    <w:rsid w:val="00C822A1"/>
    <w:rsid w:val="00CA3456"/>
    <w:rsid w:val="00CA43FF"/>
    <w:rsid w:val="00D035B3"/>
    <w:rsid w:val="00D03F12"/>
    <w:rsid w:val="00D1154B"/>
    <w:rsid w:val="00D16FA0"/>
    <w:rsid w:val="00D2494B"/>
    <w:rsid w:val="00D41EC9"/>
    <w:rsid w:val="00D47417"/>
    <w:rsid w:val="00D67A77"/>
    <w:rsid w:val="00D70F23"/>
    <w:rsid w:val="00D9080D"/>
    <w:rsid w:val="00D9505E"/>
    <w:rsid w:val="00DC1818"/>
    <w:rsid w:val="00DD1BA3"/>
    <w:rsid w:val="00DF1809"/>
    <w:rsid w:val="00DF7459"/>
    <w:rsid w:val="00E02701"/>
    <w:rsid w:val="00E12145"/>
    <w:rsid w:val="00E22024"/>
    <w:rsid w:val="00E318CB"/>
    <w:rsid w:val="00E52766"/>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53F9"/>
    <w:rsid w:val="00F3355C"/>
    <w:rsid w:val="00F414C5"/>
    <w:rsid w:val="00F51DE1"/>
    <w:rsid w:val="00F6596F"/>
    <w:rsid w:val="00F67CB5"/>
    <w:rsid w:val="00F67E0F"/>
    <w:rsid w:val="00F74070"/>
    <w:rsid w:val="00F763F6"/>
    <w:rsid w:val="00F80563"/>
    <w:rsid w:val="00F806AC"/>
    <w:rsid w:val="00F81483"/>
    <w:rsid w:val="00FA0D7A"/>
    <w:rsid w:val="00FB3DE8"/>
    <w:rsid w:val="00FB57B5"/>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7440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6E1B-317A-455A-AE87-4437F2E3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697</Words>
  <Characters>3974</Characters>
  <Application>Microsoft Office Word</Application>
  <DocSecurity>0</DocSecurity>
  <Lines>33</Lines>
  <Paragraphs>9</Paragraphs>
  <ScaleCrop>false</ScaleCrop>
  <Company>Sky123.Org</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58</cp:revision>
  <cp:lastPrinted>2018-01-30T02:21:00Z</cp:lastPrinted>
  <dcterms:created xsi:type="dcterms:W3CDTF">2018-01-12T10:20:00Z</dcterms:created>
  <dcterms:modified xsi:type="dcterms:W3CDTF">2018-03-15T07:14:00Z</dcterms:modified>
</cp:coreProperties>
</file>