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交银施罗德丰硕收益债券型证券投资基金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7D9E" w:rsidRDefault="00A169E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交银丰硕收益债券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w:t>
            </w:r>
            <w:r w:rsidRPr="00414345">
              <w:rPr>
                <w:color w:val="000000"/>
                <w:kern w:val="0"/>
                <w:sz w:val="24"/>
                <w:szCs w:val="24"/>
              </w:rPr>
              <w:t>,</w:t>
            </w:r>
            <w:r w:rsidRPr="00414345">
              <w:rPr>
                <w:color w:val="000000"/>
                <w:kern w:val="0"/>
                <w:sz w:val="24"/>
                <w:szCs w:val="24"/>
              </w:rPr>
              <w:t>本基金在基金合同生效之日起两年（含两年）的期间内封闭式运作（按照基金合同的约定提前转换基金运作方式的除外），封闭期结束后转为开放式运作。</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53,688,629.82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在有效控制风险的前提下</w:t>
            </w:r>
            <w:r w:rsidRPr="00414345">
              <w:rPr>
                <w:color w:val="000000"/>
                <w:kern w:val="0"/>
                <w:sz w:val="24"/>
                <w:szCs w:val="24"/>
              </w:rPr>
              <w:t>,</w:t>
            </w:r>
            <w:r w:rsidRPr="00414345">
              <w:rPr>
                <w:color w:val="000000"/>
                <w:kern w:val="0"/>
                <w:sz w:val="24"/>
                <w:szCs w:val="24"/>
              </w:rPr>
              <w:t>力求获得高于业绩基准的投资收益。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AB7D9E" w:rsidRDefault="00A169E0">
            <w:pPr>
              <w:adjustRightInd w:val="0"/>
              <w:spacing w:before="29" w:line="288" w:lineRule="auto"/>
              <w:ind w:left="17"/>
              <w:jc w:val="left"/>
              <w:rPr>
                <w:color w:val="000000"/>
                <w:sz w:val="24"/>
                <w:szCs w:val="24"/>
              </w:rPr>
            </w:pPr>
            <w:r>
              <w:rPr>
                <w:color w:val="000000"/>
                <w:kern w:val="0"/>
                <w:sz w:val="24"/>
                <w:szCs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w:t>
            </w:r>
            <w:r>
              <w:rPr>
                <w:color w:val="000000"/>
                <w:kern w:val="0"/>
                <w:sz w:val="24"/>
                <w:szCs w:val="24"/>
              </w:rPr>
              <w:lastRenderedPageBreak/>
              <w:t>券的流动性、供求关系和收益率水平等，自下而上精选投资标的。</w:t>
            </w:r>
          </w:p>
          <w:p w:rsidR="00AB7D9E" w:rsidRDefault="00AB7D9E">
            <w:pPr>
              <w:adjustRightInd w:val="0"/>
              <w:spacing w:before="29" w:line="288" w:lineRule="auto"/>
              <w:ind w:left="17"/>
              <w:jc w:val="left"/>
              <w:rPr>
                <w:color w:val="000000"/>
                <w:sz w:val="24"/>
                <w:szCs w:val="24"/>
              </w:rPr>
            </w:pP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AB7D9E" w:rsidRDefault="00A169E0">
            <w:pPr>
              <w:adjustRightInd w:val="0"/>
              <w:spacing w:before="29" w:line="288" w:lineRule="auto"/>
              <w:ind w:left="17"/>
              <w:jc w:val="left"/>
              <w:rPr>
                <w:color w:val="000000"/>
                <w:sz w:val="24"/>
                <w:szCs w:val="24"/>
              </w:rPr>
            </w:pPr>
            <w:r>
              <w:rPr>
                <w:color w:val="000000"/>
                <w:kern w:val="0"/>
                <w:sz w:val="24"/>
                <w:szCs w:val="24"/>
              </w:rPr>
              <w:t>封闭期内业绩比较基准：两年期银行定期存款税后收益率</w:t>
            </w:r>
            <w:r>
              <w:rPr>
                <w:color w:val="000000"/>
                <w:kern w:val="0"/>
                <w:sz w:val="24"/>
                <w:szCs w:val="24"/>
              </w:rPr>
              <w:t>+1.25%</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开放期内业绩比较基准：中债综合全价指数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本基金是一只债券型基金，其风险与预期收益高于货币市场基金，低于混合型基金和股票型基金，属于证券投资基金中中等风险的品种。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A169E0" w:rsidP="00C15CAC">
      <w:pPr>
        <w:autoSpaceDE w:val="0"/>
        <w:autoSpaceDN w:val="0"/>
        <w:adjustRightInd w:val="0"/>
        <w:spacing w:before="29" w:line="288" w:lineRule="auto"/>
        <w:jc w:val="left"/>
        <w:rPr>
          <w:color w:val="000000"/>
          <w:sz w:val="24"/>
          <w:szCs w:val="24"/>
        </w:rPr>
      </w:pPr>
      <w:r>
        <w:rPr>
          <w:color w:val="000000"/>
          <w:sz w:val="24"/>
          <w:szCs w:val="24"/>
        </w:rPr>
        <w:t>注：</w:t>
      </w:r>
      <w:r w:rsidR="004061AC" w:rsidRPr="00414345">
        <w:rPr>
          <w:color w:val="000000"/>
          <w:sz w:val="24"/>
          <w:szCs w:val="24"/>
        </w:rPr>
        <w:t>本基金自</w:t>
      </w:r>
      <w:r w:rsidR="004061AC" w:rsidRPr="00414345">
        <w:rPr>
          <w:color w:val="000000"/>
          <w:sz w:val="24"/>
          <w:szCs w:val="24"/>
        </w:rPr>
        <w:t>2017</w:t>
      </w:r>
      <w:r w:rsidR="004061AC" w:rsidRPr="00414345">
        <w:rPr>
          <w:color w:val="000000"/>
          <w:sz w:val="24"/>
          <w:szCs w:val="24"/>
        </w:rPr>
        <w:t>年</w:t>
      </w:r>
      <w:r w:rsidR="004061AC" w:rsidRPr="00414345">
        <w:rPr>
          <w:color w:val="000000"/>
          <w:sz w:val="24"/>
          <w:szCs w:val="24"/>
        </w:rPr>
        <w:t>11</w:t>
      </w:r>
      <w:r w:rsidR="004061AC" w:rsidRPr="00414345">
        <w:rPr>
          <w:color w:val="000000"/>
          <w:sz w:val="24"/>
          <w:szCs w:val="24"/>
        </w:rPr>
        <w:t>月</w:t>
      </w:r>
      <w:r w:rsidR="004061AC" w:rsidRPr="00414345">
        <w:rPr>
          <w:color w:val="000000"/>
          <w:sz w:val="24"/>
          <w:szCs w:val="24"/>
        </w:rPr>
        <w:t>10</w:t>
      </w:r>
      <w:r w:rsidR="004061AC" w:rsidRPr="00414345">
        <w:rPr>
          <w:color w:val="000000"/>
          <w:sz w:val="24"/>
          <w:szCs w:val="24"/>
        </w:rPr>
        <w:t>日起转为开放式运作。</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169E0" w:rsidRPr="00414345" w:rsidTr="00A169E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169E0" w:rsidRPr="00414345" w:rsidTr="00A169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1,636,854.58</w:t>
            </w:r>
          </w:p>
        </w:tc>
      </w:tr>
      <w:tr w:rsidR="00A169E0" w:rsidRPr="00414345" w:rsidTr="00A169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1,546,409.66</w:t>
            </w:r>
          </w:p>
        </w:tc>
      </w:tr>
      <w:tr w:rsidR="00A169E0" w:rsidRPr="00414345" w:rsidTr="00A169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0.0064</w:t>
            </w:r>
          </w:p>
        </w:tc>
      </w:tr>
      <w:tr w:rsidR="00A169E0" w:rsidRPr="00414345" w:rsidTr="00A169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53,790,748.64</w:t>
            </w:r>
          </w:p>
        </w:tc>
      </w:tr>
      <w:tr w:rsidR="00A169E0" w:rsidRPr="00414345" w:rsidTr="00A169E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1.002</w:t>
            </w:r>
          </w:p>
        </w:tc>
      </w:tr>
    </w:tbl>
    <w:p w:rsidR="00AB7D9E" w:rsidRDefault="00A169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7D9E">
        <w:trPr>
          <w:jc w:val="center"/>
        </w:trPr>
        <w:tc>
          <w:tcPr>
            <w:tcW w:w="1701" w:type="dxa"/>
            <w:vAlign w:val="center"/>
          </w:tcPr>
          <w:p w:rsidR="00AB7D9E" w:rsidRDefault="00A169E0">
            <w:pPr>
              <w:jc w:val="left"/>
            </w:pPr>
            <w:r>
              <w:rPr>
                <w:color w:val="000000"/>
                <w:sz w:val="24"/>
                <w:szCs w:val="24"/>
              </w:rPr>
              <w:t>过去三个月</w:t>
            </w:r>
          </w:p>
        </w:tc>
        <w:tc>
          <w:tcPr>
            <w:tcW w:w="1045" w:type="dxa"/>
            <w:vAlign w:val="center"/>
          </w:tcPr>
          <w:p w:rsidR="00AB7D9E" w:rsidRDefault="00A169E0">
            <w:pPr>
              <w:jc w:val="center"/>
            </w:pPr>
            <w:r>
              <w:rPr>
                <w:color w:val="000000"/>
                <w:sz w:val="24"/>
                <w:szCs w:val="24"/>
              </w:rPr>
              <w:t>0.40%</w:t>
            </w:r>
          </w:p>
        </w:tc>
        <w:tc>
          <w:tcPr>
            <w:tcW w:w="1344" w:type="dxa"/>
            <w:vAlign w:val="center"/>
          </w:tcPr>
          <w:p w:rsidR="00AB7D9E" w:rsidRDefault="00A169E0">
            <w:pPr>
              <w:jc w:val="center"/>
            </w:pPr>
            <w:r>
              <w:rPr>
                <w:color w:val="000000"/>
                <w:sz w:val="24"/>
                <w:szCs w:val="24"/>
              </w:rPr>
              <w:t>0.04%</w:t>
            </w:r>
          </w:p>
        </w:tc>
        <w:tc>
          <w:tcPr>
            <w:tcW w:w="1194" w:type="dxa"/>
            <w:vAlign w:val="center"/>
          </w:tcPr>
          <w:p w:rsidR="00AB7D9E" w:rsidRDefault="00A169E0">
            <w:pPr>
              <w:jc w:val="center"/>
            </w:pPr>
            <w:r>
              <w:rPr>
                <w:color w:val="000000"/>
                <w:sz w:val="24"/>
                <w:szCs w:val="24"/>
              </w:rPr>
              <w:t>-0.09%</w:t>
            </w:r>
          </w:p>
        </w:tc>
        <w:tc>
          <w:tcPr>
            <w:tcW w:w="1492" w:type="dxa"/>
            <w:vAlign w:val="center"/>
          </w:tcPr>
          <w:p w:rsidR="00AB7D9E" w:rsidRDefault="00A169E0">
            <w:pPr>
              <w:jc w:val="center"/>
            </w:pPr>
            <w:r>
              <w:rPr>
                <w:color w:val="000000"/>
                <w:sz w:val="24"/>
                <w:szCs w:val="24"/>
              </w:rPr>
              <w:t>0.04%</w:t>
            </w:r>
          </w:p>
        </w:tc>
        <w:tc>
          <w:tcPr>
            <w:tcW w:w="1194" w:type="dxa"/>
            <w:vAlign w:val="center"/>
          </w:tcPr>
          <w:p w:rsidR="00AB7D9E" w:rsidRDefault="00A169E0">
            <w:pPr>
              <w:jc w:val="center"/>
            </w:pPr>
            <w:r>
              <w:rPr>
                <w:color w:val="000000"/>
                <w:sz w:val="24"/>
                <w:szCs w:val="24"/>
              </w:rPr>
              <w:t>0.49%</w:t>
            </w:r>
          </w:p>
        </w:tc>
        <w:tc>
          <w:tcPr>
            <w:tcW w:w="898" w:type="dxa"/>
            <w:vAlign w:val="center"/>
          </w:tcPr>
          <w:p w:rsidR="00AB7D9E" w:rsidRDefault="00A169E0">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注：本基金自</w:t>
      </w:r>
      <w:r w:rsidRPr="00414345">
        <w:rPr>
          <w:color w:val="000000"/>
          <w:sz w:val="24"/>
          <w:szCs w:val="24"/>
        </w:rPr>
        <w:t>2017</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10</w:t>
      </w:r>
      <w:r w:rsidRPr="00414345">
        <w:rPr>
          <w:color w:val="000000"/>
          <w:sz w:val="24"/>
          <w:szCs w:val="24"/>
        </w:rPr>
        <w:t>日起转为开放式运作，本基金的业绩比较基准由</w:t>
      </w:r>
      <w:r w:rsidRPr="00414345">
        <w:rPr>
          <w:color w:val="000000"/>
          <w:sz w:val="24"/>
          <w:szCs w:val="24"/>
        </w:rPr>
        <w:t>“</w:t>
      </w:r>
      <w:r w:rsidRPr="00414345">
        <w:rPr>
          <w:color w:val="000000"/>
          <w:sz w:val="24"/>
          <w:szCs w:val="24"/>
        </w:rPr>
        <w:t>两年期银行定期存款税后收益率</w:t>
      </w:r>
      <w:r w:rsidRPr="00414345">
        <w:rPr>
          <w:color w:val="000000"/>
          <w:sz w:val="24"/>
          <w:szCs w:val="24"/>
        </w:rPr>
        <w:t>+1.25%”</w:t>
      </w:r>
      <w:r w:rsidRPr="00414345">
        <w:rPr>
          <w:color w:val="000000"/>
          <w:sz w:val="24"/>
          <w:szCs w:val="24"/>
        </w:rPr>
        <w:t>变更为</w:t>
      </w:r>
      <w:r w:rsidRPr="00414345">
        <w:rPr>
          <w:color w:val="000000"/>
          <w:sz w:val="24"/>
          <w:szCs w:val="24"/>
        </w:rPr>
        <w:t>“</w:t>
      </w:r>
      <w:r w:rsidRPr="00414345">
        <w:rPr>
          <w:color w:val="000000"/>
          <w:sz w:val="24"/>
          <w:szCs w:val="24"/>
        </w:rPr>
        <w:t>中债综合全价指数</w:t>
      </w:r>
      <w:r w:rsidRPr="00414345">
        <w:rPr>
          <w:color w:val="000000"/>
          <w:sz w:val="24"/>
          <w:szCs w:val="24"/>
        </w:rPr>
        <w:t>”</w:t>
      </w:r>
      <w:r w:rsidRPr="00414345">
        <w:rPr>
          <w:color w:val="000000"/>
          <w:sz w:val="24"/>
          <w:szCs w:val="24"/>
        </w:rPr>
        <w:t>。</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交银施罗德丰硕收益债券型证券投资基金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37A10"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28DA049E" wp14:editId="4EEFD865">
            <wp:extent cx="5274310" cy="3095664"/>
            <wp:effectExtent l="0" t="0" r="2540" b="9525"/>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3095664"/>
                    </a:xfrm>
                    <a:prstGeom prst="rect">
                      <a:avLst/>
                    </a:prstGeom>
                    <a:noFill/>
                    <a:ln>
                      <a:noFill/>
                    </a:ln>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7D9E">
        <w:trPr>
          <w:jc w:val="center"/>
        </w:trPr>
        <w:tc>
          <w:tcPr>
            <w:tcW w:w="846" w:type="dxa"/>
            <w:vAlign w:val="center"/>
          </w:tcPr>
          <w:p w:rsidR="00AB7D9E" w:rsidRDefault="00A169E0">
            <w:pPr>
              <w:jc w:val="center"/>
            </w:pPr>
            <w:r>
              <w:rPr>
                <w:color w:val="000000"/>
                <w:sz w:val="24"/>
                <w:szCs w:val="24"/>
              </w:rPr>
              <w:t>于海颖</w:t>
            </w:r>
          </w:p>
        </w:tc>
        <w:tc>
          <w:tcPr>
            <w:tcW w:w="845" w:type="dxa"/>
            <w:vAlign w:val="center"/>
          </w:tcPr>
          <w:p w:rsidR="00AB7D9E" w:rsidRDefault="00A169E0">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交银增利债券、交银纯债债券发起、交银荣祥保本混合、交银定期支付月月丰债券、交银增强收益债券、交银强化回报债券、交银丰盈收益债券、交银丰硕收益债券、交银荣鑫保本混合、交银增</w:t>
            </w:r>
            <w:r>
              <w:rPr>
                <w:color w:val="000000"/>
                <w:sz w:val="24"/>
                <w:szCs w:val="24"/>
              </w:rPr>
              <w:lastRenderedPageBreak/>
              <w:t>利增强债券的基金经理，公司固定收益（公募）投资总监</w:t>
            </w:r>
          </w:p>
        </w:tc>
        <w:tc>
          <w:tcPr>
            <w:tcW w:w="1549" w:type="dxa"/>
            <w:vAlign w:val="center"/>
          </w:tcPr>
          <w:p w:rsidR="00AB7D9E" w:rsidRDefault="00A169E0">
            <w:pPr>
              <w:jc w:val="center"/>
            </w:pPr>
            <w:r>
              <w:rPr>
                <w:color w:val="000000"/>
                <w:sz w:val="24"/>
                <w:szCs w:val="24"/>
              </w:rPr>
              <w:lastRenderedPageBreak/>
              <w:t>2017-06-10</w:t>
            </w:r>
          </w:p>
        </w:tc>
        <w:tc>
          <w:tcPr>
            <w:tcW w:w="1548" w:type="dxa"/>
            <w:vAlign w:val="center"/>
          </w:tcPr>
          <w:p w:rsidR="00AB7D9E" w:rsidRDefault="00A169E0">
            <w:pPr>
              <w:jc w:val="center"/>
            </w:pPr>
            <w:r>
              <w:rPr>
                <w:color w:val="000000"/>
                <w:sz w:val="24"/>
                <w:szCs w:val="24"/>
              </w:rPr>
              <w:t>-</w:t>
            </w:r>
          </w:p>
        </w:tc>
        <w:tc>
          <w:tcPr>
            <w:tcW w:w="1407" w:type="dxa"/>
            <w:vAlign w:val="center"/>
          </w:tcPr>
          <w:p w:rsidR="00AB7D9E" w:rsidRDefault="00A169E0">
            <w:pPr>
              <w:jc w:val="center"/>
            </w:pPr>
            <w:r>
              <w:rPr>
                <w:color w:val="000000"/>
                <w:sz w:val="24"/>
                <w:szCs w:val="24"/>
              </w:rPr>
              <w:t>11</w:t>
            </w:r>
            <w:r>
              <w:rPr>
                <w:color w:val="000000"/>
                <w:sz w:val="24"/>
                <w:szCs w:val="24"/>
              </w:rPr>
              <w:t>年</w:t>
            </w:r>
          </w:p>
        </w:tc>
        <w:tc>
          <w:tcPr>
            <w:tcW w:w="2673" w:type="dxa"/>
            <w:vAlign w:val="center"/>
          </w:tcPr>
          <w:p w:rsidR="00AB7D9E" w:rsidRDefault="00A169E0">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lastRenderedPageBreak/>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7D9E" w:rsidRDefault="00A169E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7D9E" w:rsidRDefault="00A169E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7D9E" w:rsidRDefault="00A169E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7D9E" w:rsidRDefault="00A169E0">
      <w:pPr>
        <w:spacing w:before="29" w:line="288" w:lineRule="auto"/>
        <w:ind w:firstLineChars="200" w:firstLine="480"/>
        <w:rPr>
          <w:color w:val="000000"/>
          <w:sz w:val="24"/>
          <w:szCs w:val="24"/>
        </w:rPr>
      </w:pPr>
      <w:r>
        <w:rPr>
          <w:color w:val="000000"/>
          <w:sz w:val="24"/>
          <w:szCs w:val="24"/>
        </w:rPr>
        <w:t>四季度以来债券市场经历了大幅度的调整，债券收益率大幅上行后维持高位震荡。十月初在市场对于经济增长韧性形成强烈预期，资金面紧张，金融数据超预期，海外美债持续上行的背景下，国内债券市场收益率稳步走高。十月下旬开始，市场趋向谨慎，资管新规征求意见稿发布后，债券收益率冲高到年内高点。十一月底以来随着十年期国开债停发和基本面数据走弱，债券收益率维持高位震荡。</w:t>
      </w:r>
    </w:p>
    <w:p w:rsidR="00AB7D9E" w:rsidRDefault="00A169E0">
      <w:pPr>
        <w:spacing w:before="29" w:line="288" w:lineRule="auto"/>
        <w:ind w:firstLineChars="200" w:firstLine="480"/>
        <w:rPr>
          <w:color w:val="000000"/>
          <w:sz w:val="24"/>
          <w:szCs w:val="24"/>
        </w:rPr>
      </w:pPr>
      <w:r>
        <w:rPr>
          <w:color w:val="000000"/>
          <w:sz w:val="24"/>
          <w:szCs w:val="24"/>
        </w:rPr>
        <w:t>报告期内，基金封闭期到期并转为开放式运作，目前组合主要配置高流动性资产，满足组合规模变动需求。</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房地产、基建和出口均显出一定的疲态，预计将带动经济增速逐步下行，对债市形成一定支撑，而收益率上行到高位之后具有一定的配置价值。但一季度经济数据真空期和通胀一季度回升压力较大，监管政策落地的力度和节奏以及金融机构的应对行为不甚明朗，超储率低位及银行流动性监管指标强化将导致资金利率波动加大等负面因素仍然存在，债券市场短期内预计较难有资本利得机会。信用债方面，</w:t>
      </w:r>
      <w:r w:rsidRPr="00414345">
        <w:rPr>
          <w:color w:val="000000"/>
          <w:sz w:val="24"/>
          <w:szCs w:val="24"/>
        </w:rPr>
        <w:t>2017</w:t>
      </w:r>
      <w:r w:rsidRPr="00414345">
        <w:rPr>
          <w:color w:val="000000"/>
          <w:sz w:val="24"/>
          <w:szCs w:val="24"/>
        </w:rPr>
        <w:t>年以来信用利差有所走阔，信用债投资模式的改变是否会导致信用利差中枢抬高值得关注。组合当前规模较小，我们仍将继续配置高流动性资产，应对组合规模变动需求。</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1.002</w:t>
      </w:r>
      <w:r w:rsidRPr="00414345">
        <w:rPr>
          <w:color w:val="000000"/>
          <w:sz w:val="24"/>
          <w:szCs w:val="24"/>
        </w:rPr>
        <w:t>元，本报告期份额净值增长率为</w:t>
      </w:r>
      <w:r w:rsidRPr="00414345">
        <w:rPr>
          <w:color w:val="000000"/>
          <w:sz w:val="24"/>
          <w:szCs w:val="24"/>
        </w:rPr>
        <w:t>0.40%</w:t>
      </w:r>
      <w:r w:rsidRPr="00414345">
        <w:rPr>
          <w:color w:val="000000"/>
          <w:sz w:val="24"/>
          <w:szCs w:val="24"/>
        </w:rPr>
        <w:t>，同期业绩比较基准增长率为</w:t>
      </w:r>
      <w:r w:rsidRPr="00414345">
        <w:rPr>
          <w:color w:val="000000"/>
          <w:sz w:val="24"/>
          <w:szCs w:val="24"/>
        </w:rPr>
        <w:t>-0.09%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33,770,800.00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33,770,800.00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10,800,000.00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9,131,372.34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16.83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564,216.68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54,266,389.02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23,814,800.00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23,814,800.00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9,956,000.00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18.51</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33,770,800.00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7D9E">
        <w:trPr>
          <w:jc w:val="center"/>
        </w:trPr>
        <w:tc>
          <w:tcPr>
            <w:tcW w:w="850" w:type="dxa"/>
            <w:vAlign w:val="center"/>
          </w:tcPr>
          <w:p w:rsidR="00AB7D9E" w:rsidRDefault="00A169E0">
            <w:pPr>
              <w:jc w:val="center"/>
            </w:pPr>
            <w:r>
              <w:rPr>
                <w:color w:val="000000"/>
                <w:sz w:val="24"/>
                <w:szCs w:val="24"/>
              </w:rPr>
              <w:t>1</w:t>
            </w:r>
          </w:p>
        </w:tc>
        <w:tc>
          <w:tcPr>
            <w:tcW w:w="1475" w:type="dxa"/>
            <w:vAlign w:val="center"/>
          </w:tcPr>
          <w:p w:rsidR="00AB7D9E" w:rsidRDefault="00A169E0">
            <w:pPr>
              <w:jc w:val="center"/>
            </w:pPr>
            <w:r>
              <w:rPr>
                <w:color w:val="000000"/>
                <w:sz w:val="24"/>
                <w:szCs w:val="24"/>
              </w:rPr>
              <w:t>170410</w:t>
            </w:r>
          </w:p>
        </w:tc>
        <w:tc>
          <w:tcPr>
            <w:tcW w:w="1769" w:type="dxa"/>
            <w:vAlign w:val="center"/>
          </w:tcPr>
          <w:p w:rsidR="00AB7D9E" w:rsidRDefault="00A169E0">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AB7D9E" w:rsidRDefault="00A169E0">
            <w:pPr>
              <w:jc w:val="right"/>
            </w:pPr>
            <w:r>
              <w:rPr>
                <w:color w:val="000000"/>
                <w:sz w:val="24"/>
                <w:szCs w:val="24"/>
              </w:rPr>
              <w:t>140,000</w:t>
            </w:r>
          </w:p>
        </w:tc>
        <w:tc>
          <w:tcPr>
            <w:tcW w:w="2150" w:type="dxa"/>
            <w:vAlign w:val="center"/>
          </w:tcPr>
          <w:p w:rsidR="00AB7D9E" w:rsidRDefault="00A169E0">
            <w:pPr>
              <w:jc w:val="right"/>
            </w:pPr>
            <w:r>
              <w:rPr>
                <w:color w:val="000000"/>
                <w:sz w:val="24"/>
                <w:szCs w:val="24"/>
              </w:rPr>
              <w:t>13,925,800.00</w:t>
            </w:r>
          </w:p>
        </w:tc>
        <w:tc>
          <w:tcPr>
            <w:tcW w:w="1237" w:type="dxa"/>
            <w:vAlign w:val="center"/>
          </w:tcPr>
          <w:p w:rsidR="00AB7D9E" w:rsidRDefault="00A169E0">
            <w:pPr>
              <w:jc w:val="right"/>
            </w:pPr>
            <w:r>
              <w:rPr>
                <w:color w:val="000000"/>
                <w:sz w:val="24"/>
                <w:szCs w:val="24"/>
              </w:rPr>
              <w:t>25.89</w:t>
            </w:r>
          </w:p>
        </w:tc>
      </w:tr>
      <w:tr w:rsidR="00AB7D9E">
        <w:trPr>
          <w:jc w:val="center"/>
        </w:trPr>
        <w:tc>
          <w:tcPr>
            <w:tcW w:w="850" w:type="dxa"/>
            <w:vAlign w:val="center"/>
          </w:tcPr>
          <w:p w:rsidR="00AB7D9E" w:rsidRDefault="00A169E0">
            <w:pPr>
              <w:jc w:val="center"/>
            </w:pPr>
            <w:r>
              <w:rPr>
                <w:color w:val="000000"/>
                <w:sz w:val="24"/>
                <w:szCs w:val="24"/>
              </w:rPr>
              <w:t>2</w:t>
            </w:r>
          </w:p>
        </w:tc>
        <w:tc>
          <w:tcPr>
            <w:tcW w:w="1475" w:type="dxa"/>
            <w:vAlign w:val="center"/>
          </w:tcPr>
          <w:p w:rsidR="00AB7D9E" w:rsidRDefault="00A169E0">
            <w:pPr>
              <w:jc w:val="center"/>
            </w:pPr>
            <w:r>
              <w:rPr>
                <w:color w:val="000000"/>
                <w:sz w:val="24"/>
                <w:szCs w:val="24"/>
              </w:rPr>
              <w:t>111716279</w:t>
            </w:r>
          </w:p>
        </w:tc>
        <w:tc>
          <w:tcPr>
            <w:tcW w:w="1769" w:type="dxa"/>
            <w:vAlign w:val="center"/>
          </w:tcPr>
          <w:p w:rsidR="00AB7D9E" w:rsidRDefault="00A169E0">
            <w:pPr>
              <w:jc w:val="center"/>
            </w:pPr>
            <w:r>
              <w:rPr>
                <w:color w:val="000000"/>
                <w:sz w:val="24"/>
                <w:szCs w:val="24"/>
              </w:rPr>
              <w:t>17</w:t>
            </w:r>
            <w:r>
              <w:rPr>
                <w:color w:val="000000"/>
                <w:sz w:val="24"/>
                <w:szCs w:val="24"/>
              </w:rPr>
              <w:t>上海银行</w:t>
            </w:r>
            <w:r>
              <w:rPr>
                <w:color w:val="000000"/>
                <w:sz w:val="24"/>
                <w:szCs w:val="24"/>
              </w:rPr>
              <w:t>CD279</w:t>
            </w:r>
          </w:p>
        </w:tc>
        <w:tc>
          <w:tcPr>
            <w:tcW w:w="1387" w:type="dxa"/>
            <w:vAlign w:val="center"/>
          </w:tcPr>
          <w:p w:rsidR="00AB7D9E" w:rsidRDefault="00A169E0">
            <w:pPr>
              <w:jc w:val="right"/>
            </w:pPr>
            <w:r>
              <w:rPr>
                <w:color w:val="000000"/>
                <w:sz w:val="24"/>
                <w:szCs w:val="24"/>
              </w:rPr>
              <w:t>100,000</w:t>
            </w:r>
          </w:p>
        </w:tc>
        <w:tc>
          <w:tcPr>
            <w:tcW w:w="2150" w:type="dxa"/>
            <w:vAlign w:val="center"/>
          </w:tcPr>
          <w:p w:rsidR="00AB7D9E" w:rsidRDefault="00A169E0">
            <w:pPr>
              <w:jc w:val="right"/>
            </w:pPr>
            <w:r>
              <w:rPr>
                <w:color w:val="000000"/>
                <w:sz w:val="24"/>
                <w:szCs w:val="24"/>
              </w:rPr>
              <w:t>9,956,000.00</w:t>
            </w:r>
          </w:p>
        </w:tc>
        <w:tc>
          <w:tcPr>
            <w:tcW w:w="1237" w:type="dxa"/>
            <w:vAlign w:val="center"/>
          </w:tcPr>
          <w:p w:rsidR="00AB7D9E" w:rsidRDefault="00A169E0">
            <w:pPr>
              <w:jc w:val="right"/>
            </w:pPr>
            <w:r>
              <w:rPr>
                <w:color w:val="000000"/>
                <w:sz w:val="24"/>
                <w:szCs w:val="24"/>
              </w:rPr>
              <w:t>18.51</w:t>
            </w:r>
          </w:p>
        </w:tc>
      </w:tr>
      <w:tr w:rsidR="00AB7D9E">
        <w:trPr>
          <w:jc w:val="center"/>
        </w:trPr>
        <w:tc>
          <w:tcPr>
            <w:tcW w:w="850" w:type="dxa"/>
            <w:vAlign w:val="center"/>
          </w:tcPr>
          <w:p w:rsidR="00AB7D9E" w:rsidRDefault="00A169E0">
            <w:pPr>
              <w:jc w:val="center"/>
            </w:pPr>
            <w:r>
              <w:rPr>
                <w:color w:val="000000"/>
                <w:sz w:val="24"/>
                <w:szCs w:val="24"/>
              </w:rPr>
              <w:t>3</w:t>
            </w:r>
          </w:p>
        </w:tc>
        <w:tc>
          <w:tcPr>
            <w:tcW w:w="1475" w:type="dxa"/>
            <w:vAlign w:val="center"/>
          </w:tcPr>
          <w:p w:rsidR="00AB7D9E" w:rsidRDefault="00A169E0">
            <w:pPr>
              <w:jc w:val="center"/>
            </w:pPr>
            <w:r>
              <w:rPr>
                <w:color w:val="000000"/>
                <w:sz w:val="24"/>
                <w:szCs w:val="24"/>
              </w:rPr>
              <w:t>018005</w:t>
            </w:r>
          </w:p>
        </w:tc>
        <w:tc>
          <w:tcPr>
            <w:tcW w:w="1769" w:type="dxa"/>
            <w:vAlign w:val="center"/>
          </w:tcPr>
          <w:p w:rsidR="00AB7D9E" w:rsidRDefault="00A169E0">
            <w:pPr>
              <w:jc w:val="center"/>
            </w:pPr>
            <w:r>
              <w:rPr>
                <w:color w:val="000000"/>
                <w:sz w:val="24"/>
                <w:szCs w:val="24"/>
              </w:rPr>
              <w:t>国开</w:t>
            </w:r>
            <w:r>
              <w:rPr>
                <w:color w:val="000000"/>
                <w:sz w:val="24"/>
                <w:szCs w:val="24"/>
              </w:rPr>
              <w:t>1701</w:t>
            </w:r>
          </w:p>
        </w:tc>
        <w:tc>
          <w:tcPr>
            <w:tcW w:w="1387" w:type="dxa"/>
            <w:vAlign w:val="center"/>
          </w:tcPr>
          <w:p w:rsidR="00AB7D9E" w:rsidRDefault="00A169E0">
            <w:pPr>
              <w:jc w:val="right"/>
            </w:pPr>
            <w:r>
              <w:rPr>
                <w:color w:val="000000"/>
                <w:sz w:val="24"/>
                <w:szCs w:val="24"/>
              </w:rPr>
              <w:t>100,000</w:t>
            </w:r>
          </w:p>
        </w:tc>
        <w:tc>
          <w:tcPr>
            <w:tcW w:w="2150" w:type="dxa"/>
            <w:vAlign w:val="center"/>
          </w:tcPr>
          <w:p w:rsidR="00AB7D9E" w:rsidRDefault="00A169E0">
            <w:pPr>
              <w:jc w:val="right"/>
            </w:pPr>
            <w:r>
              <w:rPr>
                <w:color w:val="000000"/>
                <w:sz w:val="24"/>
                <w:szCs w:val="24"/>
              </w:rPr>
              <w:t>9,889,000.00</w:t>
            </w:r>
          </w:p>
        </w:tc>
        <w:tc>
          <w:tcPr>
            <w:tcW w:w="1237" w:type="dxa"/>
            <w:vAlign w:val="center"/>
          </w:tcPr>
          <w:p w:rsidR="00AB7D9E" w:rsidRDefault="00A169E0">
            <w:pPr>
              <w:jc w:val="right"/>
            </w:pPr>
            <w:r>
              <w:rPr>
                <w:color w:val="000000"/>
                <w:sz w:val="24"/>
                <w:szCs w:val="24"/>
              </w:rPr>
              <w:t>18.38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13,261.51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19,101.37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531,853.80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564,216.68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438,630,665.79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384,943,034.97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53,688,629.82</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533209" w:rsidRPr="000673DA" w:rsidRDefault="00533209" w:rsidP="00533209">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533209" w:rsidRPr="00AE55CC" w:rsidRDefault="00533209" w:rsidP="00533209">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533209" w:rsidRDefault="00533209" w:rsidP="00533209">
      <w:pPr>
        <w:autoSpaceDE w:val="0"/>
        <w:autoSpaceDN w:val="0"/>
        <w:adjustRightInd w:val="0"/>
        <w:spacing w:before="29" w:line="288" w:lineRule="auto"/>
        <w:jc w:val="left"/>
        <w:rPr>
          <w:color w:val="000000"/>
          <w:sz w:val="24"/>
        </w:rPr>
      </w:pPr>
    </w:p>
    <w:p w:rsidR="00533209" w:rsidRPr="008A3BCC" w:rsidRDefault="00533209" w:rsidP="00533209">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533209" w:rsidRDefault="00533209" w:rsidP="00533209">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533209" w:rsidRPr="007F52FA" w:rsidRDefault="00533209" w:rsidP="00533209">
      <w:pPr>
        <w:autoSpaceDE w:val="0"/>
        <w:autoSpaceDN w:val="0"/>
        <w:adjustRightInd w:val="0"/>
        <w:spacing w:before="29" w:line="288" w:lineRule="auto"/>
        <w:jc w:val="left"/>
        <w:rPr>
          <w:rFonts w:eastAsiaTheme="minorEastAsia"/>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本基金基金合同的规定，本基金在基金合同生效之日起两年（含两年）的期间内封闭式运作（按照基金合同的约定提前转换基金运作方式的除外），封闭期结束后转为开放式运作。封闭期在本基金的基金合同中如无特别指明即为自基金合同生效之日起至两个公历年后对应日止，若两年后对应日为非工作日的，相应顺延。本基金的封闭期自2015年11月9日开始至2017年11月9日止，自2017年11月10日起转为开放式运作。本基金在转为开放式运作后，自2017年11月10日开始办理日常申购、赎回等业务，并适用基金合同中关于转为开放式运作后的有关规定。详情请查阅本基金管理人于2017年11月3日发布的《交银施罗德基金管理有限公司关于交银施罗德丰硕收益债券型证券投资基金封闭期结束转为开放式运作的提示性公告》以及2017年11月8日发布的《交银施罗德基金管理有限公司关于交银施罗德丰硕收益债券型证券投资基金封闭期结束转为开放式运作暨开放日常申购、赎回业务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B7D9E" w:rsidRDefault="00A169E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、中国证监会准予交银施罗德丰硕收益债券型证券投资基金募集注册的文件；</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、《交银施罗德丰硕收益债券型证券投资基金基金合同》；</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、《交银施罗德丰硕收益债券型证券投资基金招募说明书》；</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、《交银施罗德丰硕收益债券型证券投资基金托管协议》；</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、关于申请募集注册交银施罗德丰硕收益债券型证券投资基金的法律意见书；</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7D9E" w:rsidRDefault="00A169E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、报告期内交银施罗德丰硕收益债券型证券投资基金在指定报刊上各项公告的原稿。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B7D9E" w:rsidRDefault="00A169E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58" w:rsidRDefault="004C5258" w:rsidP="00876D65">
      <w:r>
        <w:separator/>
      </w:r>
    </w:p>
  </w:endnote>
  <w:endnote w:type="continuationSeparator" w:id="0">
    <w:p w:rsidR="004C5258" w:rsidRDefault="004C52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37A10">
      <w:rPr>
        <w:noProof/>
        <w:kern w:val="0"/>
        <w:szCs w:val="21"/>
      </w:rPr>
      <w:t>4</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37A10">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58" w:rsidRDefault="004C5258" w:rsidP="00876D65">
      <w:r>
        <w:separator/>
      </w:r>
    </w:p>
  </w:footnote>
  <w:footnote w:type="continuationSeparator" w:id="0">
    <w:p w:rsidR="004C5258" w:rsidRDefault="004C52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5258"/>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3209"/>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69E0"/>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B7D9E"/>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37A10"/>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62983-55E7-43CF-BF4C-C67B9201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38FA2.79A29B5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07A6-7B66-439F-8A49-67947B60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2018-01-18T02:59:00Z</dcterms:modified>
</cp:coreProperties>
</file>