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交银施罗德荣和保本混合型证券投资基金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E627E" w:rsidRDefault="00034FD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E627E" w:rsidRDefault="00034FDC">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E627E" w:rsidRDefault="00034FD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E627E" w:rsidRDefault="00034FD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E627E" w:rsidRDefault="00034FD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交银荣和保本混合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919,800,730.97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本基金在追求保本周期到期时本金安全的基础上，通过运用投资组合保险技术，力争实现组合资产的稳定增值。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E7EB8" w:rsidRPr="00414345" w:rsidTr="009E7EB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E7EB8" w:rsidRPr="00414345" w:rsidTr="009E7E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3,824,769.50</w:t>
            </w:r>
          </w:p>
        </w:tc>
      </w:tr>
      <w:tr w:rsidR="009E7EB8" w:rsidRPr="00414345" w:rsidTr="009E7E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4,361,055.61</w:t>
            </w:r>
          </w:p>
        </w:tc>
      </w:tr>
      <w:tr w:rsidR="009E7EB8" w:rsidRPr="00414345" w:rsidTr="009E7E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0.0044</w:t>
            </w:r>
          </w:p>
        </w:tc>
      </w:tr>
      <w:tr w:rsidR="009E7EB8" w:rsidRPr="00414345" w:rsidTr="009E7E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916,693,361.83</w:t>
            </w:r>
          </w:p>
        </w:tc>
      </w:tr>
      <w:tr w:rsidR="009E7EB8" w:rsidRPr="00414345" w:rsidTr="009E7EB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0.997</w:t>
            </w:r>
          </w:p>
        </w:tc>
      </w:tr>
    </w:tbl>
    <w:p w:rsidR="005E627E" w:rsidRDefault="00034FD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E627E">
        <w:trPr>
          <w:jc w:val="center"/>
        </w:trPr>
        <w:tc>
          <w:tcPr>
            <w:tcW w:w="1701" w:type="dxa"/>
            <w:vAlign w:val="center"/>
          </w:tcPr>
          <w:p w:rsidR="005E627E" w:rsidRDefault="00034FDC">
            <w:pPr>
              <w:jc w:val="left"/>
            </w:pPr>
            <w:r>
              <w:rPr>
                <w:color w:val="000000"/>
                <w:sz w:val="24"/>
                <w:szCs w:val="24"/>
              </w:rPr>
              <w:t>过去三个月</w:t>
            </w:r>
          </w:p>
        </w:tc>
        <w:tc>
          <w:tcPr>
            <w:tcW w:w="1045" w:type="dxa"/>
            <w:vAlign w:val="center"/>
          </w:tcPr>
          <w:p w:rsidR="005E627E" w:rsidRDefault="00034FDC">
            <w:pPr>
              <w:jc w:val="center"/>
            </w:pPr>
            <w:r>
              <w:rPr>
                <w:color w:val="000000"/>
                <w:sz w:val="24"/>
                <w:szCs w:val="24"/>
              </w:rPr>
              <w:t>0.50%</w:t>
            </w:r>
          </w:p>
        </w:tc>
        <w:tc>
          <w:tcPr>
            <w:tcW w:w="1344" w:type="dxa"/>
            <w:vAlign w:val="center"/>
          </w:tcPr>
          <w:p w:rsidR="005E627E" w:rsidRDefault="00034FDC">
            <w:pPr>
              <w:jc w:val="center"/>
            </w:pPr>
            <w:r>
              <w:rPr>
                <w:color w:val="000000"/>
                <w:sz w:val="24"/>
                <w:szCs w:val="24"/>
              </w:rPr>
              <w:t>0.04%</w:t>
            </w:r>
          </w:p>
        </w:tc>
        <w:tc>
          <w:tcPr>
            <w:tcW w:w="1194" w:type="dxa"/>
            <w:vAlign w:val="center"/>
          </w:tcPr>
          <w:p w:rsidR="005E627E" w:rsidRDefault="00034FDC">
            <w:pPr>
              <w:jc w:val="center"/>
            </w:pPr>
            <w:r>
              <w:rPr>
                <w:color w:val="000000"/>
                <w:sz w:val="24"/>
                <w:szCs w:val="24"/>
              </w:rPr>
              <w:t>0.70%</w:t>
            </w:r>
          </w:p>
        </w:tc>
        <w:tc>
          <w:tcPr>
            <w:tcW w:w="1492" w:type="dxa"/>
            <w:vAlign w:val="center"/>
          </w:tcPr>
          <w:p w:rsidR="005E627E" w:rsidRDefault="00034FDC">
            <w:pPr>
              <w:jc w:val="center"/>
            </w:pPr>
            <w:r>
              <w:rPr>
                <w:color w:val="000000"/>
                <w:sz w:val="24"/>
                <w:szCs w:val="24"/>
              </w:rPr>
              <w:t>0.01%</w:t>
            </w:r>
          </w:p>
        </w:tc>
        <w:tc>
          <w:tcPr>
            <w:tcW w:w="1194" w:type="dxa"/>
            <w:vAlign w:val="center"/>
          </w:tcPr>
          <w:p w:rsidR="005E627E" w:rsidRDefault="00034FDC">
            <w:pPr>
              <w:jc w:val="center"/>
            </w:pPr>
            <w:r>
              <w:rPr>
                <w:color w:val="000000"/>
                <w:sz w:val="24"/>
                <w:szCs w:val="24"/>
              </w:rPr>
              <w:t>-0.20%</w:t>
            </w:r>
          </w:p>
        </w:tc>
        <w:tc>
          <w:tcPr>
            <w:tcW w:w="898" w:type="dxa"/>
            <w:vAlign w:val="center"/>
          </w:tcPr>
          <w:p w:rsidR="005E627E" w:rsidRDefault="00034FDC">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交银施罗德荣和保本混合型证券投资基金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E627E">
        <w:trPr>
          <w:jc w:val="center"/>
        </w:trPr>
        <w:tc>
          <w:tcPr>
            <w:tcW w:w="846" w:type="dxa"/>
            <w:vAlign w:val="center"/>
          </w:tcPr>
          <w:p w:rsidR="005E627E" w:rsidRDefault="00034FDC">
            <w:pPr>
              <w:jc w:val="center"/>
            </w:pPr>
            <w:r>
              <w:rPr>
                <w:color w:val="000000"/>
                <w:sz w:val="24"/>
                <w:szCs w:val="24"/>
              </w:rPr>
              <w:t>王少成</w:t>
            </w:r>
          </w:p>
        </w:tc>
        <w:tc>
          <w:tcPr>
            <w:tcW w:w="845" w:type="dxa"/>
            <w:vAlign w:val="center"/>
          </w:tcPr>
          <w:p w:rsidR="005E627E" w:rsidRDefault="00034FDC">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w:t>
            </w:r>
            <w:r>
              <w:rPr>
                <w:color w:val="000000"/>
                <w:sz w:val="24"/>
                <w:szCs w:val="24"/>
              </w:rPr>
              <w:lastRenderedPageBreak/>
              <w:t>合的基金经理，公司权益投资总监</w:t>
            </w:r>
          </w:p>
        </w:tc>
        <w:tc>
          <w:tcPr>
            <w:tcW w:w="1549" w:type="dxa"/>
            <w:vAlign w:val="center"/>
          </w:tcPr>
          <w:p w:rsidR="005E627E" w:rsidRDefault="00034FDC">
            <w:pPr>
              <w:jc w:val="center"/>
            </w:pPr>
            <w:r>
              <w:rPr>
                <w:color w:val="000000"/>
                <w:sz w:val="24"/>
                <w:szCs w:val="24"/>
              </w:rPr>
              <w:lastRenderedPageBreak/>
              <w:t>2015-11-07</w:t>
            </w:r>
          </w:p>
        </w:tc>
        <w:tc>
          <w:tcPr>
            <w:tcW w:w="1548" w:type="dxa"/>
            <w:vAlign w:val="center"/>
          </w:tcPr>
          <w:p w:rsidR="005E627E" w:rsidRDefault="00034FDC">
            <w:pPr>
              <w:jc w:val="center"/>
            </w:pPr>
            <w:r>
              <w:rPr>
                <w:color w:val="000000"/>
                <w:sz w:val="24"/>
                <w:szCs w:val="24"/>
              </w:rPr>
              <w:t>-</w:t>
            </w:r>
          </w:p>
        </w:tc>
        <w:tc>
          <w:tcPr>
            <w:tcW w:w="1407" w:type="dxa"/>
            <w:vAlign w:val="center"/>
          </w:tcPr>
          <w:p w:rsidR="005E627E" w:rsidRDefault="00034FDC">
            <w:pPr>
              <w:jc w:val="center"/>
            </w:pPr>
            <w:r>
              <w:rPr>
                <w:color w:val="000000"/>
                <w:sz w:val="24"/>
                <w:szCs w:val="24"/>
              </w:rPr>
              <w:t>13</w:t>
            </w:r>
            <w:r>
              <w:rPr>
                <w:color w:val="000000"/>
                <w:sz w:val="24"/>
                <w:szCs w:val="24"/>
              </w:rPr>
              <w:t>年</w:t>
            </w:r>
          </w:p>
        </w:tc>
        <w:tc>
          <w:tcPr>
            <w:tcW w:w="2673" w:type="dxa"/>
            <w:vAlign w:val="center"/>
          </w:tcPr>
          <w:p w:rsidR="005E627E" w:rsidRDefault="00034FDC">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lastRenderedPageBreak/>
              <w:t>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5E627E">
        <w:trPr>
          <w:jc w:val="center"/>
        </w:trPr>
        <w:tc>
          <w:tcPr>
            <w:tcW w:w="846" w:type="dxa"/>
            <w:vAlign w:val="center"/>
          </w:tcPr>
          <w:p w:rsidR="005E627E" w:rsidRDefault="00034FDC">
            <w:pPr>
              <w:jc w:val="center"/>
            </w:pPr>
            <w:r>
              <w:rPr>
                <w:color w:val="000000"/>
                <w:sz w:val="24"/>
                <w:szCs w:val="24"/>
              </w:rPr>
              <w:lastRenderedPageBreak/>
              <w:t>唐赟</w:t>
            </w:r>
          </w:p>
        </w:tc>
        <w:tc>
          <w:tcPr>
            <w:tcW w:w="845" w:type="dxa"/>
            <w:vAlign w:val="center"/>
          </w:tcPr>
          <w:p w:rsidR="005E627E" w:rsidRDefault="00034FDC">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、交银双利债券、交银双轮动债券、交银荣和保本混合、交银裕通纯债债券的基金经理</w:t>
            </w:r>
          </w:p>
        </w:tc>
        <w:tc>
          <w:tcPr>
            <w:tcW w:w="1549" w:type="dxa"/>
            <w:vAlign w:val="center"/>
          </w:tcPr>
          <w:p w:rsidR="005E627E" w:rsidRDefault="00034FDC">
            <w:pPr>
              <w:jc w:val="center"/>
            </w:pPr>
            <w:r>
              <w:rPr>
                <w:color w:val="000000"/>
                <w:sz w:val="24"/>
                <w:szCs w:val="24"/>
              </w:rPr>
              <w:t>2015-11-07</w:t>
            </w:r>
          </w:p>
        </w:tc>
        <w:tc>
          <w:tcPr>
            <w:tcW w:w="1548" w:type="dxa"/>
            <w:vAlign w:val="center"/>
          </w:tcPr>
          <w:p w:rsidR="005E627E" w:rsidRDefault="00034FDC">
            <w:pPr>
              <w:jc w:val="center"/>
            </w:pPr>
            <w:r>
              <w:rPr>
                <w:color w:val="000000"/>
                <w:sz w:val="24"/>
                <w:szCs w:val="24"/>
              </w:rPr>
              <w:t>-</w:t>
            </w:r>
          </w:p>
        </w:tc>
        <w:tc>
          <w:tcPr>
            <w:tcW w:w="1407" w:type="dxa"/>
            <w:vAlign w:val="center"/>
          </w:tcPr>
          <w:p w:rsidR="005E627E" w:rsidRDefault="00034FDC">
            <w:pPr>
              <w:jc w:val="center"/>
            </w:pPr>
            <w:r>
              <w:rPr>
                <w:color w:val="000000"/>
                <w:sz w:val="24"/>
                <w:szCs w:val="24"/>
              </w:rPr>
              <w:t>5</w:t>
            </w:r>
            <w:r>
              <w:rPr>
                <w:color w:val="000000"/>
                <w:sz w:val="24"/>
                <w:szCs w:val="24"/>
              </w:rPr>
              <w:t>年</w:t>
            </w:r>
          </w:p>
        </w:tc>
        <w:tc>
          <w:tcPr>
            <w:tcW w:w="2673" w:type="dxa"/>
            <w:vAlign w:val="center"/>
          </w:tcPr>
          <w:p w:rsidR="005E627E" w:rsidRDefault="00034FDC">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E627E" w:rsidRDefault="00034FD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E627E" w:rsidRDefault="00034FD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E627E" w:rsidRDefault="00034FD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E627E" w:rsidRDefault="00034FDC">
      <w:pPr>
        <w:spacing w:before="29" w:line="288" w:lineRule="auto"/>
        <w:ind w:firstLineChars="200" w:firstLine="480"/>
        <w:rPr>
          <w:color w:val="000000"/>
          <w:sz w:val="24"/>
          <w:szCs w:val="24"/>
        </w:rPr>
      </w:pPr>
      <w:r>
        <w:rPr>
          <w:color w:val="000000"/>
          <w:sz w:val="24"/>
          <w:szCs w:val="24"/>
        </w:rPr>
        <w:t>四季度以来债券市场经历了大幅度的调整，债券收益率大幅上行后维持高位震荡。十一长假过后市场对于节前央行公告的定向降准的</w:t>
      </w:r>
      <w:r>
        <w:rPr>
          <w:color w:val="000000"/>
          <w:sz w:val="24"/>
          <w:szCs w:val="24"/>
        </w:rPr>
        <w:t>“</w:t>
      </w:r>
      <w:r>
        <w:rPr>
          <w:color w:val="000000"/>
          <w:sz w:val="24"/>
          <w:szCs w:val="24"/>
        </w:rPr>
        <w:t>利好</w:t>
      </w:r>
      <w:r>
        <w:rPr>
          <w:color w:val="000000"/>
          <w:sz w:val="24"/>
          <w:szCs w:val="24"/>
        </w:rPr>
        <w:t>”</w:t>
      </w:r>
      <w:r>
        <w:rPr>
          <w:color w:val="000000"/>
          <w:sz w:val="24"/>
          <w:szCs w:val="24"/>
        </w:rPr>
        <w:t>并无反应，收益率反而小幅上行，市场对于经济增长韧性形成强烈预期，加之资金面紧张、金融数据超预期，美联储人选不确定导致美债收益率走高，国内债券收益率同时持续走高。十月下旬开始，市场趋向谨慎，资管新规征求意见稿发布后，债券收益率冲高到近三年高点。十一月底以来随着十年期国开债停发和基本面数据走弱，债券收益率维持高位震荡。</w:t>
      </w:r>
    </w:p>
    <w:p w:rsidR="005E627E" w:rsidRDefault="00034FDC">
      <w:pPr>
        <w:spacing w:before="29" w:line="288" w:lineRule="auto"/>
        <w:ind w:firstLineChars="200" w:firstLine="480"/>
        <w:rPr>
          <w:color w:val="000000"/>
          <w:sz w:val="24"/>
          <w:szCs w:val="24"/>
        </w:rPr>
      </w:pPr>
      <w:r>
        <w:rPr>
          <w:color w:val="000000"/>
          <w:sz w:val="24"/>
          <w:szCs w:val="24"/>
        </w:rPr>
        <w:t>报告期内，本基金的债券配置继续按照期限匹配的策略，以高票息短久期信用债为</w:t>
      </w:r>
      <w:r>
        <w:rPr>
          <w:color w:val="000000"/>
          <w:sz w:val="24"/>
          <w:szCs w:val="24"/>
        </w:rPr>
        <w:lastRenderedPageBreak/>
        <w:t>底仓，控制组合杠杆成本，提升组合的静态收益水平。</w:t>
      </w:r>
    </w:p>
    <w:p w:rsidR="005E627E" w:rsidRDefault="00034FDC">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房地产、基建和出口均显出一定的疲态，预计将带动经济增速逐步下行，对债市形成一定支撑，而收益率上行到高位之后具有一定的配置价值。但一季度通胀回升压力加大，监管政策落地的力度和节奏以及金融机构的应对行为不甚明朗，超储率低位及银行流动性监管指标强化将导致资金利率波动加大等负面因素仍然存在，债券收益率或将继续维持高位震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信用债方面，</w:t>
      </w:r>
      <w:r w:rsidRPr="00414345">
        <w:rPr>
          <w:color w:val="000000"/>
          <w:sz w:val="24"/>
          <w:szCs w:val="24"/>
        </w:rPr>
        <w:t>2017</w:t>
      </w:r>
      <w:r w:rsidRPr="00414345">
        <w:rPr>
          <w:color w:val="000000"/>
          <w:sz w:val="24"/>
          <w:szCs w:val="24"/>
        </w:rPr>
        <w:t>年以来信用利差有所走阔，信用债投资模式的改变是否会导致信用利差中枢抬高值得关注。此外，低等级信用债利差未能充分反映未来的信用风险，我们将继续规避中低评级信用债，在利率曲线平坦的情况下，或将维持目前的债券偏短的久期配置。本基金在</w:t>
      </w:r>
      <w:r w:rsidRPr="00414345">
        <w:rPr>
          <w:color w:val="000000"/>
          <w:sz w:val="24"/>
          <w:szCs w:val="24"/>
        </w:rPr>
        <w:t>2018</w:t>
      </w:r>
      <w:r w:rsidRPr="00414345">
        <w:rPr>
          <w:color w:val="000000"/>
          <w:sz w:val="24"/>
          <w:szCs w:val="24"/>
        </w:rPr>
        <w:t>年一季度预计仍将采取期限匹配的高票息策略，尽力控制融资成本，以期获取稳定的息差收益。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0.997</w:t>
      </w:r>
      <w:r w:rsidRPr="00414345">
        <w:rPr>
          <w:color w:val="000000"/>
          <w:sz w:val="24"/>
          <w:szCs w:val="24"/>
        </w:rPr>
        <w:t>元，本报告期份额净值增长率为</w:t>
      </w:r>
      <w:r w:rsidRPr="00414345">
        <w:rPr>
          <w:color w:val="000000"/>
          <w:sz w:val="24"/>
          <w:szCs w:val="24"/>
        </w:rPr>
        <w:t>0.50%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1,313,976,317.80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96.97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1,313,976,317.80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96.97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9,145,253.76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31,852,902.41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1,354,974,473.97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45,800,017.80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45,800,017.80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291,139,000.00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881,209,000.00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96.13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95,329,000.00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10.40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1,313,976,317.80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143.34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E627E">
        <w:trPr>
          <w:jc w:val="center"/>
        </w:trPr>
        <w:tc>
          <w:tcPr>
            <w:tcW w:w="850" w:type="dxa"/>
            <w:vAlign w:val="center"/>
          </w:tcPr>
          <w:p w:rsidR="005E627E" w:rsidRDefault="00034FDC">
            <w:pPr>
              <w:jc w:val="center"/>
            </w:pPr>
            <w:r>
              <w:rPr>
                <w:color w:val="000000"/>
                <w:sz w:val="24"/>
                <w:szCs w:val="24"/>
              </w:rPr>
              <w:t>1</w:t>
            </w:r>
          </w:p>
        </w:tc>
        <w:tc>
          <w:tcPr>
            <w:tcW w:w="1475" w:type="dxa"/>
            <w:vAlign w:val="center"/>
          </w:tcPr>
          <w:p w:rsidR="005E627E" w:rsidRDefault="00034FDC">
            <w:pPr>
              <w:jc w:val="center"/>
            </w:pPr>
            <w:r>
              <w:rPr>
                <w:color w:val="000000"/>
                <w:sz w:val="24"/>
                <w:szCs w:val="24"/>
              </w:rPr>
              <w:t>1180104</w:t>
            </w:r>
          </w:p>
        </w:tc>
        <w:tc>
          <w:tcPr>
            <w:tcW w:w="1769" w:type="dxa"/>
            <w:vAlign w:val="center"/>
          </w:tcPr>
          <w:p w:rsidR="005E627E" w:rsidRDefault="00034FDC">
            <w:pPr>
              <w:jc w:val="center"/>
            </w:pPr>
            <w:r>
              <w:rPr>
                <w:color w:val="000000"/>
                <w:sz w:val="24"/>
                <w:szCs w:val="24"/>
              </w:rPr>
              <w:t>11</w:t>
            </w:r>
            <w:r>
              <w:rPr>
                <w:color w:val="000000"/>
                <w:sz w:val="24"/>
                <w:szCs w:val="24"/>
              </w:rPr>
              <w:t>杭高新债</w:t>
            </w:r>
          </w:p>
        </w:tc>
        <w:tc>
          <w:tcPr>
            <w:tcW w:w="1387" w:type="dxa"/>
            <w:vAlign w:val="center"/>
          </w:tcPr>
          <w:p w:rsidR="005E627E" w:rsidRDefault="00034FDC">
            <w:pPr>
              <w:jc w:val="right"/>
            </w:pPr>
            <w:r>
              <w:rPr>
                <w:color w:val="000000"/>
                <w:sz w:val="24"/>
                <w:szCs w:val="24"/>
              </w:rPr>
              <w:t>700,000</w:t>
            </w:r>
          </w:p>
        </w:tc>
        <w:tc>
          <w:tcPr>
            <w:tcW w:w="2150" w:type="dxa"/>
            <w:vAlign w:val="center"/>
          </w:tcPr>
          <w:p w:rsidR="005E627E" w:rsidRDefault="00034FDC">
            <w:pPr>
              <w:jc w:val="right"/>
            </w:pPr>
            <w:r>
              <w:rPr>
                <w:color w:val="000000"/>
                <w:sz w:val="24"/>
                <w:szCs w:val="24"/>
              </w:rPr>
              <w:t>70,602,000.00</w:t>
            </w:r>
          </w:p>
        </w:tc>
        <w:tc>
          <w:tcPr>
            <w:tcW w:w="1237" w:type="dxa"/>
            <w:vAlign w:val="center"/>
          </w:tcPr>
          <w:p w:rsidR="005E627E" w:rsidRDefault="00034FDC">
            <w:pPr>
              <w:jc w:val="right"/>
            </w:pPr>
            <w:r>
              <w:rPr>
                <w:color w:val="000000"/>
                <w:sz w:val="24"/>
                <w:szCs w:val="24"/>
              </w:rPr>
              <w:t>7.70</w:t>
            </w:r>
          </w:p>
        </w:tc>
      </w:tr>
      <w:tr w:rsidR="005E627E">
        <w:trPr>
          <w:jc w:val="center"/>
        </w:trPr>
        <w:tc>
          <w:tcPr>
            <w:tcW w:w="850" w:type="dxa"/>
            <w:vAlign w:val="center"/>
          </w:tcPr>
          <w:p w:rsidR="005E627E" w:rsidRDefault="00034FDC">
            <w:pPr>
              <w:jc w:val="center"/>
            </w:pPr>
            <w:r>
              <w:rPr>
                <w:color w:val="000000"/>
                <w:sz w:val="24"/>
                <w:szCs w:val="24"/>
              </w:rPr>
              <w:t>2</w:t>
            </w:r>
          </w:p>
        </w:tc>
        <w:tc>
          <w:tcPr>
            <w:tcW w:w="1475" w:type="dxa"/>
            <w:vAlign w:val="center"/>
          </w:tcPr>
          <w:p w:rsidR="005E627E" w:rsidRDefault="00034FDC">
            <w:pPr>
              <w:jc w:val="center"/>
            </w:pPr>
            <w:r>
              <w:rPr>
                <w:color w:val="000000"/>
                <w:sz w:val="24"/>
                <w:szCs w:val="24"/>
              </w:rPr>
              <w:t>1180093</w:t>
            </w:r>
          </w:p>
        </w:tc>
        <w:tc>
          <w:tcPr>
            <w:tcW w:w="1769" w:type="dxa"/>
            <w:vAlign w:val="center"/>
          </w:tcPr>
          <w:p w:rsidR="005E627E" w:rsidRDefault="00034FDC">
            <w:pPr>
              <w:jc w:val="center"/>
            </w:pPr>
            <w:r>
              <w:rPr>
                <w:color w:val="000000"/>
                <w:sz w:val="24"/>
                <w:szCs w:val="24"/>
              </w:rPr>
              <w:t>11</w:t>
            </w:r>
            <w:r>
              <w:rPr>
                <w:color w:val="000000"/>
                <w:sz w:val="24"/>
                <w:szCs w:val="24"/>
              </w:rPr>
              <w:t>丰国资债</w:t>
            </w:r>
          </w:p>
        </w:tc>
        <w:tc>
          <w:tcPr>
            <w:tcW w:w="1387" w:type="dxa"/>
            <w:vAlign w:val="center"/>
          </w:tcPr>
          <w:p w:rsidR="005E627E" w:rsidRDefault="00034FDC">
            <w:pPr>
              <w:jc w:val="right"/>
            </w:pPr>
            <w:r>
              <w:rPr>
                <w:color w:val="000000"/>
                <w:sz w:val="24"/>
                <w:szCs w:val="24"/>
              </w:rPr>
              <w:t>700,000</w:t>
            </w:r>
          </w:p>
        </w:tc>
        <w:tc>
          <w:tcPr>
            <w:tcW w:w="2150" w:type="dxa"/>
            <w:vAlign w:val="center"/>
          </w:tcPr>
          <w:p w:rsidR="005E627E" w:rsidRDefault="00034FDC">
            <w:pPr>
              <w:jc w:val="right"/>
            </w:pPr>
            <w:r>
              <w:rPr>
                <w:color w:val="000000"/>
                <w:sz w:val="24"/>
                <w:szCs w:val="24"/>
              </w:rPr>
              <w:t>70,434,000.00</w:t>
            </w:r>
          </w:p>
        </w:tc>
        <w:tc>
          <w:tcPr>
            <w:tcW w:w="1237" w:type="dxa"/>
            <w:vAlign w:val="center"/>
          </w:tcPr>
          <w:p w:rsidR="005E627E" w:rsidRDefault="00034FDC">
            <w:pPr>
              <w:jc w:val="right"/>
            </w:pPr>
            <w:r>
              <w:rPr>
                <w:color w:val="000000"/>
                <w:sz w:val="24"/>
                <w:szCs w:val="24"/>
              </w:rPr>
              <w:t>7.68</w:t>
            </w:r>
          </w:p>
        </w:tc>
      </w:tr>
      <w:tr w:rsidR="005E627E">
        <w:trPr>
          <w:jc w:val="center"/>
        </w:trPr>
        <w:tc>
          <w:tcPr>
            <w:tcW w:w="850" w:type="dxa"/>
            <w:vAlign w:val="center"/>
          </w:tcPr>
          <w:p w:rsidR="005E627E" w:rsidRDefault="00034FDC">
            <w:pPr>
              <w:jc w:val="center"/>
            </w:pPr>
            <w:r>
              <w:rPr>
                <w:color w:val="000000"/>
                <w:sz w:val="24"/>
                <w:szCs w:val="24"/>
              </w:rPr>
              <w:t>3</w:t>
            </w:r>
          </w:p>
        </w:tc>
        <w:tc>
          <w:tcPr>
            <w:tcW w:w="1475" w:type="dxa"/>
            <w:vAlign w:val="center"/>
          </w:tcPr>
          <w:p w:rsidR="005E627E" w:rsidRDefault="00034FDC">
            <w:pPr>
              <w:jc w:val="center"/>
            </w:pPr>
            <w:r>
              <w:rPr>
                <w:color w:val="000000"/>
                <w:sz w:val="24"/>
                <w:szCs w:val="24"/>
              </w:rPr>
              <w:t>1180068</w:t>
            </w:r>
          </w:p>
        </w:tc>
        <w:tc>
          <w:tcPr>
            <w:tcW w:w="1769" w:type="dxa"/>
            <w:vAlign w:val="center"/>
          </w:tcPr>
          <w:p w:rsidR="005E627E" w:rsidRDefault="00034FDC">
            <w:pPr>
              <w:jc w:val="center"/>
            </w:pPr>
            <w:r>
              <w:rPr>
                <w:color w:val="000000"/>
                <w:sz w:val="24"/>
                <w:szCs w:val="24"/>
              </w:rPr>
              <w:t>11</w:t>
            </w:r>
            <w:r>
              <w:rPr>
                <w:color w:val="000000"/>
                <w:sz w:val="24"/>
                <w:szCs w:val="24"/>
              </w:rPr>
              <w:t>供销债</w:t>
            </w:r>
          </w:p>
        </w:tc>
        <w:tc>
          <w:tcPr>
            <w:tcW w:w="1387" w:type="dxa"/>
            <w:vAlign w:val="center"/>
          </w:tcPr>
          <w:p w:rsidR="005E627E" w:rsidRDefault="00034FDC">
            <w:pPr>
              <w:jc w:val="right"/>
            </w:pPr>
            <w:r>
              <w:rPr>
                <w:color w:val="000000"/>
                <w:sz w:val="24"/>
                <w:szCs w:val="24"/>
              </w:rPr>
              <w:t>600,000</w:t>
            </w:r>
          </w:p>
        </w:tc>
        <w:tc>
          <w:tcPr>
            <w:tcW w:w="2150" w:type="dxa"/>
            <w:vAlign w:val="center"/>
          </w:tcPr>
          <w:p w:rsidR="005E627E" w:rsidRDefault="00034FDC">
            <w:pPr>
              <w:jc w:val="right"/>
            </w:pPr>
            <w:r>
              <w:rPr>
                <w:color w:val="000000"/>
                <w:sz w:val="24"/>
                <w:szCs w:val="24"/>
              </w:rPr>
              <w:t>60,474,000.00</w:t>
            </w:r>
          </w:p>
        </w:tc>
        <w:tc>
          <w:tcPr>
            <w:tcW w:w="1237" w:type="dxa"/>
            <w:vAlign w:val="center"/>
          </w:tcPr>
          <w:p w:rsidR="005E627E" w:rsidRDefault="00034FDC">
            <w:pPr>
              <w:jc w:val="right"/>
            </w:pPr>
            <w:r>
              <w:rPr>
                <w:color w:val="000000"/>
                <w:sz w:val="24"/>
                <w:szCs w:val="24"/>
              </w:rPr>
              <w:t>6.60</w:t>
            </w:r>
          </w:p>
        </w:tc>
      </w:tr>
      <w:tr w:rsidR="005E627E">
        <w:trPr>
          <w:jc w:val="center"/>
        </w:trPr>
        <w:tc>
          <w:tcPr>
            <w:tcW w:w="850" w:type="dxa"/>
            <w:vAlign w:val="center"/>
          </w:tcPr>
          <w:p w:rsidR="005E627E" w:rsidRDefault="00034FDC">
            <w:pPr>
              <w:jc w:val="center"/>
            </w:pPr>
            <w:r>
              <w:rPr>
                <w:color w:val="000000"/>
                <w:sz w:val="24"/>
                <w:szCs w:val="24"/>
              </w:rPr>
              <w:lastRenderedPageBreak/>
              <w:t>4</w:t>
            </w:r>
          </w:p>
        </w:tc>
        <w:tc>
          <w:tcPr>
            <w:tcW w:w="1475" w:type="dxa"/>
            <w:vAlign w:val="center"/>
          </w:tcPr>
          <w:p w:rsidR="005E627E" w:rsidRDefault="00034FDC">
            <w:pPr>
              <w:jc w:val="center"/>
            </w:pPr>
            <w:r>
              <w:rPr>
                <w:color w:val="000000"/>
                <w:sz w:val="24"/>
                <w:szCs w:val="24"/>
              </w:rPr>
              <w:t>1382082</w:t>
            </w:r>
          </w:p>
        </w:tc>
        <w:tc>
          <w:tcPr>
            <w:tcW w:w="1769" w:type="dxa"/>
            <w:vAlign w:val="center"/>
          </w:tcPr>
          <w:p w:rsidR="005E627E" w:rsidRDefault="00034FDC">
            <w:pPr>
              <w:jc w:val="center"/>
            </w:pPr>
            <w:r>
              <w:rPr>
                <w:color w:val="000000"/>
                <w:sz w:val="24"/>
                <w:szCs w:val="24"/>
              </w:rPr>
              <w:t>13</w:t>
            </w:r>
            <w:r>
              <w:rPr>
                <w:color w:val="000000"/>
                <w:sz w:val="24"/>
                <w:szCs w:val="24"/>
              </w:rPr>
              <w:t>沪临港</w:t>
            </w:r>
            <w:r>
              <w:rPr>
                <w:color w:val="000000"/>
                <w:sz w:val="24"/>
                <w:szCs w:val="24"/>
              </w:rPr>
              <w:t>MTN1</w:t>
            </w:r>
          </w:p>
        </w:tc>
        <w:tc>
          <w:tcPr>
            <w:tcW w:w="1387" w:type="dxa"/>
            <w:vAlign w:val="center"/>
          </w:tcPr>
          <w:p w:rsidR="005E627E" w:rsidRDefault="00034FDC">
            <w:pPr>
              <w:jc w:val="right"/>
            </w:pPr>
            <w:r>
              <w:rPr>
                <w:color w:val="000000"/>
                <w:sz w:val="24"/>
                <w:szCs w:val="24"/>
              </w:rPr>
              <w:t>500,000</w:t>
            </w:r>
          </w:p>
        </w:tc>
        <w:tc>
          <w:tcPr>
            <w:tcW w:w="2150" w:type="dxa"/>
            <w:vAlign w:val="center"/>
          </w:tcPr>
          <w:p w:rsidR="005E627E" w:rsidRDefault="00034FDC">
            <w:pPr>
              <w:jc w:val="right"/>
            </w:pPr>
            <w:r>
              <w:rPr>
                <w:color w:val="000000"/>
                <w:sz w:val="24"/>
                <w:szCs w:val="24"/>
              </w:rPr>
              <w:t>50,445,000.00</w:t>
            </w:r>
          </w:p>
        </w:tc>
        <w:tc>
          <w:tcPr>
            <w:tcW w:w="1237" w:type="dxa"/>
            <w:vAlign w:val="center"/>
          </w:tcPr>
          <w:p w:rsidR="005E627E" w:rsidRDefault="00034FDC">
            <w:pPr>
              <w:jc w:val="right"/>
            </w:pPr>
            <w:r>
              <w:rPr>
                <w:color w:val="000000"/>
                <w:sz w:val="24"/>
                <w:szCs w:val="24"/>
              </w:rPr>
              <w:t>5.50</w:t>
            </w:r>
          </w:p>
        </w:tc>
      </w:tr>
      <w:tr w:rsidR="005E627E">
        <w:trPr>
          <w:jc w:val="center"/>
        </w:trPr>
        <w:tc>
          <w:tcPr>
            <w:tcW w:w="850" w:type="dxa"/>
            <w:vAlign w:val="center"/>
          </w:tcPr>
          <w:p w:rsidR="005E627E" w:rsidRDefault="00034FDC">
            <w:pPr>
              <w:jc w:val="center"/>
            </w:pPr>
            <w:r>
              <w:rPr>
                <w:color w:val="000000"/>
                <w:sz w:val="24"/>
                <w:szCs w:val="24"/>
              </w:rPr>
              <w:t>5</w:t>
            </w:r>
          </w:p>
        </w:tc>
        <w:tc>
          <w:tcPr>
            <w:tcW w:w="1475" w:type="dxa"/>
            <w:vAlign w:val="center"/>
          </w:tcPr>
          <w:p w:rsidR="005E627E" w:rsidRDefault="00034FDC">
            <w:pPr>
              <w:jc w:val="center"/>
            </w:pPr>
            <w:r>
              <w:rPr>
                <w:color w:val="000000"/>
                <w:sz w:val="24"/>
                <w:szCs w:val="24"/>
              </w:rPr>
              <w:t>1382234</w:t>
            </w:r>
          </w:p>
        </w:tc>
        <w:tc>
          <w:tcPr>
            <w:tcW w:w="1769" w:type="dxa"/>
            <w:vAlign w:val="center"/>
          </w:tcPr>
          <w:p w:rsidR="005E627E" w:rsidRDefault="00034FDC">
            <w:pPr>
              <w:jc w:val="center"/>
            </w:pPr>
            <w:r>
              <w:rPr>
                <w:color w:val="000000"/>
                <w:sz w:val="24"/>
                <w:szCs w:val="24"/>
              </w:rPr>
              <w:t>13</w:t>
            </w:r>
            <w:r>
              <w:rPr>
                <w:color w:val="000000"/>
                <w:sz w:val="24"/>
                <w:szCs w:val="24"/>
              </w:rPr>
              <w:t>鄂联投</w:t>
            </w:r>
            <w:r>
              <w:rPr>
                <w:color w:val="000000"/>
                <w:sz w:val="24"/>
                <w:szCs w:val="24"/>
              </w:rPr>
              <w:t>MTN1</w:t>
            </w:r>
          </w:p>
        </w:tc>
        <w:tc>
          <w:tcPr>
            <w:tcW w:w="1387" w:type="dxa"/>
            <w:vAlign w:val="center"/>
          </w:tcPr>
          <w:p w:rsidR="005E627E" w:rsidRDefault="00034FDC">
            <w:pPr>
              <w:jc w:val="right"/>
            </w:pPr>
            <w:r>
              <w:rPr>
                <w:color w:val="000000"/>
                <w:sz w:val="24"/>
                <w:szCs w:val="24"/>
              </w:rPr>
              <w:t>500,000</w:t>
            </w:r>
          </w:p>
        </w:tc>
        <w:tc>
          <w:tcPr>
            <w:tcW w:w="2150" w:type="dxa"/>
            <w:vAlign w:val="center"/>
          </w:tcPr>
          <w:p w:rsidR="005E627E" w:rsidRDefault="00034FDC">
            <w:pPr>
              <w:jc w:val="right"/>
            </w:pPr>
            <w:r>
              <w:rPr>
                <w:color w:val="000000"/>
                <w:sz w:val="24"/>
                <w:szCs w:val="24"/>
              </w:rPr>
              <w:t>50,245,000.00</w:t>
            </w:r>
          </w:p>
        </w:tc>
        <w:tc>
          <w:tcPr>
            <w:tcW w:w="1237" w:type="dxa"/>
            <w:vAlign w:val="center"/>
          </w:tcPr>
          <w:p w:rsidR="005E627E" w:rsidRDefault="00034FDC">
            <w:pPr>
              <w:jc w:val="right"/>
            </w:pPr>
            <w:r>
              <w:rPr>
                <w:color w:val="000000"/>
                <w:sz w:val="24"/>
                <w:szCs w:val="24"/>
              </w:rPr>
              <w:t>5.48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21,506.79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427,987.94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31,403,407.68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31,852,902.41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1,049,258,278.55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89,225.82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129,546,773.40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919,800,730.97</w:t>
            </w:r>
          </w:p>
        </w:tc>
      </w:tr>
    </w:tbl>
    <w:p w:rsidR="005E627E" w:rsidRDefault="00034FD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E627E" w:rsidRDefault="00034FD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、中国证监会准予交银施罗德荣和保本混合型证券投资基金募集注册的文件；</w:t>
      </w:r>
      <w:r>
        <w:rPr>
          <w:color w:val="000000"/>
          <w:sz w:val="24"/>
          <w:szCs w:val="24"/>
        </w:rPr>
        <w:t xml:space="preserve"> </w:t>
      </w:r>
    </w:p>
    <w:p w:rsidR="005E627E" w:rsidRDefault="00034FD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、《交银施罗德荣和保本混合型证券投资基金基金合同》；</w:t>
      </w:r>
    </w:p>
    <w:p w:rsidR="005E627E" w:rsidRDefault="00034FD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、《交银施罗德荣和保本混合型证券投资基金招募说明书》；</w:t>
      </w:r>
      <w:r>
        <w:rPr>
          <w:color w:val="000000"/>
          <w:sz w:val="24"/>
          <w:szCs w:val="24"/>
        </w:rPr>
        <w:t xml:space="preserve"> </w:t>
      </w:r>
    </w:p>
    <w:p w:rsidR="005E627E" w:rsidRDefault="00034FD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、《交银施罗德荣和保本混合型证券投资基金托管协议》；</w:t>
      </w:r>
      <w:r>
        <w:rPr>
          <w:color w:val="000000"/>
          <w:sz w:val="24"/>
          <w:szCs w:val="24"/>
        </w:rPr>
        <w:t xml:space="preserve"> </w:t>
      </w:r>
    </w:p>
    <w:p w:rsidR="005E627E" w:rsidRDefault="00034FD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E627E" w:rsidRDefault="00034FD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E627E" w:rsidRDefault="00034FD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、关于申请募集注册交银施罗德荣和保本混合型证券投资基金的法律意见书；</w:t>
      </w:r>
    </w:p>
    <w:p w:rsidR="005E627E" w:rsidRDefault="00034FDC">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、《交银施罗德荣和保本混合型证券投资基金保证合同》；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、报告期内交银施罗德荣和保本混合型证券投资基金在指定报刊上各项公告的原稿。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E627E" w:rsidRDefault="00034FD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746" w:rsidRDefault="00290746" w:rsidP="00876D65">
      <w:r>
        <w:separator/>
      </w:r>
    </w:p>
  </w:endnote>
  <w:endnote w:type="continuationSeparator" w:id="0">
    <w:p w:rsidR="00290746" w:rsidRDefault="0029074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F9069F">
      <w:rPr>
        <w:noProof/>
        <w:kern w:val="0"/>
        <w:szCs w:val="21"/>
      </w:rPr>
      <w:t>4</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F9069F">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746" w:rsidRDefault="00290746" w:rsidP="00876D65">
      <w:r>
        <w:separator/>
      </w:r>
    </w:p>
  </w:footnote>
  <w:footnote w:type="continuationSeparator" w:id="0">
    <w:p w:rsidR="00290746" w:rsidRDefault="0029074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4FDC"/>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0746"/>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E627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E7EB8"/>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069F"/>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2EAA74-97FE-4D65-B8FE-C4C4D922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E460-AF29-4FE7-9DFA-6C7D65F1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968</Words>
  <Characters>5518</Characters>
  <Application>Microsoft Office Word</Application>
  <DocSecurity>0</DocSecurity>
  <Lines>45</Lines>
  <Paragraphs>12</Paragraphs>
  <ScaleCrop>false</ScaleCrop>
  <Company/>
  <LinksUpToDate>false</LinksUpToDate>
  <CharactersWithSpaces>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2018-01-17T02:28:00Z</dcterms:modified>
</cp:coreProperties>
</file>