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kern w:val="0"/>
                <w:sz w:val="24"/>
              </w:rPr>
              <w:t>交易代码</w:t>
            </w:r>
          </w:p>
        </w:tc>
        <w:tc>
          <w:tcPr>
            <w:tcW w:w="2922" w:type="dxa"/>
            <w:tcBorders>
              <w:bottom w:val="single" w:sz="4" w:space="0" w:color="auto"/>
            </w:tcBorders>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519740</w:t>
            </w:r>
          </w:p>
        </w:tc>
        <w:tc>
          <w:tcPr>
            <w:tcW w:w="3048" w:type="dxa"/>
            <w:tcBorders>
              <w:bottom w:val="single" w:sz="4" w:space="0" w:color="auto"/>
            </w:tcBorders>
            <w:vAlign w:val="center"/>
          </w:tcPr>
          <w:p w:rsidR="008532F3" w:rsidRPr="007F52FA" w:rsidRDefault="008532F3" w:rsidP="007C14DF">
            <w:pPr>
              <w:adjustRightInd w:val="0"/>
              <w:spacing w:before="29" w:line="288" w:lineRule="auto"/>
              <w:ind w:left="17"/>
              <w:jc w:val="left"/>
              <w:rPr>
                <w:color w:val="000000"/>
                <w:kern w:val="0"/>
                <w:sz w:val="24"/>
              </w:rPr>
            </w:pP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61,181,140.97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187DE7" w:rsidRDefault="004E6485">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187DE7" w:rsidRDefault="004E6485">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61,158,325.15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22,815.82</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450,693.56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118.33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284,453.35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63,101,918.66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23,517.85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1.031</w:t>
            </w:r>
          </w:p>
        </w:tc>
      </w:tr>
    </w:tbl>
    <w:p w:rsidR="00187DE7" w:rsidRDefault="004E648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87DE7">
        <w:trPr>
          <w:jc w:val="center"/>
        </w:trPr>
        <w:tc>
          <w:tcPr>
            <w:tcW w:w="1266" w:type="dxa"/>
            <w:vAlign w:val="center"/>
          </w:tcPr>
          <w:p w:rsidR="00187DE7" w:rsidRDefault="004E6485">
            <w:pPr>
              <w:jc w:val="left"/>
            </w:pPr>
            <w:r>
              <w:rPr>
                <w:color w:val="000000"/>
                <w:sz w:val="24"/>
              </w:rPr>
              <w:t>过去三个月</w:t>
            </w:r>
          </w:p>
        </w:tc>
        <w:tc>
          <w:tcPr>
            <w:tcW w:w="1267" w:type="dxa"/>
            <w:vAlign w:val="center"/>
          </w:tcPr>
          <w:p w:rsidR="00187DE7" w:rsidRDefault="004E6485">
            <w:pPr>
              <w:jc w:val="center"/>
            </w:pPr>
            <w:r>
              <w:rPr>
                <w:color w:val="000000"/>
                <w:sz w:val="24"/>
              </w:rPr>
              <w:t>0.39%</w:t>
            </w:r>
          </w:p>
        </w:tc>
        <w:tc>
          <w:tcPr>
            <w:tcW w:w="1267" w:type="dxa"/>
            <w:vAlign w:val="center"/>
          </w:tcPr>
          <w:p w:rsidR="00187DE7" w:rsidRDefault="004E6485">
            <w:pPr>
              <w:jc w:val="center"/>
            </w:pPr>
            <w:r>
              <w:rPr>
                <w:color w:val="000000"/>
                <w:sz w:val="24"/>
              </w:rPr>
              <w:t>0.04%</w:t>
            </w:r>
          </w:p>
        </w:tc>
        <w:tc>
          <w:tcPr>
            <w:tcW w:w="1267" w:type="dxa"/>
            <w:vAlign w:val="center"/>
          </w:tcPr>
          <w:p w:rsidR="00187DE7" w:rsidRDefault="004E6485">
            <w:pPr>
              <w:jc w:val="center"/>
            </w:pPr>
            <w:r>
              <w:rPr>
                <w:color w:val="000000"/>
                <w:sz w:val="24"/>
              </w:rPr>
              <w:t>-1.16%</w:t>
            </w:r>
          </w:p>
        </w:tc>
        <w:tc>
          <w:tcPr>
            <w:tcW w:w="1267" w:type="dxa"/>
            <w:vAlign w:val="center"/>
          </w:tcPr>
          <w:p w:rsidR="00187DE7" w:rsidRDefault="004E6485">
            <w:pPr>
              <w:jc w:val="center"/>
            </w:pPr>
            <w:r>
              <w:rPr>
                <w:color w:val="000000"/>
                <w:sz w:val="24"/>
              </w:rPr>
              <w:t>0.06%</w:t>
            </w:r>
          </w:p>
        </w:tc>
        <w:tc>
          <w:tcPr>
            <w:tcW w:w="1267" w:type="dxa"/>
            <w:vAlign w:val="center"/>
          </w:tcPr>
          <w:p w:rsidR="00187DE7" w:rsidRDefault="004E6485">
            <w:pPr>
              <w:jc w:val="center"/>
            </w:pPr>
            <w:r>
              <w:rPr>
                <w:color w:val="000000"/>
                <w:sz w:val="24"/>
              </w:rPr>
              <w:t>1.55%</w:t>
            </w:r>
          </w:p>
        </w:tc>
        <w:tc>
          <w:tcPr>
            <w:tcW w:w="1267" w:type="dxa"/>
            <w:vAlign w:val="center"/>
          </w:tcPr>
          <w:p w:rsidR="00187DE7" w:rsidRDefault="004E6485">
            <w:pPr>
              <w:jc w:val="center"/>
            </w:pPr>
            <w:r>
              <w:rPr>
                <w:color w:val="000000"/>
                <w:sz w:val="24"/>
              </w:rPr>
              <w:t>-0.02%</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87DE7">
        <w:trPr>
          <w:jc w:val="center"/>
        </w:trPr>
        <w:tc>
          <w:tcPr>
            <w:tcW w:w="1266" w:type="dxa"/>
            <w:vAlign w:val="center"/>
          </w:tcPr>
          <w:p w:rsidR="00187DE7" w:rsidRDefault="004E6485">
            <w:pPr>
              <w:jc w:val="left"/>
            </w:pPr>
            <w:r>
              <w:rPr>
                <w:color w:val="000000"/>
                <w:sz w:val="24"/>
              </w:rPr>
              <w:t>过去三个月</w:t>
            </w:r>
          </w:p>
        </w:tc>
        <w:tc>
          <w:tcPr>
            <w:tcW w:w="1267" w:type="dxa"/>
            <w:vAlign w:val="center"/>
          </w:tcPr>
          <w:p w:rsidR="00187DE7" w:rsidRDefault="004E6485">
            <w:pPr>
              <w:jc w:val="center"/>
            </w:pPr>
            <w:r>
              <w:rPr>
                <w:color w:val="000000"/>
                <w:sz w:val="24"/>
              </w:rPr>
              <w:t>0.29%</w:t>
            </w:r>
          </w:p>
        </w:tc>
        <w:tc>
          <w:tcPr>
            <w:tcW w:w="1267" w:type="dxa"/>
            <w:vAlign w:val="center"/>
          </w:tcPr>
          <w:p w:rsidR="00187DE7" w:rsidRDefault="004E6485">
            <w:pPr>
              <w:jc w:val="center"/>
            </w:pPr>
            <w:r>
              <w:rPr>
                <w:color w:val="000000"/>
                <w:sz w:val="24"/>
              </w:rPr>
              <w:t>0.04%</w:t>
            </w:r>
          </w:p>
        </w:tc>
        <w:tc>
          <w:tcPr>
            <w:tcW w:w="1267" w:type="dxa"/>
            <w:vAlign w:val="center"/>
          </w:tcPr>
          <w:p w:rsidR="00187DE7" w:rsidRDefault="004E6485">
            <w:pPr>
              <w:jc w:val="center"/>
            </w:pPr>
            <w:r>
              <w:rPr>
                <w:color w:val="000000"/>
                <w:sz w:val="24"/>
              </w:rPr>
              <w:t>-1.16%</w:t>
            </w:r>
          </w:p>
        </w:tc>
        <w:tc>
          <w:tcPr>
            <w:tcW w:w="1267" w:type="dxa"/>
            <w:vAlign w:val="center"/>
          </w:tcPr>
          <w:p w:rsidR="00187DE7" w:rsidRDefault="004E6485">
            <w:pPr>
              <w:jc w:val="center"/>
            </w:pPr>
            <w:r>
              <w:rPr>
                <w:color w:val="000000"/>
                <w:sz w:val="24"/>
              </w:rPr>
              <w:t>0.06%</w:t>
            </w:r>
          </w:p>
        </w:tc>
        <w:tc>
          <w:tcPr>
            <w:tcW w:w="1267" w:type="dxa"/>
            <w:vAlign w:val="center"/>
          </w:tcPr>
          <w:p w:rsidR="00187DE7" w:rsidRDefault="004E6485">
            <w:pPr>
              <w:jc w:val="center"/>
            </w:pPr>
            <w:r>
              <w:rPr>
                <w:color w:val="000000"/>
                <w:sz w:val="24"/>
              </w:rPr>
              <w:t>1.45%</w:t>
            </w:r>
          </w:p>
        </w:tc>
        <w:tc>
          <w:tcPr>
            <w:tcW w:w="1267" w:type="dxa"/>
            <w:vAlign w:val="center"/>
          </w:tcPr>
          <w:p w:rsidR="00187DE7" w:rsidRDefault="004E6485">
            <w:pPr>
              <w:jc w:val="center"/>
            </w:pPr>
            <w:r>
              <w:rPr>
                <w:color w:val="000000"/>
                <w:sz w:val="24"/>
              </w:rPr>
              <w:t>-0.02%</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87DE7">
        <w:trPr>
          <w:jc w:val="center"/>
        </w:trPr>
        <w:tc>
          <w:tcPr>
            <w:tcW w:w="946" w:type="dxa"/>
            <w:vAlign w:val="center"/>
          </w:tcPr>
          <w:p w:rsidR="00187DE7" w:rsidRDefault="004E6485">
            <w:pPr>
              <w:jc w:val="center"/>
            </w:pPr>
            <w:r>
              <w:rPr>
                <w:color w:val="000000"/>
                <w:sz w:val="24"/>
              </w:rPr>
              <w:t>连端清</w:t>
            </w:r>
          </w:p>
        </w:tc>
        <w:tc>
          <w:tcPr>
            <w:tcW w:w="924" w:type="dxa"/>
            <w:vAlign w:val="center"/>
          </w:tcPr>
          <w:p w:rsidR="00187DE7" w:rsidRDefault="004E648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w:t>
            </w:r>
            <w:r>
              <w:rPr>
                <w:color w:val="000000"/>
                <w:sz w:val="24"/>
              </w:rPr>
              <w:lastRenderedPageBreak/>
              <w:t>券、交银裕隆纯债债券、交银天鑫宝货币、交银天益宝货币、交银境尚收益债券、交银天运宝货币的基金经理</w:t>
            </w:r>
          </w:p>
        </w:tc>
        <w:tc>
          <w:tcPr>
            <w:tcW w:w="1202" w:type="dxa"/>
            <w:vAlign w:val="center"/>
          </w:tcPr>
          <w:p w:rsidR="00187DE7" w:rsidRDefault="004E6485">
            <w:pPr>
              <w:jc w:val="center"/>
            </w:pPr>
            <w:r>
              <w:rPr>
                <w:color w:val="000000"/>
                <w:sz w:val="24"/>
              </w:rPr>
              <w:lastRenderedPageBreak/>
              <w:t>2015-08-04</w:t>
            </w:r>
          </w:p>
        </w:tc>
        <w:tc>
          <w:tcPr>
            <w:tcW w:w="1300" w:type="dxa"/>
            <w:vAlign w:val="center"/>
          </w:tcPr>
          <w:p w:rsidR="00187DE7" w:rsidRDefault="004E6485">
            <w:pPr>
              <w:jc w:val="center"/>
            </w:pPr>
            <w:r>
              <w:rPr>
                <w:color w:val="000000"/>
                <w:sz w:val="24"/>
              </w:rPr>
              <w:t>-</w:t>
            </w:r>
          </w:p>
        </w:tc>
        <w:tc>
          <w:tcPr>
            <w:tcW w:w="1245" w:type="dxa"/>
            <w:vAlign w:val="center"/>
          </w:tcPr>
          <w:p w:rsidR="00187DE7" w:rsidRDefault="004E6485">
            <w:pPr>
              <w:jc w:val="center"/>
            </w:pPr>
            <w:r>
              <w:rPr>
                <w:color w:val="000000"/>
                <w:sz w:val="24"/>
              </w:rPr>
              <w:t>4</w:t>
            </w:r>
            <w:r>
              <w:rPr>
                <w:color w:val="000000"/>
                <w:sz w:val="24"/>
              </w:rPr>
              <w:t>年</w:t>
            </w:r>
          </w:p>
        </w:tc>
        <w:tc>
          <w:tcPr>
            <w:tcW w:w="3251" w:type="dxa"/>
            <w:vAlign w:val="center"/>
          </w:tcPr>
          <w:p w:rsidR="00187DE7" w:rsidRDefault="004E648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187DE7">
        <w:trPr>
          <w:jc w:val="center"/>
        </w:trPr>
        <w:tc>
          <w:tcPr>
            <w:tcW w:w="946" w:type="dxa"/>
            <w:vAlign w:val="center"/>
          </w:tcPr>
          <w:p w:rsidR="00187DE7" w:rsidRDefault="004E6485">
            <w:pPr>
              <w:jc w:val="center"/>
            </w:pPr>
            <w:r>
              <w:rPr>
                <w:color w:val="000000"/>
                <w:sz w:val="24"/>
              </w:rPr>
              <w:t>于海颖</w:t>
            </w:r>
          </w:p>
        </w:tc>
        <w:tc>
          <w:tcPr>
            <w:tcW w:w="924" w:type="dxa"/>
            <w:vAlign w:val="center"/>
          </w:tcPr>
          <w:p w:rsidR="00187DE7" w:rsidRDefault="004E6485">
            <w:pPr>
              <w:jc w:val="center"/>
            </w:pPr>
            <w:r>
              <w:rPr>
                <w:color w:val="000000"/>
                <w:sz w:val="24"/>
              </w:rPr>
              <w:t>交银增利债券、交银纯债债券发起、交银荣祥保本混合、交银定期支付月月丰债券、交银增强收益债券、交</w:t>
            </w:r>
            <w:r>
              <w:rPr>
                <w:color w:val="000000"/>
                <w:sz w:val="24"/>
              </w:rPr>
              <w:lastRenderedPageBreak/>
              <w:t>银强化回报债券、交银丰盈收益债券、交银丰硕收益债券、交银荣鑫保本混合、交银增利增强债券的基金经理，公司固定收益（公募）投资总监</w:t>
            </w:r>
          </w:p>
        </w:tc>
        <w:tc>
          <w:tcPr>
            <w:tcW w:w="1202" w:type="dxa"/>
            <w:vAlign w:val="center"/>
          </w:tcPr>
          <w:p w:rsidR="00187DE7" w:rsidRDefault="004E6485">
            <w:pPr>
              <w:jc w:val="center"/>
            </w:pPr>
            <w:r>
              <w:rPr>
                <w:color w:val="000000"/>
                <w:sz w:val="24"/>
              </w:rPr>
              <w:lastRenderedPageBreak/>
              <w:t>2016-12-29</w:t>
            </w:r>
          </w:p>
        </w:tc>
        <w:tc>
          <w:tcPr>
            <w:tcW w:w="1300" w:type="dxa"/>
            <w:vAlign w:val="center"/>
          </w:tcPr>
          <w:p w:rsidR="00187DE7" w:rsidRDefault="004E6485">
            <w:pPr>
              <w:jc w:val="center"/>
            </w:pPr>
            <w:r>
              <w:rPr>
                <w:color w:val="000000"/>
                <w:sz w:val="24"/>
              </w:rPr>
              <w:t>-</w:t>
            </w:r>
          </w:p>
        </w:tc>
        <w:tc>
          <w:tcPr>
            <w:tcW w:w="1245" w:type="dxa"/>
            <w:vAlign w:val="center"/>
          </w:tcPr>
          <w:p w:rsidR="00187DE7" w:rsidRDefault="004E6485">
            <w:pPr>
              <w:jc w:val="center"/>
            </w:pPr>
            <w:r>
              <w:rPr>
                <w:color w:val="000000"/>
                <w:sz w:val="24"/>
              </w:rPr>
              <w:t>11</w:t>
            </w:r>
            <w:r>
              <w:rPr>
                <w:color w:val="000000"/>
                <w:sz w:val="24"/>
              </w:rPr>
              <w:t>年</w:t>
            </w:r>
          </w:p>
        </w:tc>
        <w:tc>
          <w:tcPr>
            <w:tcW w:w="3251" w:type="dxa"/>
            <w:vAlign w:val="center"/>
          </w:tcPr>
          <w:p w:rsidR="00187DE7" w:rsidRDefault="004E6485">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lastRenderedPageBreak/>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187DE7" w:rsidRDefault="004E6485">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187DE7" w:rsidRDefault="004E648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87DE7" w:rsidRDefault="004E648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87DE7" w:rsidRDefault="004E648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87DE7" w:rsidRDefault="004E648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87DE7" w:rsidRDefault="004E6485">
      <w:pPr>
        <w:spacing w:before="29" w:line="288" w:lineRule="auto"/>
        <w:ind w:firstLineChars="200" w:firstLine="480"/>
        <w:rPr>
          <w:color w:val="000000"/>
          <w:sz w:val="24"/>
        </w:rPr>
      </w:pPr>
      <w:r>
        <w:rPr>
          <w:color w:val="000000"/>
          <w:sz w:val="24"/>
        </w:rPr>
        <w:t>2017</w:t>
      </w:r>
      <w:r>
        <w:rPr>
          <w:color w:val="000000"/>
          <w:sz w:val="24"/>
        </w:rPr>
        <w:t>年四季度，国内经济整体上依旧平稳，经济韧劲依然较强。尽管四季度投资与工业增加值继续呈放缓之势，但是制造业景气度依然维持在较高的扩张区间，消费增速保持平稳。固定资产投资完成额累计同比增速十月、十一月分别为</w:t>
      </w:r>
      <w:r>
        <w:rPr>
          <w:color w:val="000000"/>
          <w:sz w:val="24"/>
        </w:rPr>
        <w:t>7.3%</w:t>
      </w:r>
      <w:r>
        <w:rPr>
          <w:color w:val="000000"/>
          <w:sz w:val="24"/>
        </w:rPr>
        <w:t>与</w:t>
      </w:r>
      <w:r>
        <w:rPr>
          <w:color w:val="000000"/>
          <w:sz w:val="24"/>
        </w:rPr>
        <w:t>7.2%</w:t>
      </w:r>
      <w:r>
        <w:rPr>
          <w:color w:val="000000"/>
          <w:sz w:val="24"/>
        </w:rPr>
        <w:t>，工业增加值同比增速分别为</w:t>
      </w:r>
      <w:r>
        <w:rPr>
          <w:color w:val="000000"/>
          <w:sz w:val="24"/>
        </w:rPr>
        <w:t>6.2%</w:t>
      </w:r>
      <w:r>
        <w:rPr>
          <w:color w:val="000000"/>
          <w:sz w:val="24"/>
        </w:rPr>
        <w:t>与</w:t>
      </w:r>
      <w:r>
        <w:rPr>
          <w:color w:val="000000"/>
          <w:sz w:val="24"/>
        </w:rPr>
        <w:t>6.1%</w:t>
      </w:r>
      <w:r>
        <w:rPr>
          <w:color w:val="000000"/>
          <w:sz w:val="24"/>
        </w:rPr>
        <w:t>。十月、十一月社会消费品零售额同比增速分别为</w:t>
      </w:r>
      <w:r>
        <w:rPr>
          <w:color w:val="000000"/>
          <w:sz w:val="24"/>
        </w:rPr>
        <w:t>10%</w:t>
      </w:r>
      <w:r>
        <w:rPr>
          <w:color w:val="000000"/>
          <w:sz w:val="24"/>
        </w:rPr>
        <w:t>与</w:t>
      </w:r>
      <w:r>
        <w:rPr>
          <w:color w:val="000000"/>
          <w:sz w:val="24"/>
        </w:rPr>
        <w:t>10.2%</w:t>
      </w:r>
      <w:r>
        <w:rPr>
          <w:color w:val="000000"/>
          <w:sz w:val="24"/>
        </w:rPr>
        <w:t>，四季度中采制造业采购经理指数均在</w:t>
      </w:r>
      <w:r>
        <w:rPr>
          <w:color w:val="000000"/>
          <w:sz w:val="24"/>
        </w:rPr>
        <w:t>51.6%</w:t>
      </w:r>
      <w:r>
        <w:rPr>
          <w:color w:val="000000"/>
          <w:sz w:val="24"/>
        </w:rPr>
        <w:t>及以上。四季度央行货币政策再次向中性偏紧方向回归，一方面央行通过公开市场等渠道增强流动性投放，以维护跨年市场流动性稳定，另一方面在国内经济平稳与欧美等发达经济体收紧货币政策的格局下，央行于十二月再次通过公开市场谨慎加息。四季度央行公开市场净投放</w:t>
      </w:r>
      <w:r>
        <w:rPr>
          <w:color w:val="000000"/>
          <w:sz w:val="24"/>
        </w:rPr>
        <w:t>7700</w:t>
      </w:r>
      <w:r>
        <w:rPr>
          <w:color w:val="000000"/>
          <w:sz w:val="24"/>
        </w:rPr>
        <w:t>亿，而三季度为净回笼，</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。金融监管政策朝着防控金融风险方向继续收紧，</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日央行发布《关于规范金融机构资管业务的指导意见（征求意见稿）》，资管业务体系重塑大幕开启。</w:t>
      </w:r>
    </w:p>
    <w:p w:rsidR="00187DE7" w:rsidRDefault="004E6485">
      <w:pPr>
        <w:spacing w:before="29" w:line="288" w:lineRule="auto"/>
        <w:ind w:firstLineChars="200" w:firstLine="480"/>
        <w:rPr>
          <w:color w:val="000000"/>
          <w:sz w:val="24"/>
        </w:rPr>
      </w:pPr>
      <w:r>
        <w:rPr>
          <w:color w:val="000000"/>
          <w:sz w:val="24"/>
        </w:rPr>
        <w:lastRenderedPageBreak/>
        <w:t>资金面上，受央行精心呵护，除临近年末等几个交易日之外，四季度市场资金面整体上相对宽松，四季度</w:t>
      </w:r>
      <w:r>
        <w:rPr>
          <w:color w:val="000000"/>
          <w:sz w:val="24"/>
        </w:rPr>
        <w:t>R001</w:t>
      </w:r>
      <w:r>
        <w:rPr>
          <w:color w:val="000000"/>
          <w:sz w:val="24"/>
        </w:rPr>
        <w:t>均值较三季度下降</w:t>
      </w:r>
      <w:r>
        <w:rPr>
          <w:color w:val="000000"/>
          <w:sz w:val="24"/>
        </w:rPr>
        <w:t>8</w:t>
      </w:r>
      <w:r>
        <w:rPr>
          <w:color w:val="000000"/>
          <w:sz w:val="24"/>
        </w:rPr>
        <w:t>个</w:t>
      </w:r>
      <w:r>
        <w:rPr>
          <w:color w:val="000000"/>
          <w:sz w:val="24"/>
        </w:rPr>
        <w:t>BP</w:t>
      </w:r>
      <w:r>
        <w:rPr>
          <w:color w:val="000000"/>
          <w:sz w:val="24"/>
        </w:rPr>
        <w:t>以上。但同业存款及存单一级发行利率受跨年等因素影响，收益率在十二月份大幅上行，刷新年内高点。受监管政策收紧及经济好于市场预期等影响，四季度债市大跌，利率债自十月初至十一月下旬持续大幅回调，及至十一月底至十二月上旬有所回暖，但十二月中下旬又处于震荡调整之中，十二月底</w:t>
      </w:r>
      <w:r>
        <w:rPr>
          <w:color w:val="000000"/>
          <w:sz w:val="24"/>
        </w:rPr>
        <w:t>10</w:t>
      </w:r>
      <w:r>
        <w:rPr>
          <w:color w:val="000000"/>
          <w:sz w:val="24"/>
        </w:rPr>
        <w:t>年期国开债</w:t>
      </w:r>
      <w:r>
        <w:rPr>
          <w:color w:val="000000"/>
          <w:sz w:val="24"/>
        </w:rPr>
        <w:t>YTM</w:t>
      </w:r>
      <w:r>
        <w:rPr>
          <w:color w:val="000000"/>
          <w:sz w:val="24"/>
        </w:rPr>
        <w:t>较三季末大幅飙升</w:t>
      </w:r>
      <w:r>
        <w:rPr>
          <w:color w:val="000000"/>
          <w:sz w:val="24"/>
        </w:rPr>
        <w:t>60</w:t>
      </w:r>
      <w:r>
        <w:rPr>
          <w:color w:val="000000"/>
          <w:sz w:val="24"/>
        </w:rPr>
        <w:t>个</w:t>
      </w:r>
      <w:r>
        <w:rPr>
          <w:color w:val="000000"/>
          <w:sz w:val="24"/>
        </w:rPr>
        <w:t>BP</w:t>
      </w:r>
      <w:r>
        <w:rPr>
          <w:color w:val="000000"/>
          <w:sz w:val="24"/>
        </w:rPr>
        <w:t>以上。</w:t>
      </w:r>
    </w:p>
    <w:p w:rsidR="00187DE7" w:rsidRDefault="004E6485">
      <w:pPr>
        <w:spacing w:before="29" w:line="288" w:lineRule="auto"/>
        <w:ind w:firstLineChars="200" w:firstLine="480"/>
        <w:rPr>
          <w:color w:val="000000"/>
          <w:sz w:val="24"/>
        </w:rPr>
      </w:pPr>
      <w:r>
        <w:rPr>
          <w:color w:val="000000"/>
          <w:sz w:val="24"/>
        </w:rPr>
        <w:t>基金操作方面，报告期内本基金加强流动性管理，卖出债券回笼资金，满足资金赎回需求，降低了组合杆与久期，力求为持有人创造稳健的回报。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考虑到一年多以来楼市调控累积效应以及金融监管加强的紧缩效应等，国内经济边际上有下行压力。但是鉴于本轮楼市调控中房地产投资下行缓慢，国内消费对经济增长贡献的提升，以及发达经济体维持复苏势头等因素，国内经济短期压力可能不大。</w:t>
      </w:r>
      <w:r w:rsidRPr="007F52FA">
        <w:rPr>
          <w:color w:val="000000"/>
          <w:sz w:val="24"/>
        </w:rPr>
        <w:t>12</w:t>
      </w:r>
      <w:r w:rsidRPr="007F52FA">
        <w:rPr>
          <w:color w:val="000000"/>
          <w:sz w:val="24"/>
        </w:rPr>
        <w:t>月</w:t>
      </w:r>
      <w:r w:rsidRPr="007F52FA">
        <w:rPr>
          <w:color w:val="000000"/>
          <w:sz w:val="24"/>
        </w:rPr>
        <w:t>18</w:t>
      </w:r>
      <w:r w:rsidRPr="007F52FA">
        <w:rPr>
          <w:color w:val="000000"/>
          <w:sz w:val="24"/>
        </w:rPr>
        <w:t>日中央经济工作会议召开，会议认为我国经济发展已进入新时代，由高速增长阶段转向高质量发展阶段，并且将</w:t>
      </w:r>
      <w:r w:rsidRPr="007F52FA">
        <w:rPr>
          <w:color w:val="000000"/>
          <w:sz w:val="24"/>
        </w:rPr>
        <w:t>“</w:t>
      </w:r>
      <w:r w:rsidRPr="007F52FA">
        <w:rPr>
          <w:color w:val="000000"/>
          <w:sz w:val="24"/>
        </w:rPr>
        <w:t>防控金融风险</w:t>
      </w:r>
      <w:r w:rsidRPr="007F52FA">
        <w:rPr>
          <w:color w:val="000000"/>
          <w:sz w:val="24"/>
        </w:rPr>
        <w:t>”</w:t>
      </w:r>
      <w:r w:rsidRPr="007F52FA">
        <w:rPr>
          <w:color w:val="000000"/>
          <w:sz w:val="24"/>
        </w:rPr>
        <w:t>列入未来三年需重点抓好的三大攻坚战之一。因此，短期内监管政策变量仍可能是主导市场走向的核心变量，我们预计短期内央行将以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政策转向的时机仍需等待。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日，交银丰盈收益债券</w:t>
      </w:r>
      <w:r w:rsidRPr="007F52FA">
        <w:rPr>
          <w:color w:val="000000"/>
          <w:sz w:val="24"/>
        </w:rPr>
        <w:t>A</w:t>
      </w:r>
      <w:r w:rsidRPr="007F52FA">
        <w:rPr>
          <w:color w:val="000000"/>
          <w:sz w:val="24"/>
        </w:rPr>
        <w:t>份额净值为</w:t>
      </w:r>
      <w:r w:rsidRPr="007F52FA">
        <w:rPr>
          <w:color w:val="000000"/>
          <w:sz w:val="24"/>
        </w:rPr>
        <w:t>1.032</w:t>
      </w:r>
      <w:r w:rsidRPr="007F52FA">
        <w:rPr>
          <w:color w:val="000000"/>
          <w:sz w:val="24"/>
        </w:rPr>
        <w:t>元，本报告期份额净值增长率为</w:t>
      </w:r>
      <w:r w:rsidRPr="007F52FA">
        <w:rPr>
          <w:color w:val="000000"/>
          <w:sz w:val="24"/>
        </w:rPr>
        <w:t>0.39%</w:t>
      </w:r>
      <w:r w:rsidRPr="007F52FA">
        <w:rPr>
          <w:color w:val="000000"/>
          <w:sz w:val="24"/>
        </w:rPr>
        <w:t>，同期业绩比较基准增长率为</w:t>
      </w:r>
      <w:r w:rsidRPr="007F52FA">
        <w:rPr>
          <w:color w:val="000000"/>
          <w:sz w:val="24"/>
        </w:rPr>
        <w:t>-1.16%</w:t>
      </w:r>
      <w:r w:rsidRPr="007F52FA">
        <w:rPr>
          <w:color w:val="000000"/>
          <w:sz w:val="24"/>
        </w:rPr>
        <w:t>；交银丰盈收益债券</w:t>
      </w:r>
      <w:r w:rsidRPr="007F52FA">
        <w:rPr>
          <w:color w:val="000000"/>
          <w:sz w:val="24"/>
        </w:rPr>
        <w:t>C</w:t>
      </w:r>
      <w:r w:rsidRPr="007F52FA">
        <w:rPr>
          <w:color w:val="000000"/>
          <w:sz w:val="24"/>
        </w:rPr>
        <w:t>份额净值为</w:t>
      </w:r>
      <w:r w:rsidRPr="007F52FA">
        <w:rPr>
          <w:color w:val="000000"/>
          <w:sz w:val="24"/>
        </w:rPr>
        <w:t>1.031</w:t>
      </w:r>
      <w:r w:rsidRPr="007F52FA">
        <w:rPr>
          <w:color w:val="000000"/>
          <w:sz w:val="24"/>
        </w:rPr>
        <w:t>元，本报告期份额净值增长率为</w:t>
      </w:r>
      <w:r w:rsidRPr="007F52FA">
        <w:rPr>
          <w:color w:val="000000"/>
          <w:sz w:val="24"/>
        </w:rPr>
        <w:t>0.29%</w:t>
      </w:r>
      <w:r w:rsidRPr="007F52FA">
        <w:rPr>
          <w:color w:val="000000"/>
          <w:sz w:val="24"/>
        </w:rPr>
        <w:t>，同期业绩比较基准增长率为</w:t>
      </w:r>
      <w:r w:rsidR="004E6485">
        <w:rPr>
          <w:color w:val="000000"/>
          <w:sz w:val="24"/>
        </w:rPr>
        <w:t>-1</w:t>
      </w:r>
      <w:r w:rsidRPr="007F52FA">
        <w:rPr>
          <w:color w:val="000000"/>
          <w:sz w:val="24"/>
        </w:rPr>
        <w:t>.16%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9238DB" w:rsidP="000C74BE">
      <w:pPr>
        <w:pStyle w:val="1"/>
        <w:tabs>
          <w:tab w:val="center" w:pos="4410"/>
        </w:tabs>
        <w:spacing w:beforeLines="100" w:before="312" w:afterLines="100" w:after="312" w:line="288" w:lineRule="auto"/>
        <w:jc w:val="center"/>
        <w:rPr>
          <w:color w:val="000000"/>
          <w:kern w:val="0"/>
          <w:sz w:val="24"/>
          <w:szCs w:val="24"/>
        </w:rPr>
      </w:pPr>
      <w:r w:rsidRPr="007F52FA">
        <w:rPr>
          <w:color w:val="000000"/>
          <w:kern w:val="0"/>
          <w:sz w:val="24"/>
          <w:szCs w:val="24"/>
        </w:rPr>
        <w:t xml:space="preserve">§5  </w:t>
      </w:r>
      <w:r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61,008,151.50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61,008,151.50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1,776,821.38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902,177.75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63,687,150.63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7,288,051.50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53,720,100.00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53,720,100.00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61,008,151.50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87DE7">
        <w:trPr>
          <w:jc w:val="center"/>
        </w:trPr>
        <w:tc>
          <w:tcPr>
            <w:tcW w:w="1075" w:type="dxa"/>
            <w:vAlign w:val="center"/>
          </w:tcPr>
          <w:p w:rsidR="00187DE7" w:rsidRDefault="004E6485">
            <w:pPr>
              <w:jc w:val="center"/>
            </w:pPr>
            <w:r>
              <w:rPr>
                <w:color w:val="000000"/>
                <w:sz w:val="24"/>
              </w:rPr>
              <w:t>1</w:t>
            </w:r>
          </w:p>
        </w:tc>
        <w:tc>
          <w:tcPr>
            <w:tcW w:w="1533" w:type="dxa"/>
            <w:vAlign w:val="center"/>
          </w:tcPr>
          <w:p w:rsidR="00187DE7" w:rsidRDefault="004E6485">
            <w:pPr>
              <w:jc w:val="center"/>
            </w:pPr>
            <w:r>
              <w:rPr>
                <w:color w:val="000000"/>
                <w:sz w:val="24"/>
              </w:rPr>
              <w:t>170410</w:t>
            </w:r>
          </w:p>
        </w:tc>
        <w:tc>
          <w:tcPr>
            <w:tcW w:w="1533" w:type="dxa"/>
            <w:vAlign w:val="center"/>
          </w:tcPr>
          <w:p w:rsidR="00187DE7" w:rsidRDefault="004E6485">
            <w:pPr>
              <w:jc w:val="center"/>
            </w:pPr>
            <w:r>
              <w:rPr>
                <w:color w:val="000000"/>
                <w:sz w:val="24"/>
              </w:rPr>
              <w:t>17</w:t>
            </w:r>
            <w:r>
              <w:rPr>
                <w:color w:val="000000"/>
                <w:sz w:val="24"/>
              </w:rPr>
              <w:t>农发</w:t>
            </w:r>
            <w:r>
              <w:rPr>
                <w:color w:val="000000"/>
                <w:sz w:val="24"/>
              </w:rPr>
              <w:t>10</w:t>
            </w:r>
          </w:p>
        </w:tc>
        <w:tc>
          <w:tcPr>
            <w:tcW w:w="1394" w:type="dxa"/>
            <w:vAlign w:val="center"/>
          </w:tcPr>
          <w:p w:rsidR="00187DE7" w:rsidRDefault="004E6485">
            <w:pPr>
              <w:jc w:val="right"/>
            </w:pPr>
            <w:r>
              <w:rPr>
                <w:color w:val="000000"/>
                <w:sz w:val="24"/>
              </w:rPr>
              <w:t>200,000</w:t>
            </w:r>
          </w:p>
        </w:tc>
        <w:tc>
          <w:tcPr>
            <w:tcW w:w="1944" w:type="dxa"/>
            <w:vAlign w:val="center"/>
          </w:tcPr>
          <w:p w:rsidR="00187DE7" w:rsidRDefault="004E6485">
            <w:pPr>
              <w:jc w:val="right"/>
            </w:pPr>
            <w:r>
              <w:rPr>
                <w:color w:val="000000"/>
                <w:sz w:val="24"/>
              </w:rPr>
              <w:t>19,894,000.00</w:t>
            </w:r>
          </w:p>
        </w:tc>
        <w:tc>
          <w:tcPr>
            <w:tcW w:w="1389" w:type="dxa"/>
            <w:vAlign w:val="center"/>
          </w:tcPr>
          <w:p w:rsidR="00187DE7" w:rsidRDefault="004E6485">
            <w:pPr>
              <w:jc w:val="right"/>
            </w:pPr>
            <w:r>
              <w:rPr>
                <w:color w:val="000000"/>
                <w:sz w:val="24"/>
              </w:rPr>
              <w:t>31.52</w:t>
            </w:r>
          </w:p>
        </w:tc>
      </w:tr>
      <w:tr w:rsidR="00187DE7">
        <w:trPr>
          <w:jc w:val="center"/>
        </w:trPr>
        <w:tc>
          <w:tcPr>
            <w:tcW w:w="1075" w:type="dxa"/>
            <w:vAlign w:val="center"/>
          </w:tcPr>
          <w:p w:rsidR="00187DE7" w:rsidRDefault="004E6485">
            <w:pPr>
              <w:jc w:val="center"/>
            </w:pPr>
            <w:r>
              <w:rPr>
                <w:color w:val="000000"/>
                <w:sz w:val="24"/>
              </w:rPr>
              <w:t>2</w:t>
            </w:r>
          </w:p>
        </w:tc>
        <w:tc>
          <w:tcPr>
            <w:tcW w:w="1533" w:type="dxa"/>
            <w:vAlign w:val="center"/>
          </w:tcPr>
          <w:p w:rsidR="00187DE7" w:rsidRDefault="004E6485">
            <w:pPr>
              <w:jc w:val="center"/>
            </w:pPr>
            <w:r>
              <w:rPr>
                <w:color w:val="000000"/>
                <w:sz w:val="24"/>
              </w:rPr>
              <w:t>170211</w:t>
            </w:r>
          </w:p>
        </w:tc>
        <w:tc>
          <w:tcPr>
            <w:tcW w:w="1533" w:type="dxa"/>
            <w:vAlign w:val="center"/>
          </w:tcPr>
          <w:p w:rsidR="00187DE7" w:rsidRDefault="004E6485">
            <w:pPr>
              <w:jc w:val="center"/>
            </w:pPr>
            <w:r>
              <w:rPr>
                <w:color w:val="000000"/>
                <w:sz w:val="24"/>
              </w:rPr>
              <w:t>17</w:t>
            </w:r>
            <w:r>
              <w:rPr>
                <w:color w:val="000000"/>
                <w:sz w:val="24"/>
              </w:rPr>
              <w:t>国开</w:t>
            </w:r>
            <w:r>
              <w:rPr>
                <w:color w:val="000000"/>
                <w:sz w:val="24"/>
              </w:rPr>
              <w:t>11</w:t>
            </w:r>
          </w:p>
        </w:tc>
        <w:tc>
          <w:tcPr>
            <w:tcW w:w="1394" w:type="dxa"/>
            <w:vAlign w:val="center"/>
          </w:tcPr>
          <w:p w:rsidR="00187DE7" w:rsidRDefault="004E6485">
            <w:pPr>
              <w:jc w:val="right"/>
            </w:pPr>
            <w:r>
              <w:rPr>
                <w:color w:val="000000"/>
                <w:sz w:val="24"/>
              </w:rPr>
              <w:t>200,000</w:t>
            </w:r>
          </w:p>
        </w:tc>
        <w:tc>
          <w:tcPr>
            <w:tcW w:w="1944" w:type="dxa"/>
            <w:vAlign w:val="center"/>
          </w:tcPr>
          <w:p w:rsidR="00187DE7" w:rsidRDefault="004E6485">
            <w:pPr>
              <w:jc w:val="right"/>
            </w:pPr>
            <w:r>
              <w:rPr>
                <w:color w:val="000000"/>
                <w:sz w:val="24"/>
              </w:rPr>
              <w:t>19,860,000.00</w:t>
            </w:r>
          </w:p>
        </w:tc>
        <w:tc>
          <w:tcPr>
            <w:tcW w:w="1389" w:type="dxa"/>
            <w:vAlign w:val="center"/>
          </w:tcPr>
          <w:p w:rsidR="00187DE7" w:rsidRDefault="004E6485">
            <w:pPr>
              <w:jc w:val="right"/>
            </w:pPr>
            <w:r>
              <w:rPr>
                <w:color w:val="000000"/>
                <w:sz w:val="24"/>
              </w:rPr>
              <w:t>31.46</w:t>
            </w:r>
          </w:p>
        </w:tc>
      </w:tr>
      <w:tr w:rsidR="00187DE7">
        <w:trPr>
          <w:jc w:val="center"/>
        </w:trPr>
        <w:tc>
          <w:tcPr>
            <w:tcW w:w="1075" w:type="dxa"/>
            <w:vAlign w:val="center"/>
          </w:tcPr>
          <w:p w:rsidR="00187DE7" w:rsidRDefault="004E6485">
            <w:pPr>
              <w:jc w:val="center"/>
            </w:pPr>
            <w:r>
              <w:rPr>
                <w:color w:val="000000"/>
                <w:sz w:val="24"/>
              </w:rPr>
              <w:t>3</w:t>
            </w:r>
          </w:p>
        </w:tc>
        <w:tc>
          <w:tcPr>
            <w:tcW w:w="1533" w:type="dxa"/>
            <w:vAlign w:val="center"/>
          </w:tcPr>
          <w:p w:rsidR="00187DE7" w:rsidRDefault="004E6485">
            <w:pPr>
              <w:jc w:val="center"/>
            </w:pPr>
            <w:r>
              <w:rPr>
                <w:color w:val="000000"/>
                <w:sz w:val="24"/>
              </w:rPr>
              <w:t>170413</w:t>
            </w:r>
          </w:p>
        </w:tc>
        <w:tc>
          <w:tcPr>
            <w:tcW w:w="1533" w:type="dxa"/>
            <w:vAlign w:val="center"/>
          </w:tcPr>
          <w:p w:rsidR="00187DE7" w:rsidRDefault="004E6485">
            <w:pPr>
              <w:jc w:val="center"/>
            </w:pPr>
            <w:r>
              <w:rPr>
                <w:color w:val="000000"/>
                <w:sz w:val="24"/>
              </w:rPr>
              <w:t>17</w:t>
            </w:r>
            <w:r>
              <w:rPr>
                <w:color w:val="000000"/>
                <w:sz w:val="24"/>
              </w:rPr>
              <w:t>农发</w:t>
            </w:r>
            <w:r>
              <w:rPr>
                <w:color w:val="000000"/>
                <w:sz w:val="24"/>
              </w:rPr>
              <w:t>13</w:t>
            </w:r>
          </w:p>
        </w:tc>
        <w:tc>
          <w:tcPr>
            <w:tcW w:w="1394" w:type="dxa"/>
            <w:vAlign w:val="center"/>
          </w:tcPr>
          <w:p w:rsidR="00187DE7" w:rsidRDefault="004E6485">
            <w:pPr>
              <w:jc w:val="right"/>
            </w:pPr>
            <w:r>
              <w:rPr>
                <w:color w:val="000000"/>
                <w:sz w:val="24"/>
              </w:rPr>
              <w:t>100,000</w:t>
            </w:r>
          </w:p>
        </w:tc>
        <w:tc>
          <w:tcPr>
            <w:tcW w:w="1944" w:type="dxa"/>
            <w:vAlign w:val="center"/>
          </w:tcPr>
          <w:p w:rsidR="00187DE7" w:rsidRDefault="004E6485">
            <w:pPr>
              <w:jc w:val="right"/>
            </w:pPr>
            <w:r>
              <w:rPr>
                <w:color w:val="000000"/>
                <w:sz w:val="24"/>
              </w:rPr>
              <w:t>9,940,000.00</w:t>
            </w:r>
          </w:p>
        </w:tc>
        <w:tc>
          <w:tcPr>
            <w:tcW w:w="1389" w:type="dxa"/>
            <w:vAlign w:val="center"/>
          </w:tcPr>
          <w:p w:rsidR="00187DE7" w:rsidRDefault="004E6485">
            <w:pPr>
              <w:jc w:val="right"/>
            </w:pPr>
            <w:r>
              <w:rPr>
                <w:color w:val="000000"/>
                <w:sz w:val="24"/>
              </w:rPr>
              <w:t>15.75</w:t>
            </w:r>
          </w:p>
        </w:tc>
      </w:tr>
      <w:tr w:rsidR="00187DE7">
        <w:trPr>
          <w:jc w:val="center"/>
        </w:trPr>
        <w:tc>
          <w:tcPr>
            <w:tcW w:w="1075" w:type="dxa"/>
            <w:vAlign w:val="center"/>
          </w:tcPr>
          <w:p w:rsidR="00187DE7" w:rsidRDefault="004E6485">
            <w:pPr>
              <w:jc w:val="center"/>
            </w:pPr>
            <w:r>
              <w:rPr>
                <w:color w:val="000000"/>
                <w:sz w:val="24"/>
              </w:rPr>
              <w:t>4</w:t>
            </w:r>
          </w:p>
        </w:tc>
        <w:tc>
          <w:tcPr>
            <w:tcW w:w="1533" w:type="dxa"/>
            <w:vAlign w:val="center"/>
          </w:tcPr>
          <w:p w:rsidR="00187DE7" w:rsidRDefault="004E6485">
            <w:pPr>
              <w:jc w:val="center"/>
            </w:pPr>
            <w:r>
              <w:rPr>
                <w:color w:val="000000"/>
                <w:sz w:val="24"/>
              </w:rPr>
              <w:t>019563</w:t>
            </w:r>
          </w:p>
        </w:tc>
        <w:tc>
          <w:tcPr>
            <w:tcW w:w="1533" w:type="dxa"/>
            <w:vAlign w:val="center"/>
          </w:tcPr>
          <w:p w:rsidR="00187DE7" w:rsidRDefault="004E6485">
            <w:pPr>
              <w:jc w:val="center"/>
            </w:pPr>
            <w:r>
              <w:rPr>
                <w:color w:val="000000"/>
                <w:sz w:val="24"/>
              </w:rPr>
              <w:t>17</w:t>
            </w:r>
            <w:r>
              <w:rPr>
                <w:color w:val="000000"/>
                <w:sz w:val="24"/>
              </w:rPr>
              <w:t>国债</w:t>
            </w:r>
            <w:r>
              <w:rPr>
                <w:color w:val="000000"/>
                <w:sz w:val="24"/>
              </w:rPr>
              <w:t>09</w:t>
            </w:r>
          </w:p>
        </w:tc>
        <w:tc>
          <w:tcPr>
            <w:tcW w:w="1394" w:type="dxa"/>
            <w:vAlign w:val="center"/>
          </w:tcPr>
          <w:p w:rsidR="00187DE7" w:rsidRDefault="004E6485">
            <w:pPr>
              <w:jc w:val="right"/>
            </w:pPr>
            <w:r>
              <w:rPr>
                <w:color w:val="000000"/>
                <w:sz w:val="24"/>
              </w:rPr>
              <w:t>72,990</w:t>
            </w:r>
          </w:p>
        </w:tc>
        <w:tc>
          <w:tcPr>
            <w:tcW w:w="1944" w:type="dxa"/>
            <w:vAlign w:val="center"/>
          </w:tcPr>
          <w:p w:rsidR="00187DE7" w:rsidRDefault="004E6485">
            <w:pPr>
              <w:jc w:val="right"/>
            </w:pPr>
            <w:r>
              <w:rPr>
                <w:color w:val="000000"/>
                <w:sz w:val="24"/>
              </w:rPr>
              <w:t>7,288,051.50</w:t>
            </w:r>
          </w:p>
        </w:tc>
        <w:tc>
          <w:tcPr>
            <w:tcW w:w="1389" w:type="dxa"/>
            <w:vAlign w:val="center"/>
          </w:tcPr>
          <w:p w:rsidR="00187DE7" w:rsidRDefault="004E6485">
            <w:pPr>
              <w:jc w:val="right"/>
            </w:pPr>
            <w:r>
              <w:rPr>
                <w:color w:val="000000"/>
                <w:sz w:val="24"/>
              </w:rPr>
              <w:t>11.55</w:t>
            </w:r>
          </w:p>
        </w:tc>
      </w:tr>
      <w:tr w:rsidR="00187DE7">
        <w:trPr>
          <w:jc w:val="center"/>
        </w:trPr>
        <w:tc>
          <w:tcPr>
            <w:tcW w:w="1075" w:type="dxa"/>
            <w:vAlign w:val="center"/>
          </w:tcPr>
          <w:p w:rsidR="00187DE7" w:rsidRDefault="004E6485">
            <w:pPr>
              <w:jc w:val="center"/>
            </w:pPr>
            <w:r>
              <w:rPr>
                <w:color w:val="000000"/>
                <w:sz w:val="24"/>
              </w:rPr>
              <w:t>5</w:t>
            </w:r>
          </w:p>
        </w:tc>
        <w:tc>
          <w:tcPr>
            <w:tcW w:w="1533" w:type="dxa"/>
            <w:vAlign w:val="center"/>
          </w:tcPr>
          <w:p w:rsidR="00187DE7" w:rsidRDefault="004E6485">
            <w:pPr>
              <w:jc w:val="center"/>
            </w:pPr>
            <w:r>
              <w:rPr>
                <w:color w:val="000000"/>
                <w:sz w:val="24"/>
              </w:rPr>
              <w:t>018002</w:t>
            </w:r>
          </w:p>
        </w:tc>
        <w:tc>
          <w:tcPr>
            <w:tcW w:w="1533" w:type="dxa"/>
            <w:vAlign w:val="center"/>
          </w:tcPr>
          <w:p w:rsidR="00187DE7" w:rsidRDefault="004E6485">
            <w:pPr>
              <w:jc w:val="center"/>
            </w:pPr>
            <w:r>
              <w:rPr>
                <w:color w:val="000000"/>
                <w:sz w:val="24"/>
              </w:rPr>
              <w:t>国开</w:t>
            </w:r>
            <w:r>
              <w:rPr>
                <w:color w:val="000000"/>
                <w:sz w:val="24"/>
              </w:rPr>
              <w:t>1302</w:t>
            </w:r>
          </w:p>
        </w:tc>
        <w:tc>
          <w:tcPr>
            <w:tcW w:w="1394" w:type="dxa"/>
            <w:vAlign w:val="center"/>
          </w:tcPr>
          <w:p w:rsidR="00187DE7" w:rsidRDefault="004E6485">
            <w:pPr>
              <w:jc w:val="right"/>
            </w:pPr>
            <w:r>
              <w:rPr>
                <w:color w:val="000000"/>
                <w:sz w:val="24"/>
              </w:rPr>
              <w:t>30,000</w:t>
            </w:r>
          </w:p>
        </w:tc>
        <w:tc>
          <w:tcPr>
            <w:tcW w:w="1944" w:type="dxa"/>
            <w:vAlign w:val="center"/>
          </w:tcPr>
          <w:p w:rsidR="00187DE7" w:rsidRDefault="004E6485">
            <w:pPr>
              <w:jc w:val="right"/>
            </w:pPr>
            <w:r>
              <w:rPr>
                <w:color w:val="000000"/>
                <w:sz w:val="24"/>
              </w:rPr>
              <w:t>3,037,200.00</w:t>
            </w:r>
          </w:p>
        </w:tc>
        <w:tc>
          <w:tcPr>
            <w:tcW w:w="1389" w:type="dxa"/>
            <w:vAlign w:val="center"/>
          </w:tcPr>
          <w:p w:rsidR="00187DE7" w:rsidRDefault="004E6485">
            <w:pPr>
              <w:jc w:val="right"/>
            </w:pPr>
            <w:r>
              <w:rPr>
                <w:color w:val="000000"/>
                <w:sz w:val="24"/>
              </w:rPr>
              <w:t>4.81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16,042.54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886,105.23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29.98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902,177.75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95,801,968.12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26,538.34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54,090.99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13,689.32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34,697,733.96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17,411.84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61,158,325.15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22,815.82</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AC203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187DE7" w:rsidRDefault="004E648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E1" w:rsidRDefault="009F22E1">
      <w:r>
        <w:separator/>
      </w:r>
    </w:p>
  </w:endnote>
  <w:endnote w:type="continuationSeparator" w:id="0">
    <w:p w:rsidR="009F22E1" w:rsidRDefault="009F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0C74BE">
      <w:rPr>
        <w:noProof/>
        <w:kern w:val="0"/>
        <w:szCs w:val="21"/>
      </w:rPr>
      <w:t>14</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0C74BE">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E1" w:rsidRDefault="009F22E1">
      <w:r>
        <w:separator/>
      </w:r>
    </w:p>
  </w:footnote>
  <w:footnote w:type="continuationSeparator" w:id="0">
    <w:p w:rsidR="009F22E1" w:rsidRDefault="009F2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9F22E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4BE"/>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87DE7"/>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E6485"/>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17727"/>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2E1"/>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2036"/>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1CD6"/>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DA380AE-AF0C-4DDF-B7B5-C8F738A3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0C74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E582-3EDC-419F-B7EF-76448072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198</TotalTime>
  <Pages>14</Pages>
  <Words>1225</Words>
  <Characters>6985</Characters>
  <Application>Microsoft Office Word</Application>
  <DocSecurity>0</DocSecurity>
  <Lines>58</Lines>
  <Paragraphs>16</Paragraphs>
  <ScaleCrop>false</ScaleCrop>
  <Company>TRT. Ltd. Co.</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373</cp:revision>
  <cp:lastPrinted>2007-07-19T00:46:00Z</cp:lastPrinted>
  <dcterms:created xsi:type="dcterms:W3CDTF">2014-01-17T06:19:00Z</dcterms:created>
  <dcterms:modified xsi:type="dcterms:W3CDTF">2018-01-18T06:45:00Z</dcterms:modified>
</cp:coreProperties>
</file>