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03222" w:rsidRDefault="006B0B1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03222" w:rsidRDefault="006B0B1F">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03222" w:rsidRDefault="006B0B1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03222" w:rsidRDefault="006B0B1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03222" w:rsidRDefault="006B0B1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492,876,117.88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519738</w:t>
            </w:r>
          </w:p>
        </w:tc>
        <w:tc>
          <w:tcPr>
            <w:tcW w:w="3048" w:type="dxa"/>
            <w:vAlign w:val="center"/>
          </w:tcPr>
          <w:p w:rsidR="00C23B30" w:rsidRPr="000E4C40" w:rsidRDefault="00C23B30" w:rsidP="00A52A9E">
            <w:pPr>
              <w:spacing w:before="29" w:line="288" w:lineRule="auto"/>
              <w:jc w:val="left"/>
              <w:rPr>
                <w:sz w:val="24"/>
              </w:rPr>
            </w:pPr>
            <w:r w:rsidRPr="000E4C40">
              <w:rPr>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287,510,557.41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205,365,560.47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5,201,909.80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3,693,794.17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9,484,823.66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6,796,740.49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0.0331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358,224,704.99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258,877,812.59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1.261</w:t>
            </w:r>
          </w:p>
        </w:tc>
      </w:tr>
    </w:tbl>
    <w:p w:rsidR="00A03222" w:rsidRDefault="006B0B1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03222">
        <w:trPr>
          <w:jc w:val="center"/>
        </w:trPr>
        <w:tc>
          <w:tcPr>
            <w:tcW w:w="1266" w:type="dxa"/>
            <w:vAlign w:val="center"/>
          </w:tcPr>
          <w:p w:rsidR="00A03222" w:rsidRDefault="006B0B1F">
            <w:pPr>
              <w:jc w:val="left"/>
            </w:pPr>
            <w:r>
              <w:rPr>
                <w:color w:val="000000"/>
                <w:sz w:val="24"/>
              </w:rPr>
              <w:t>过去三个月</w:t>
            </w:r>
          </w:p>
        </w:tc>
        <w:tc>
          <w:tcPr>
            <w:tcW w:w="1267" w:type="dxa"/>
            <w:vAlign w:val="center"/>
          </w:tcPr>
          <w:p w:rsidR="00A03222" w:rsidRDefault="006B0B1F">
            <w:pPr>
              <w:jc w:val="center"/>
            </w:pPr>
            <w:r>
              <w:rPr>
                <w:color w:val="000000"/>
                <w:sz w:val="24"/>
              </w:rPr>
              <w:t>2.72%</w:t>
            </w:r>
          </w:p>
        </w:tc>
        <w:tc>
          <w:tcPr>
            <w:tcW w:w="1267" w:type="dxa"/>
            <w:vAlign w:val="center"/>
          </w:tcPr>
          <w:p w:rsidR="00A03222" w:rsidRDefault="006B0B1F">
            <w:pPr>
              <w:jc w:val="center"/>
            </w:pPr>
            <w:r>
              <w:rPr>
                <w:color w:val="000000"/>
                <w:sz w:val="24"/>
              </w:rPr>
              <w:t>0.27%</w:t>
            </w:r>
          </w:p>
        </w:tc>
        <w:tc>
          <w:tcPr>
            <w:tcW w:w="1267" w:type="dxa"/>
            <w:vAlign w:val="center"/>
          </w:tcPr>
          <w:p w:rsidR="00A03222" w:rsidRDefault="006B0B1F">
            <w:pPr>
              <w:jc w:val="center"/>
            </w:pPr>
            <w:r>
              <w:rPr>
                <w:color w:val="000000"/>
                <w:sz w:val="24"/>
              </w:rPr>
              <w:t>1.96%</w:t>
            </w:r>
          </w:p>
        </w:tc>
        <w:tc>
          <w:tcPr>
            <w:tcW w:w="1267" w:type="dxa"/>
            <w:vAlign w:val="center"/>
          </w:tcPr>
          <w:p w:rsidR="00A03222" w:rsidRDefault="006B0B1F">
            <w:pPr>
              <w:jc w:val="center"/>
            </w:pPr>
            <w:r>
              <w:rPr>
                <w:color w:val="000000"/>
                <w:sz w:val="24"/>
              </w:rPr>
              <w:t>0.40%</w:t>
            </w:r>
          </w:p>
        </w:tc>
        <w:tc>
          <w:tcPr>
            <w:tcW w:w="1267" w:type="dxa"/>
            <w:vAlign w:val="center"/>
          </w:tcPr>
          <w:p w:rsidR="00A03222" w:rsidRDefault="006B0B1F">
            <w:pPr>
              <w:jc w:val="center"/>
            </w:pPr>
            <w:r>
              <w:rPr>
                <w:color w:val="000000"/>
                <w:sz w:val="24"/>
              </w:rPr>
              <w:t>0.76%</w:t>
            </w:r>
          </w:p>
        </w:tc>
        <w:tc>
          <w:tcPr>
            <w:tcW w:w="1267" w:type="dxa"/>
            <w:vAlign w:val="center"/>
          </w:tcPr>
          <w:p w:rsidR="00A03222" w:rsidRDefault="006B0B1F">
            <w:pPr>
              <w:jc w:val="center"/>
            </w:pPr>
            <w:r>
              <w:rPr>
                <w:color w:val="000000"/>
                <w:sz w:val="24"/>
              </w:rPr>
              <w:t>-0.13%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03222">
        <w:trPr>
          <w:jc w:val="center"/>
        </w:trPr>
        <w:tc>
          <w:tcPr>
            <w:tcW w:w="1266" w:type="dxa"/>
            <w:vAlign w:val="center"/>
          </w:tcPr>
          <w:p w:rsidR="00A03222" w:rsidRDefault="006B0B1F">
            <w:pPr>
              <w:jc w:val="left"/>
            </w:pPr>
            <w:r>
              <w:rPr>
                <w:color w:val="000000"/>
                <w:sz w:val="24"/>
              </w:rPr>
              <w:t>过去三个月</w:t>
            </w:r>
          </w:p>
        </w:tc>
        <w:tc>
          <w:tcPr>
            <w:tcW w:w="1267" w:type="dxa"/>
            <w:vAlign w:val="center"/>
          </w:tcPr>
          <w:p w:rsidR="00A03222" w:rsidRDefault="006B0B1F">
            <w:pPr>
              <w:jc w:val="center"/>
            </w:pPr>
            <w:r>
              <w:rPr>
                <w:color w:val="000000"/>
                <w:sz w:val="24"/>
              </w:rPr>
              <w:t>2.77%</w:t>
            </w:r>
          </w:p>
        </w:tc>
        <w:tc>
          <w:tcPr>
            <w:tcW w:w="1267" w:type="dxa"/>
            <w:vAlign w:val="center"/>
          </w:tcPr>
          <w:p w:rsidR="00A03222" w:rsidRDefault="006B0B1F">
            <w:pPr>
              <w:jc w:val="center"/>
            </w:pPr>
            <w:r>
              <w:rPr>
                <w:color w:val="000000"/>
                <w:sz w:val="24"/>
              </w:rPr>
              <w:t>0.26%</w:t>
            </w:r>
          </w:p>
        </w:tc>
        <w:tc>
          <w:tcPr>
            <w:tcW w:w="1267" w:type="dxa"/>
            <w:vAlign w:val="center"/>
          </w:tcPr>
          <w:p w:rsidR="00A03222" w:rsidRDefault="006B0B1F">
            <w:pPr>
              <w:jc w:val="center"/>
            </w:pPr>
            <w:r>
              <w:rPr>
                <w:color w:val="000000"/>
                <w:sz w:val="24"/>
              </w:rPr>
              <w:t>1.96%</w:t>
            </w:r>
          </w:p>
        </w:tc>
        <w:tc>
          <w:tcPr>
            <w:tcW w:w="1267" w:type="dxa"/>
            <w:vAlign w:val="center"/>
          </w:tcPr>
          <w:p w:rsidR="00A03222" w:rsidRDefault="006B0B1F">
            <w:pPr>
              <w:jc w:val="center"/>
            </w:pPr>
            <w:r>
              <w:rPr>
                <w:color w:val="000000"/>
                <w:sz w:val="24"/>
              </w:rPr>
              <w:t>0.40%</w:t>
            </w:r>
          </w:p>
        </w:tc>
        <w:tc>
          <w:tcPr>
            <w:tcW w:w="1267" w:type="dxa"/>
            <w:vAlign w:val="center"/>
          </w:tcPr>
          <w:p w:rsidR="00A03222" w:rsidRDefault="006B0B1F">
            <w:pPr>
              <w:jc w:val="center"/>
            </w:pPr>
            <w:r>
              <w:rPr>
                <w:color w:val="000000"/>
                <w:sz w:val="24"/>
              </w:rPr>
              <w:t>0.81%</w:t>
            </w:r>
          </w:p>
        </w:tc>
        <w:tc>
          <w:tcPr>
            <w:tcW w:w="1267" w:type="dxa"/>
            <w:vAlign w:val="center"/>
          </w:tcPr>
          <w:p w:rsidR="00A03222" w:rsidRDefault="006B0B1F">
            <w:pPr>
              <w:jc w:val="center"/>
            </w:pPr>
            <w:r>
              <w:rPr>
                <w:color w:val="000000"/>
                <w:sz w:val="24"/>
              </w:rPr>
              <w:t>-0.14%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03222">
        <w:trPr>
          <w:jc w:val="center"/>
        </w:trPr>
        <w:tc>
          <w:tcPr>
            <w:tcW w:w="946" w:type="dxa"/>
            <w:vAlign w:val="center"/>
          </w:tcPr>
          <w:p w:rsidR="00A03222" w:rsidRDefault="006B0B1F">
            <w:pPr>
              <w:jc w:val="center"/>
            </w:pPr>
            <w:r>
              <w:rPr>
                <w:color w:val="000000"/>
                <w:sz w:val="24"/>
              </w:rPr>
              <w:t>李娜</w:t>
            </w:r>
          </w:p>
        </w:tc>
        <w:tc>
          <w:tcPr>
            <w:tcW w:w="924" w:type="dxa"/>
            <w:vAlign w:val="center"/>
          </w:tcPr>
          <w:p w:rsidR="00A03222" w:rsidRDefault="006B0B1F">
            <w:pPr>
              <w:jc w:val="center"/>
            </w:pPr>
            <w:r>
              <w:rPr>
                <w:color w:val="000000"/>
                <w:sz w:val="24"/>
              </w:rPr>
              <w:t>交银周期回报灵活</w:t>
            </w:r>
            <w:r>
              <w:rPr>
                <w:color w:val="000000"/>
                <w:sz w:val="24"/>
              </w:rPr>
              <w:lastRenderedPageBreak/>
              <w:t>配置混合、交银新回报灵活配置混合、交银多策略回报灵活配置混合、交银卓越回报灵活配置混合、交银优选回报灵活配置混合、交银优择回报灵活配置混合、交银领先回报灵活配置混合、交银瑞鑫定期开放灵活配置</w:t>
            </w:r>
            <w:r>
              <w:rPr>
                <w:color w:val="000000"/>
                <w:sz w:val="24"/>
              </w:rPr>
              <w:lastRenderedPageBreak/>
              <w:t>混合、交银瑞景定期开放灵活配置混合、交银启通灵活配置混合、交银瑞利定期开放灵活配置混合、交银瑞安定期开放灵活配置混合的基金经理</w:t>
            </w:r>
          </w:p>
        </w:tc>
        <w:tc>
          <w:tcPr>
            <w:tcW w:w="1202" w:type="dxa"/>
            <w:vAlign w:val="center"/>
          </w:tcPr>
          <w:p w:rsidR="00A03222" w:rsidRDefault="006B0B1F">
            <w:pPr>
              <w:jc w:val="center"/>
            </w:pPr>
            <w:r>
              <w:rPr>
                <w:color w:val="000000"/>
                <w:sz w:val="24"/>
              </w:rPr>
              <w:lastRenderedPageBreak/>
              <w:t>2015-08-04</w:t>
            </w:r>
          </w:p>
        </w:tc>
        <w:tc>
          <w:tcPr>
            <w:tcW w:w="1300" w:type="dxa"/>
            <w:vAlign w:val="center"/>
          </w:tcPr>
          <w:p w:rsidR="00A03222" w:rsidRDefault="006B0B1F">
            <w:pPr>
              <w:jc w:val="center"/>
            </w:pPr>
            <w:r>
              <w:rPr>
                <w:color w:val="000000"/>
                <w:sz w:val="24"/>
              </w:rPr>
              <w:t>-</w:t>
            </w:r>
          </w:p>
        </w:tc>
        <w:tc>
          <w:tcPr>
            <w:tcW w:w="1245" w:type="dxa"/>
            <w:vAlign w:val="center"/>
          </w:tcPr>
          <w:p w:rsidR="00A03222" w:rsidRDefault="006B0B1F">
            <w:pPr>
              <w:jc w:val="center"/>
            </w:pPr>
            <w:r>
              <w:rPr>
                <w:color w:val="000000"/>
                <w:sz w:val="24"/>
              </w:rPr>
              <w:t>7</w:t>
            </w:r>
            <w:r>
              <w:rPr>
                <w:color w:val="000000"/>
                <w:sz w:val="24"/>
              </w:rPr>
              <w:t>年</w:t>
            </w:r>
          </w:p>
        </w:tc>
        <w:tc>
          <w:tcPr>
            <w:tcW w:w="3251" w:type="dxa"/>
            <w:vAlign w:val="center"/>
          </w:tcPr>
          <w:p w:rsidR="00A03222" w:rsidRDefault="006B0B1F">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w:t>
            </w:r>
            <w:r>
              <w:rPr>
                <w:color w:val="000000"/>
                <w:sz w:val="24"/>
              </w:rPr>
              <w:lastRenderedPageBreak/>
              <w:t>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03222" w:rsidRDefault="006B0B1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A03222" w:rsidRDefault="006B0B1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03222" w:rsidRDefault="006B0B1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03222" w:rsidRDefault="006B0B1F">
      <w:pPr>
        <w:spacing w:before="29" w:line="288" w:lineRule="auto"/>
        <w:ind w:firstLineChars="200" w:firstLine="480"/>
        <w:rPr>
          <w:color w:val="000000"/>
          <w:sz w:val="24"/>
        </w:rPr>
      </w:pPr>
      <w:r>
        <w:rPr>
          <w:color w:val="000000"/>
          <w:sz w:val="24"/>
        </w:rPr>
        <w:t>本报告期内，部分经济增长数据呈现出较强的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明显上移。股票市场受无风险利率上行和白马龙头股调整等因素的影响，风险偏好回落，指数在触及年内高点后开始调整。同期债券收益率上行后亦有回落，在高位震荡盘整，其中资管新规征求意见稿出炉、美联储加息靴子落地、年末流动性紧张等因素成为债券市场收益率变动的主要原因。报告期内，上证综指和创业板指分别下行</w:t>
      </w:r>
      <w:r>
        <w:rPr>
          <w:color w:val="000000"/>
          <w:sz w:val="24"/>
        </w:rPr>
        <w:t>1.25%</w:t>
      </w:r>
      <w:r>
        <w:rPr>
          <w:color w:val="000000"/>
          <w:sz w:val="24"/>
        </w:rPr>
        <w:t>和</w:t>
      </w:r>
      <w:r>
        <w:rPr>
          <w:color w:val="000000"/>
          <w:sz w:val="24"/>
        </w:rPr>
        <w:t>6.12%</w:t>
      </w:r>
      <w:r>
        <w:rPr>
          <w:color w:val="000000"/>
          <w:sz w:val="24"/>
        </w:rPr>
        <w:t>，</w:t>
      </w:r>
      <w:r>
        <w:rPr>
          <w:color w:val="000000"/>
          <w:sz w:val="24"/>
        </w:rPr>
        <w:t>10</w:t>
      </w:r>
      <w:r>
        <w:rPr>
          <w:color w:val="000000"/>
          <w:sz w:val="24"/>
        </w:rPr>
        <w:t>年期国债收益率上行</w:t>
      </w:r>
      <w:r>
        <w:rPr>
          <w:color w:val="000000"/>
          <w:sz w:val="24"/>
        </w:rPr>
        <w:t>26BP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63BP</w:t>
      </w:r>
      <w:r>
        <w:rPr>
          <w:color w:val="000000"/>
          <w:sz w:val="24"/>
        </w:rPr>
        <w:t>到</w:t>
      </w:r>
      <w:r>
        <w:rPr>
          <w:color w:val="000000"/>
          <w:sz w:val="24"/>
        </w:rPr>
        <w:t>4.82%</w:t>
      </w:r>
      <w:r>
        <w:rPr>
          <w:color w:val="000000"/>
          <w:sz w:val="24"/>
        </w:rPr>
        <w:t>。</w:t>
      </w:r>
    </w:p>
    <w:p w:rsidR="00A03222" w:rsidRDefault="006B0B1F">
      <w:pPr>
        <w:spacing w:before="29" w:line="288" w:lineRule="auto"/>
        <w:ind w:firstLineChars="200" w:firstLine="480"/>
        <w:rPr>
          <w:color w:val="000000"/>
          <w:sz w:val="24"/>
        </w:rPr>
      </w:pPr>
      <w:r>
        <w:rPr>
          <w:color w:val="000000"/>
          <w:sz w:val="24"/>
        </w:rPr>
        <w:t>策略层面，本基金重点关注短久期信用债以及同业存单的配置价值，适度加大配置力度，同时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年一季度，基本面的韧性有可能延续，</w:t>
      </w:r>
      <w:r w:rsidRPr="007F52FA">
        <w:rPr>
          <w:color w:val="000000"/>
          <w:sz w:val="24"/>
        </w:rPr>
        <w:t>CPI</w:t>
      </w:r>
      <w:r w:rsidRPr="007F52FA">
        <w:rPr>
          <w:color w:val="000000"/>
          <w:sz w:val="24"/>
        </w:rPr>
        <w:t>在春节期间的触顶回调幅度值得观察，宏观经济对债市影响的增强仍需要时间演化。在货币政策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w:t>
      </w:r>
      <w:r w:rsidRPr="007F52FA">
        <w:rPr>
          <w:color w:val="000000"/>
          <w:sz w:val="24"/>
        </w:rPr>
        <w:lastRenderedPageBreak/>
        <w:t>下，利率或处于高位震荡格局之中，但长端收益率上行空间有限，具备一定配置价值。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1.246</w:t>
      </w:r>
      <w:r w:rsidRPr="007F52FA">
        <w:rPr>
          <w:color w:val="000000"/>
          <w:sz w:val="24"/>
        </w:rPr>
        <w:t>元，本报告期份额净值增长率为</w:t>
      </w:r>
      <w:r w:rsidRPr="007F52FA">
        <w:rPr>
          <w:color w:val="000000"/>
          <w:sz w:val="24"/>
        </w:rPr>
        <w:t>2.72%</w:t>
      </w:r>
      <w:r w:rsidRPr="007F52FA">
        <w:rPr>
          <w:color w:val="000000"/>
          <w:sz w:val="24"/>
        </w:rPr>
        <w:t>，同期业绩比较基准增长率为</w:t>
      </w:r>
      <w:r w:rsidRPr="007F52FA">
        <w:rPr>
          <w:color w:val="000000"/>
          <w:sz w:val="24"/>
        </w:rPr>
        <w:t>1.96%</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1.261</w:t>
      </w:r>
      <w:r w:rsidRPr="007F52FA">
        <w:rPr>
          <w:color w:val="000000"/>
          <w:sz w:val="24"/>
        </w:rPr>
        <w:t>元，本报告期份额净值增长率为</w:t>
      </w:r>
      <w:r w:rsidRPr="007F52FA">
        <w:rPr>
          <w:color w:val="000000"/>
          <w:sz w:val="24"/>
        </w:rPr>
        <w:t>2.77%</w:t>
      </w:r>
      <w:r w:rsidRPr="007F52FA">
        <w:rPr>
          <w:color w:val="000000"/>
          <w:sz w:val="24"/>
        </w:rPr>
        <w:t>，同期业绩比较基准增长率为</w:t>
      </w:r>
      <w:r w:rsidRPr="007F52FA">
        <w:rPr>
          <w:color w:val="000000"/>
          <w:sz w:val="24"/>
        </w:rPr>
        <w:t>1.96%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132,674,057.80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132,674,057.80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559,546,712.00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79.11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559,546,712.00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79.11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5,569,086.43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9,535,235.42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1.35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707,325,091.65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lastRenderedPageBreak/>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72,187,056.99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11.70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3,974,246.30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8,884,600.00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17,942.76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34,112.55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47,543,776.00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7.70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32,323.20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132,674,057.80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21.50</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A03222">
        <w:trPr>
          <w:jc w:val="center"/>
        </w:trPr>
        <w:tc>
          <w:tcPr>
            <w:tcW w:w="850" w:type="dxa"/>
            <w:vAlign w:val="center"/>
          </w:tcPr>
          <w:p w:rsidR="00A03222" w:rsidRDefault="006B0B1F">
            <w:pPr>
              <w:jc w:val="center"/>
            </w:pPr>
            <w:r>
              <w:rPr>
                <w:color w:val="000000"/>
                <w:sz w:val="24"/>
              </w:rPr>
              <w:t>1</w:t>
            </w:r>
          </w:p>
        </w:tc>
        <w:tc>
          <w:tcPr>
            <w:tcW w:w="1327" w:type="dxa"/>
            <w:vAlign w:val="center"/>
          </w:tcPr>
          <w:p w:rsidR="00A03222" w:rsidRDefault="006B0B1F">
            <w:pPr>
              <w:jc w:val="center"/>
            </w:pPr>
            <w:r>
              <w:rPr>
                <w:color w:val="000000"/>
                <w:sz w:val="24"/>
              </w:rPr>
              <w:t>000001</w:t>
            </w:r>
          </w:p>
        </w:tc>
        <w:tc>
          <w:tcPr>
            <w:tcW w:w="1769" w:type="dxa"/>
            <w:vAlign w:val="center"/>
          </w:tcPr>
          <w:p w:rsidR="00A03222" w:rsidRDefault="006B0B1F">
            <w:pPr>
              <w:jc w:val="center"/>
            </w:pPr>
            <w:r>
              <w:rPr>
                <w:color w:val="000000"/>
                <w:sz w:val="24"/>
              </w:rPr>
              <w:t>平安银行</w:t>
            </w:r>
          </w:p>
        </w:tc>
        <w:tc>
          <w:tcPr>
            <w:tcW w:w="1327" w:type="dxa"/>
            <w:vAlign w:val="center"/>
          </w:tcPr>
          <w:p w:rsidR="00A03222" w:rsidRDefault="006B0B1F">
            <w:pPr>
              <w:jc w:val="right"/>
            </w:pPr>
            <w:r>
              <w:rPr>
                <w:color w:val="000000"/>
                <w:sz w:val="24"/>
              </w:rPr>
              <w:t>1,000,000</w:t>
            </w:r>
          </w:p>
        </w:tc>
        <w:tc>
          <w:tcPr>
            <w:tcW w:w="1915" w:type="dxa"/>
            <w:vAlign w:val="center"/>
          </w:tcPr>
          <w:p w:rsidR="00A03222" w:rsidRDefault="006B0B1F">
            <w:pPr>
              <w:jc w:val="right"/>
            </w:pPr>
            <w:r>
              <w:rPr>
                <w:color w:val="000000"/>
                <w:sz w:val="24"/>
              </w:rPr>
              <w:t>13,300,000.00</w:t>
            </w:r>
          </w:p>
        </w:tc>
        <w:tc>
          <w:tcPr>
            <w:tcW w:w="1680" w:type="dxa"/>
            <w:vAlign w:val="center"/>
          </w:tcPr>
          <w:p w:rsidR="00A03222" w:rsidRDefault="006B0B1F">
            <w:pPr>
              <w:jc w:val="right"/>
            </w:pPr>
            <w:r>
              <w:rPr>
                <w:color w:val="000000"/>
                <w:sz w:val="24"/>
              </w:rPr>
              <w:t>2.16</w:t>
            </w:r>
          </w:p>
        </w:tc>
      </w:tr>
      <w:tr w:rsidR="00A03222">
        <w:trPr>
          <w:jc w:val="center"/>
        </w:trPr>
        <w:tc>
          <w:tcPr>
            <w:tcW w:w="850" w:type="dxa"/>
            <w:vAlign w:val="center"/>
          </w:tcPr>
          <w:p w:rsidR="00A03222" w:rsidRDefault="006B0B1F">
            <w:pPr>
              <w:jc w:val="center"/>
            </w:pPr>
            <w:r>
              <w:rPr>
                <w:color w:val="000000"/>
                <w:sz w:val="24"/>
              </w:rPr>
              <w:t>2</w:t>
            </w:r>
          </w:p>
        </w:tc>
        <w:tc>
          <w:tcPr>
            <w:tcW w:w="1327" w:type="dxa"/>
            <w:vAlign w:val="center"/>
          </w:tcPr>
          <w:p w:rsidR="00A03222" w:rsidRDefault="006B0B1F">
            <w:pPr>
              <w:jc w:val="center"/>
            </w:pPr>
            <w:r>
              <w:rPr>
                <w:color w:val="000000"/>
                <w:sz w:val="24"/>
              </w:rPr>
              <w:t>000858</w:t>
            </w:r>
          </w:p>
        </w:tc>
        <w:tc>
          <w:tcPr>
            <w:tcW w:w="1769" w:type="dxa"/>
            <w:vAlign w:val="center"/>
          </w:tcPr>
          <w:p w:rsidR="00A03222" w:rsidRDefault="006B0B1F">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A03222" w:rsidRDefault="006B0B1F">
            <w:pPr>
              <w:jc w:val="right"/>
            </w:pPr>
            <w:r>
              <w:rPr>
                <w:color w:val="000000"/>
                <w:sz w:val="24"/>
              </w:rPr>
              <w:t>160,000</w:t>
            </w:r>
          </w:p>
        </w:tc>
        <w:tc>
          <w:tcPr>
            <w:tcW w:w="1915" w:type="dxa"/>
            <w:vAlign w:val="center"/>
          </w:tcPr>
          <w:p w:rsidR="00A03222" w:rsidRDefault="006B0B1F">
            <w:pPr>
              <w:jc w:val="right"/>
            </w:pPr>
            <w:r>
              <w:rPr>
                <w:color w:val="000000"/>
                <w:sz w:val="24"/>
              </w:rPr>
              <w:t>12,780,800.00</w:t>
            </w:r>
          </w:p>
        </w:tc>
        <w:tc>
          <w:tcPr>
            <w:tcW w:w="1680" w:type="dxa"/>
            <w:vAlign w:val="center"/>
          </w:tcPr>
          <w:p w:rsidR="00A03222" w:rsidRDefault="006B0B1F">
            <w:pPr>
              <w:jc w:val="right"/>
            </w:pPr>
            <w:r>
              <w:rPr>
                <w:color w:val="000000"/>
                <w:sz w:val="24"/>
              </w:rPr>
              <w:t>2.07</w:t>
            </w:r>
          </w:p>
        </w:tc>
      </w:tr>
      <w:tr w:rsidR="00A03222">
        <w:trPr>
          <w:jc w:val="center"/>
        </w:trPr>
        <w:tc>
          <w:tcPr>
            <w:tcW w:w="850" w:type="dxa"/>
            <w:vAlign w:val="center"/>
          </w:tcPr>
          <w:p w:rsidR="00A03222" w:rsidRDefault="006B0B1F">
            <w:pPr>
              <w:jc w:val="center"/>
            </w:pPr>
            <w:r>
              <w:rPr>
                <w:color w:val="000000"/>
                <w:sz w:val="24"/>
              </w:rPr>
              <w:lastRenderedPageBreak/>
              <w:t>3</w:t>
            </w:r>
          </w:p>
        </w:tc>
        <w:tc>
          <w:tcPr>
            <w:tcW w:w="1327" w:type="dxa"/>
            <w:vAlign w:val="center"/>
          </w:tcPr>
          <w:p w:rsidR="00A03222" w:rsidRDefault="006B0B1F">
            <w:pPr>
              <w:jc w:val="center"/>
            </w:pPr>
            <w:r>
              <w:rPr>
                <w:color w:val="000000"/>
                <w:sz w:val="24"/>
              </w:rPr>
              <w:t>002142</w:t>
            </w:r>
          </w:p>
        </w:tc>
        <w:tc>
          <w:tcPr>
            <w:tcW w:w="1769" w:type="dxa"/>
            <w:vAlign w:val="center"/>
          </w:tcPr>
          <w:p w:rsidR="00A03222" w:rsidRDefault="006B0B1F">
            <w:pPr>
              <w:jc w:val="center"/>
            </w:pPr>
            <w:r>
              <w:rPr>
                <w:color w:val="000000"/>
                <w:sz w:val="24"/>
              </w:rPr>
              <w:t>宁波银行</w:t>
            </w:r>
          </w:p>
        </w:tc>
        <w:tc>
          <w:tcPr>
            <w:tcW w:w="1327" w:type="dxa"/>
            <w:vAlign w:val="center"/>
          </w:tcPr>
          <w:p w:rsidR="00A03222" w:rsidRDefault="006B0B1F">
            <w:pPr>
              <w:jc w:val="right"/>
            </w:pPr>
            <w:r>
              <w:rPr>
                <w:color w:val="000000"/>
                <w:sz w:val="24"/>
              </w:rPr>
              <w:t>566,500</w:t>
            </w:r>
          </w:p>
        </w:tc>
        <w:tc>
          <w:tcPr>
            <w:tcW w:w="1915" w:type="dxa"/>
            <w:vAlign w:val="center"/>
          </w:tcPr>
          <w:p w:rsidR="00A03222" w:rsidRDefault="006B0B1F">
            <w:pPr>
              <w:jc w:val="right"/>
            </w:pPr>
            <w:r>
              <w:rPr>
                <w:color w:val="000000"/>
                <w:sz w:val="24"/>
              </w:rPr>
              <w:t>10,089,365.00</w:t>
            </w:r>
          </w:p>
        </w:tc>
        <w:tc>
          <w:tcPr>
            <w:tcW w:w="1680" w:type="dxa"/>
            <w:vAlign w:val="center"/>
          </w:tcPr>
          <w:p w:rsidR="00A03222" w:rsidRDefault="006B0B1F">
            <w:pPr>
              <w:jc w:val="right"/>
            </w:pPr>
            <w:r>
              <w:rPr>
                <w:color w:val="000000"/>
                <w:sz w:val="24"/>
              </w:rPr>
              <w:t>1.63</w:t>
            </w:r>
          </w:p>
        </w:tc>
      </w:tr>
      <w:tr w:rsidR="00A03222">
        <w:trPr>
          <w:jc w:val="center"/>
        </w:trPr>
        <w:tc>
          <w:tcPr>
            <w:tcW w:w="850" w:type="dxa"/>
            <w:vAlign w:val="center"/>
          </w:tcPr>
          <w:p w:rsidR="00A03222" w:rsidRDefault="006B0B1F">
            <w:pPr>
              <w:jc w:val="center"/>
            </w:pPr>
            <w:r>
              <w:rPr>
                <w:color w:val="000000"/>
                <w:sz w:val="24"/>
              </w:rPr>
              <w:t>4</w:t>
            </w:r>
          </w:p>
        </w:tc>
        <w:tc>
          <w:tcPr>
            <w:tcW w:w="1327" w:type="dxa"/>
            <w:vAlign w:val="center"/>
          </w:tcPr>
          <w:p w:rsidR="00A03222" w:rsidRDefault="006B0B1F">
            <w:pPr>
              <w:jc w:val="center"/>
            </w:pPr>
            <w:r>
              <w:rPr>
                <w:color w:val="000000"/>
                <w:sz w:val="24"/>
              </w:rPr>
              <w:t>601398</w:t>
            </w:r>
          </w:p>
        </w:tc>
        <w:tc>
          <w:tcPr>
            <w:tcW w:w="1769" w:type="dxa"/>
            <w:vAlign w:val="center"/>
          </w:tcPr>
          <w:p w:rsidR="00A03222" w:rsidRDefault="006B0B1F">
            <w:pPr>
              <w:jc w:val="center"/>
            </w:pPr>
            <w:r>
              <w:rPr>
                <w:color w:val="000000"/>
                <w:sz w:val="24"/>
              </w:rPr>
              <w:t>工商银行</w:t>
            </w:r>
          </w:p>
        </w:tc>
        <w:tc>
          <w:tcPr>
            <w:tcW w:w="1327" w:type="dxa"/>
            <w:vAlign w:val="center"/>
          </w:tcPr>
          <w:p w:rsidR="00A03222" w:rsidRDefault="006B0B1F">
            <w:pPr>
              <w:jc w:val="right"/>
            </w:pPr>
            <w:r>
              <w:rPr>
                <w:color w:val="000000"/>
                <w:sz w:val="24"/>
              </w:rPr>
              <w:t>1,579,905</w:t>
            </w:r>
          </w:p>
        </w:tc>
        <w:tc>
          <w:tcPr>
            <w:tcW w:w="1915" w:type="dxa"/>
            <w:vAlign w:val="center"/>
          </w:tcPr>
          <w:p w:rsidR="00A03222" w:rsidRDefault="006B0B1F">
            <w:pPr>
              <w:jc w:val="right"/>
            </w:pPr>
            <w:r>
              <w:rPr>
                <w:color w:val="000000"/>
                <w:sz w:val="24"/>
              </w:rPr>
              <w:t>9,795,411.00</w:t>
            </w:r>
          </w:p>
        </w:tc>
        <w:tc>
          <w:tcPr>
            <w:tcW w:w="1680" w:type="dxa"/>
            <w:vAlign w:val="center"/>
          </w:tcPr>
          <w:p w:rsidR="00A03222" w:rsidRDefault="006B0B1F">
            <w:pPr>
              <w:jc w:val="right"/>
            </w:pPr>
            <w:r>
              <w:rPr>
                <w:color w:val="000000"/>
                <w:sz w:val="24"/>
              </w:rPr>
              <w:t>1.59</w:t>
            </w:r>
          </w:p>
        </w:tc>
      </w:tr>
      <w:tr w:rsidR="00A03222">
        <w:trPr>
          <w:jc w:val="center"/>
        </w:trPr>
        <w:tc>
          <w:tcPr>
            <w:tcW w:w="850" w:type="dxa"/>
            <w:vAlign w:val="center"/>
          </w:tcPr>
          <w:p w:rsidR="00A03222" w:rsidRDefault="006B0B1F">
            <w:pPr>
              <w:jc w:val="center"/>
            </w:pPr>
            <w:r>
              <w:rPr>
                <w:color w:val="000000"/>
                <w:sz w:val="24"/>
              </w:rPr>
              <w:t>5</w:t>
            </w:r>
          </w:p>
        </w:tc>
        <w:tc>
          <w:tcPr>
            <w:tcW w:w="1327" w:type="dxa"/>
            <w:vAlign w:val="center"/>
          </w:tcPr>
          <w:p w:rsidR="00A03222" w:rsidRDefault="006B0B1F">
            <w:pPr>
              <w:jc w:val="center"/>
            </w:pPr>
            <w:r>
              <w:rPr>
                <w:color w:val="000000"/>
                <w:sz w:val="24"/>
              </w:rPr>
              <w:t>600519</w:t>
            </w:r>
          </w:p>
        </w:tc>
        <w:tc>
          <w:tcPr>
            <w:tcW w:w="1769" w:type="dxa"/>
            <w:vAlign w:val="center"/>
          </w:tcPr>
          <w:p w:rsidR="00A03222" w:rsidRDefault="006B0B1F">
            <w:pPr>
              <w:jc w:val="center"/>
            </w:pPr>
            <w:r>
              <w:rPr>
                <w:color w:val="000000"/>
                <w:sz w:val="24"/>
              </w:rPr>
              <w:t>贵州茅台</w:t>
            </w:r>
          </w:p>
        </w:tc>
        <w:tc>
          <w:tcPr>
            <w:tcW w:w="1327" w:type="dxa"/>
            <w:vAlign w:val="center"/>
          </w:tcPr>
          <w:p w:rsidR="00A03222" w:rsidRDefault="006B0B1F">
            <w:pPr>
              <w:jc w:val="right"/>
            </w:pPr>
            <w:r>
              <w:rPr>
                <w:color w:val="000000"/>
                <w:sz w:val="24"/>
              </w:rPr>
              <w:t>13,000</w:t>
            </w:r>
          </w:p>
        </w:tc>
        <w:tc>
          <w:tcPr>
            <w:tcW w:w="1915" w:type="dxa"/>
            <w:vAlign w:val="center"/>
          </w:tcPr>
          <w:p w:rsidR="00A03222" w:rsidRDefault="006B0B1F">
            <w:pPr>
              <w:jc w:val="right"/>
            </w:pPr>
            <w:r>
              <w:rPr>
                <w:color w:val="000000"/>
                <w:sz w:val="24"/>
              </w:rPr>
              <w:t>9,067,370.00</w:t>
            </w:r>
          </w:p>
        </w:tc>
        <w:tc>
          <w:tcPr>
            <w:tcW w:w="1680" w:type="dxa"/>
            <w:vAlign w:val="center"/>
          </w:tcPr>
          <w:p w:rsidR="00A03222" w:rsidRDefault="006B0B1F">
            <w:pPr>
              <w:jc w:val="right"/>
            </w:pPr>
            <w:r>
              <w:rPr>
                <w:color w:val="000000"/>
                <w:sz w:val="24"/>
              </w:rPr>
              <w:t>1.47</w:t>
            </w:r>
          </w:p>
        </w:tc>
      </w:tr>
      <w:tr w:rsidR="00A03222">
        <w:trPr>
          <w:jc w:val="center"/>
        </w:trPr>
        <w:tc>
          <w:tcPr>
            <w:tcW w:w="850" w:type="dxa"/>
            <w:vAlign w:val="center"/>
          </w:tcPr>
          <w:p w:rsidR="00A03222" w:rsidRDefault="006B0B1F">
            <w:pPr>
              <w:jc w:val="center"/>
            </w:pPr>
            <w:r>
              <w:rPr>
                <w:color w:val="000000"/>
                <w:sz w:val="24"/>
              </w:rPr>
              <w:t>6</w:t>
            </w:r>
          </w:p>
        </w:tc>
        <w:tc>
          <w:tcPr>
            <w:tcW w:w="1327" w:type="dxa"/>
            <w:vAlign w:val="center"/>
          </w:tcPr>
          <w:p w:rsidR="00A03222" w:rsidRDefault="006B0B1F">
            <w:pPr>
              <w:jc w:val="center"/>
            </w:pPr>
            <w:r>
              <w:rPr>
                <w:color w:val="000000"/>
                <w:sz w:val="24"/>
              </w:rPr>
              <w:t>000423</w:t>
            </w:r>
          </w:p>
        </w:tc>
        <w:tc>
          <w:tcPr>
            <w:tcW w:w="1769" w:type="dxa"/>
            <w:vAlign w:val="center"/>
          </w:tcPr>
          <w:p w:rsidR="00A03222" w:rsidRDefault="006B0B1F">
            <w:pPr>
              <w:jc w:val="center"/>
            </w:pPr>
            <w:r>
              <w:rPr>
                <w:color w:val="000000"/>
                <w:sz w:val="24"/>
              </w:rPr>
              <w:t>东阿阿胶</w:t>
            </w:r>
          </w:p>
        </w:tc>
        <w:tc>
          <w:tcPr>
            <w:tcW w:w="1327" w:type="dxa"/>
            <w:vAlign w:val="center"/>
          </w:tcPr>
          <w:p w:rsidR="00A03222" w:rsidRDefault="006B0B1F">
            <w:pPr>
              <w:jc w:val="right"/>
            </w:pPr>
            <w:r>
              <w:rPr>
                <w:color w:val="000000"/>
                <w:sz w:val="24"/>
              </w:rPr>
              <w:t>150,000</w:t>
            </w:r>
          </w:p>
        </w:tc>
        <w:tc>
          <w:tcPr>
            <w:tcW w:w="1915" w:type="dxa"/>
            <w:vAlign w:val="center"/>
          </w:tcPr>
          <w:p w:rsidR="00A03222" w:rsidRDefault="006B0B1F">
            <w:pPr>
              <w:jc w:val="right"/>
            </w:pPr>
            <w:r>
              <w:rPr>
                <w:color w:val="000000"/>
                <w:sz w:val="24"/>
              </w:rPr>
              <w:t>9,040,500.00</w:t>
            </w:r>
          </w:p>
        </w:tc>
        <w:tc>
          <w:tcPr>
            <w:tcW w:w="1680" w:type="dxa"/>
            <w:vAlign w:val="center"/>
          </w:tcPr>
          <w:p w:rsidR="00A03222" w:rsidRDefault="006B0B1F">
            <w:pPr>
              <w:jc w:val="right"/>
            </w:pPr>
            <w:r>
              <w:rPr>
                <w:color w:val="000000"/>
                <w:sz w:val="24"/>
              </w:rPr>
              <w:t>1.46</w:t>
            </w:r>
          </w:p>
        </w:tc>
      </w:tr>
      <w:tr w:rsidR="00A03222">
        <w:trPr>
          <w:jc w:val="center"/>
        </w:trPr>
        <w:tc>
          <w:tcPr>
            <w:tcW w:w="850" w:type="dxa"/>
            <w:vAlign w:val="center"/>
          </w:tcPr>
          <w:p w:rsidR="00A03222" w:rsidRDefault="006B0B1F">
            <w:pPr>
              <w:jc w:val="center"/>
            </w:pPr>
            <w:r>
              <w:rPr>
                <w:color w:val="000000"/>
                <w:sz w:val="24"/>
              </w:rPr>
              <w:t>7</w:t>
            </w:r>
          </w:p>
        </w:tc>
        <w:tc>
          <w:tcPr>
            <w:tcW w:w="1327" w:type="dxa"/>
            <w:vAlign w:val="center"/>
          </w:tcPr>
          <w:p w:rsidR="00A03222" w:rsidRDefault="006B0B1F">
            <w:pPr>
              <w:jc w:val="center"/>
            </w:pPr>
            <w:r>
              <w:rPr>
                <w:color w:val="000000"/>
                <w:sz w:val="24"/>
              </w:rPr>
              <w:t>600887</w:t>
            </w:r>
          </w:p>
        </w:tc>
        <w:tc>
          <w:tcPr>
            <w:tcW w:w="1769" w:type="dxa"/>
            <w:vAlign w:val="center"/>
          </w:tcPr>
          <w:p w:rsidR="00A03222" w:rsidRDefault="006B0B1F">
            <w:pPr>
              <w:jc w:val="center"/>
            </w:pPr>
            <w:r>
              <w:rPr>
                <w:color w:val="000000"/>
                <w:sz w:val="24"/>
              </w:rPr>
              <w:t>伊利股份</w:t>
            </w:r>
          </w:p>
        </w:tc>
        <w:tc>
          <w:tcPr>
            <w:tcW w:w="1327" w:type="dxa"/>
            <w:vAlign w:val="center"/>
          </w:tcPr>
          <w:p w:rsidR="00A03222" w:rsidRDefault="006B0B1F">
            <w:pPr>
              <w:jc w:val="right"/>
            </w:pPr>
            <w:r>
              <w:rPr>
                <w:color w:val="000000"/>
                <w:sz w:val="24"/>
              </w:rPr>
              <w:t>250,000</w:t>
            </w:r>
          </w:p>
        </w:tc>
        <w:tc>
          <w:tcPr>
            <w:tcW w:w="1915" w:type="dxa"/>
            <w:vAlign w:val="center"/>
          </w:tcPr>
          <w:p w:rsidR="00A03222" w:rsidRDefault="006B0B1F">
            <w:pPr>
              <w:jc w:val="right"/>
            </w:pPr>
            <w:r>
              <w:rPr>
                <w:color w:val="000000"/>
                <w:sz w:val="24"/>
              </w:rPr>
              <w:t>8,047,500.00</w:t>
            </w:r>
          </w:p>
        </w:tc>
        <w:tc>
          <w:tcPr>
            <w:tcW w:w="1680" w:type="dxa"/>
            <w:vAlign w:val="center"/>
          </w:tcPr>
          <w:p w:rsidR="00A03222" w:rsidRDefault="006B0B1F">
            <w:pPr>
              <w:jc w:val="right"/>
            </w:pPr>
            <w:r>
              <w:rPr>
                <w:color w:val="000000"/>
                <w:sz w:val="24"/>
              </w:rPr>
              <w:t>1.30</w:t>
            </w:r>
          </w:p>
        </w:tc>
      </w:tr>
      <w:tr w:rsidR="00A03222">
        <w:trPr>
          <w:jc w:val="center"/>
        </w:trPr>
        <w:tc>
          <w:tcPr>
            <w:tcW w:w="850" w:type="dxa"/>
            <w:vAlign w:val="center"/>
          </w:tcPr>
          <w:p w:rsidR="00A03222" w:rsidRDefault="006B0B1F">
            <w:pPr>
              <w:jc w:val="center"/>
            </w:pPr>
            <w:r>
              <w:rPr>
                <w:color w:val="000000"/>
                <w:sz w:val="24"/>
              </w:rPr>
              <w:t>8</w:t>
            </w:r>
          </w:p>
        </w:tc>
        <w:tc>
          <w:tcPr>
            <w:tcW w:w="1327" w:type="dxa"/>
            <w:vAlign w:val="center"/>
          </w:tcPr>
          <w:p w:rsidR="00A03222" w:rsidRDefault="006B0B1F">
            <w:pPr>
              <w:jc w:val="center"/>
            </w:pPr>
            <w:r>
              <w:rPr>
                <w:color w:val="000000"/>
                <w:sz w:val="24"/>
              </w:rPr>
              <w:t>601318</w:t>
            </w:r>
          </w:p>
        </w:tc>
        <w:tc>
          <w:tcPr>
            <w:tcW w:w="1769" w:type="dxa"/>
            <w:vAlign w:val="center"/>
          </w:tcPr>
          <w:p w:rsidR="00A03222" w:rsidRDefault="006B0B1F">
            <w:pPr>
              <w:jc w:val="center"/>
            </w:pPr>
            <w:r>
              <w:rPr>
                <w:color w:val="000000"/>
                <w:sz w:val="24"/>
              </w:rPr>
              <w:t>中国平安</w:t>
            </w:r>
          </w:p>
        </w:tc>
        <w:tc>
          <w:tcPr>
            <w:tcW w:w="1327" w:type="dxa"/>
            <w:vAlign w:val="center"/>
          </w:tcPr>
          <w:p w:rsidR="00A03222" w:rsidRDefault="006B0B1F">
            <w:pPr>
              <w:jc w:val="right"/>
            </w:pPr>
            <w:r>
              <w:rPr>
                <w:color w:val="000000"/>
                <w:sz w:val="24"/>
              </w:rPr>
              <w:t>100,000</w:t>
            </w:r>
          </w:p>
        </w:tc>
        <w:tc>
          <w:tcPr>
            <w:tcW w:w="1915" w:type="dxa"/>
            <w:vAlign w:val="center"/>
          </w:tcPr>
          <w:p w:rsidR="00A03222" w:rsidRDefault="006B0B1F">
            <w:pPr>
              <w:jc w:val="right"/>
            </w:pPr>
            <w:r>
              <w:rPr>
                <w:color w:val="000000"/>
                <w:sz w:val="24"/>
              </w:rPr>
              <w:t>6,998,000.00</w:t>
            </w:r>
          </w:p>
        </w:tc>
        <w:tc>
          <w:tcPr>
            <w:tcW w:w="1680" w:type="dxa"/>
            <w:vAlign w:val="center"/>
          </w:tcPr>
          <w:p w:rsidR="00A03222" w:rsidRDefault="006B0B1F">
            <w:pPr>
              <w:jc w:val="right"/>
            </w:pPr>
            <w:r>
              <w:rPr>
                <w:color w:val="000000"/>
                <w:sz w:val="24"/>
              </w:rPr>
              <w:t>1.13</w:t>
            </w:r>
          </w:p>
        </w:tc>
      </w:tr>
      <w:tr w:rsidR="00A03222">
        <w:trPr>
          <w:jc w:val="center"/>
        </w:trPr>
        <w:tc>
          <w:tcPr>
            <w:tcW w:w="850" w:type="dxa"/>
            <w:vAlign w:val="center"/>
          </w:tcPr>
          <w:p w:rsidR="00A03222" w:rsidRDefault="006B0B1F">
            <w:pPr>
              <w:jc w:val="center"/>
            </w:pPr>
            <w:r>
              <w:rPr>
                <w:color w:val="000000"/>
                <w:sz w:val="24"/>
              </w:rPr>
              <w:t>9</w:t>
            </w:r>
          </w:p>
        </w:tc>
        <w:tc>
          <w:tcPr>
            <w:tcW w:w="1327" w:type="dxa"/>
            <w:vAlign w:val="center"/>
          </w:tcPr>
          <w:p w:rsidR="00A03222" w:rsidRDefault="006B0B1F">
            <w:pPr>
              <w:jc w:val="center"/>
            </w:pPr>
            <w:r>
              <w:rPr>
                <w:color w:val="000000"/>
                <w:sz w:val="24"/>
              </w:rPr>
              <w:t>000963</w:t>
            </w:r>
          </w:p>
        </w:tc>
        <w:tc>
          <w:tcPr>
            <w:tcW w:w="1769" w:type="dxa"/>
            <w:vAlign w:val="center"/>
          </w:tcPr>
          <w:p w:rsidR="00A03222" w:rsidRDefault="006B0B1F">
            <w:pPr>
              <w:jc w:val="center"/>
            </w:pPr>
            <w:r>
              <w:rPr>
                <w:color w:val="000000"/>
                <w:sz w:val="24"/>
              </w:rPr>
              <w:t>华东医药</w:t>
            </w:r>
          </w:p>
        </w:tc>
        <w:tc>
          <w:tcPr>
            <w:tcW w:w="1327" w:type="dxa"/>
            <w:vAlign w:val="center"/>
          </w:tcPr>
          <w:p w:rsidR="00A03222" w:rsidRDefault="006B0B1F">
            <w:pPr>
              <w:jc w:val="right"/>
            </w:pPr>
            <w:r>
              <w:rPr>
                <w:color w:val="000000"/>
                <w:sz w:val="24"/>
              </w:rPr>
              <w:t>120,000</w:t>
            </w:r>
          </w:p>
        </w:tc>
        <w:tc>
          <w:tcPr>
            <w:tcW w:w="1915" w:type="dxa"/>
            <w:vAlign w:val="center"/>
          </w:tcPr>
          <w:p w:rsidR="00A03222" w:rsidRDefault="006B0B1F">
            <w:pPr>
              <w:jc w:val="right"/>
            </w:pPr>
            <w:r>
              <w:rPr>
                <w:color w:val="000000"/>
                <w:sz w:val="24"/>
              </w:rPr>
              <w:t>6,465,600.00</w:t>
            </w:r>
          </w:p>
        </w:tc>
        <w:tc>
          <w:tcPr>
            <w:tcW w:w="1680" w:type="dxa"/>
            <w:vAlign w:val="center"/>
          </w:tcPr>
          <w:p w:rsidR="00A03222" w:rsidRDefault="006B0B1F">
            <w:pPr>
              <w:jc w:val="right"/>
            </w:pPr>
            <w:r>
              <w:rPr>
                <w:color w:val="000000"/>
                <w:sz w:val="24"/>
              </w:rPr>
              <w:t>1.05</w:t>
            </w:r>
          </w:p>
        </w:tc>
      </w:tr>
      <w:tr w:rsidR="00A03222">
        <w:trPr>
          <w:jc w:val="center"/>
        </w:trPr>
        <w:tc>
          <w:tcPr>
            <w:tcW w:w="850" w:type="dxa"/>
            <w:vAlign w:val="center"/>
          </w:tcPr>
          <w:p w:rsidR="00A03222" w:rsidRDefault="006B0B1F">
            <w:pPr>
              <w:jc w:val="center"/>
            </w:pPr>
            <w:r>
              <w:rPr>
                <w:color w:val="000000"/>
                <w:sz w:val="24"/>
              </w:rPr>
              <w:t>10</w:t>
            </w:r>
          </w:p>
        </w:tc>
        <w:tc>
          <w:tcPr>
            <w:tcW w:w="1327" w:type="dxa"/>
            <w:vAlign w:val="center"/>
          </w:tcPr>
          <w:p w:rsidR="00A03222" w:rsidRDefault="006B0B1F">
            <w:pPr>
              <w:jc w:val="center"/>
            </w:pPr>
            <w:r>
              <w:rPr>
                <w:color w:val="000000"/>
                <w:sz w:val="24"/>
              </w:rPr>
              <w:t>000333</w:t>
            </w:r>
          </w:p>
        </w:tc>
        <w:tc>
          <w:tcPr>
            <w:tcW w:w="1769" w:type="dxa"/>
            <w:vAlign w:val="center"/>
          </w:tcPr>
          <w:p w:rsidR="00A03222" w:rsidRDefault="006B0B1F">
            <w:pPr>
              <w:jc w:val="center"/>
            </w:pPr>
            <w:r>
              <w:rPr>
                <w:color w:val="000000"/>
                <w:sz w:val="24"/>
              </w:rPr>
              <w:t>美的集团</w:t>
            </w:r>
          </w:p>
        </w:tc>
        <w:tc>
          <w:tcPr>
            <w:tcW w:w="1327" w:type="dxa"/>
            <w:vAlign w:val="center"/>
          </w:tcPr>
          <w:p w:rsidR="00A03222" w:rsidRDefault="006B0B1F">
            <w:pPr>
              <w:jc w:val="right"/>
            </w:pPr>
            <w:r>
              <w:rPr>
                <w:color w:val="000000"/>
                <w:sz w:val="24"/>
              </w:rPr>
              <w:t>110,000</w:t>
            </w:r>
          </w:p>
        </w:tc>
        <w:tc>
          <w:tcPr>
            <w:tcW w:w="1915" w:type="dxa"/>
            <w:vAlign w:val="center"/>
          </w:tcPr>
          <w:p w:rsidR="00A03222" w:rsidRDefault="006B0B1F">
            <w:pPr>
              <w:jc w:val="right"/>
            </w:pPr>
            <w:r>
              <w:rPr>
                <w:color w:val="000000"/>
                <w:sz w:val="24"/>
              </w:rPr>
              <w:t>6,097,300.00</w:t>
            </w:r>
          </w:p>
        </w:tc>
        <w:tc>
          <w:tcPr>
            <w:tcW w:w="1680" w:type="dxa"/>
            <w:vAlign w:val="center"/>
          </w:tcPr>
          <w:p w:rsidR="00A03222" w:rsidRDefault="006B0B1F">
            <w:pPr>
              <w:jc w:val="right"/>
            </w:pPr>
            <w:r>
              <w:rPr>
                <w:color w:val="000000"/>
                <w:sz w:val="24"/>
              </w:rPr>
              <w:t>0.99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34,643,500.00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102,674,000.00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102,674,000.00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78,258,000.00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12.68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50,279,000.00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8.15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29,716,000.00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685,212.00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263,291,000.00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42.67</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559,546,712.00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90.67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03222">
        <w:trPr>
          <w:jc w:val="center"/>
        </w:trPr>
        <w:tc>
          <w:tcPr>
            <w:tcW w:w="1075" w:type="dxa"/>
            <w:vAlign w:val="center"/>
          </w:tcPr>
          <w:p w:rsidR="00A03222" w:rsidRDefault="006B0B1F">
            <w:pPr>
              <w:jc w:val="center"/>
            </w:pPr>
            <w:r>
              <w:rPr>
                <w:color w:val="000000"/>
                <w:sz w:val="24"/>
              </w:rPr>
              <w:t>1</w:t>
            </w:r>
          </w:p>
        </w:tc>
        <w:tc>
          <w:tcPr>
            <w:tcW w:w="1533" w:type="dxa"/>
            <w:vAlign w:val="center"/>
          </w:tcPr>
          <w:p w:rsidR="00A03222" w:rsidRDefault="006B0B1F">
            <w:pPr>
              <w:jc w:val="center"/>
            </w:pPr>
            <w:r>
              <w:rPr>
                <w:color w:val="000000"/>
                <w:sz w:val="24"/>
              </w:rPr>
              <w:t>170210</w:t>
            </w:r>
          </w:p>
        </w:tc>
        <w:tc>
          <w:tcPr>
            <w:tcW w:w="1533" w:type="dxa"/>
            <w:vAlign w:val="center"/>
          </w:tcPr>
          <w:p w:rsidR="00A03222" w:rsidRDefault="006B0B1F">
            <w:pPr>
              <w:jc w:val="center"/>
            </w:pPr>
            <w:r>
              <w:rPr>
                <w:color w:val="000000"/>
                <w:sz w:val="24"/>
              </w:rPr>
              <w:t>17</w:t>
            </w:r>
            <w:r>
              <w:rPr>
                <w:color w:val="000000"/>
                <w:sz w:val="24"/>
              </w:rPr>
              <w:t>国开</w:t>
            </w:r>
            <w:r>
              <w:rPr>
                <w:color w:val="000000"/>
                <w:sz w:val="24"/>
              </w:rPr>
              <w:t>10</w:t>
            </w:r>
          </w:p>
        </w:tc>
        <w:tc>
          <w:tcPr>
            <w:tcW w:w="1394" w:type="dxa"/>
            <w:vAlign w:val="center"/>
          </w:tcPr>
          <w:p w:rsidR="00A03222" w:rsidRDefault="006B0B1F">
            <w:pPr>
              <w:jc w:val="right"/>
            </w:pPr>
            <w:r>
              <w:rPr>
                <w:color w:val="000000"/>
                <w:sz w:val="24"/>
              </w:rPr>
              <w:t>1,100,000</w:t>
            </w:r>
          </w:p>
        </w:tc>
        <w:tc>
          <w:tcPr>
            <w:tcW w:w="1944" w:type="dxa"/>
            <w:vAlign w:val="center"/>
          </w:tcPr>
          <w:p w:rsidR="00A03222" w:rsidRDefault="006B0B1F">
            <w:pPr>
              <w:jc w:val="right"/>
            </w:pPr>
            <w:r>
              <w:rPr>
                <w:color w:val="000000"/>
                <w:sz w:val="24"/>
              </w:rPr>
              <w:t>102,674,000.00</w:t>
            </w:r>
          </w:p>
        </w:tc>
        <w:tc>
          <w:tcPr>
            <w:tcW w:w="1389" w:type="dxa"/>
            <w:vAlign w:val="center"/>
          </w:tcPr>
          <w:p w:rsidR="00A03222" w:rsidRDefault="006B0B1F">
            <w:pPr>
              <w:jc w:val="right"/>
            </w:pPr>
            <w:r>
              <w:rPr>
                <w:color w:val="000000"/>
                <w:sz w:val="24"/>
              </w:rPr>
              <w:t>16.64</w:t>
            </w:r>
          </w:p>
        </w:tc>
      </w:tr>
      <w:tr w:rsidR="00A03222">
        <w:trPr>
          <w:jc w:val="center"/>
        </w:trPr>
        <w:tc>
          <w:tcPr>
            <w:tcW w:w="1075" w:type="dxa"/>
            <w:vAlign w:val="center"/>
          </w:tcPr>
          <w:p w:rsidR="00A03222" w:rsidRDefault="006B0B1F">
            <w:pPr>
              <w:jc w:val="center"/>
            </w:pPr>
            <w:r>
              <w:rPr>
                <w:color w:val="000000"/>
                <w:sz w:val="24"/>
              </w:rPr>
              <w:t>2</w:t>
            </w:r>
          </w:p>
        </w:tc>
        <w:tc>
          <w:tcPr>
            <w:tcW w:w="1533" w:type="dxa"/>
            <w:vAlign w:val="center"/>
          </w:tcPr>
          <w:p w:rsidR="00A03222" w:rsidRDefault="006B0B1F">
            <w:pPr>
              <w:jc w:val="center"/>
            </w:pPr>
            <w:r>
              <w:rPr>
                <w:color w:val="000000"/>
                <w:sz w:val="24"/>
              </w:rPr>
              <w:t>111710649</w:t>
            </w:r>
          </w:p>
        </w:tc>
        <w:tc>
          <w:tcPr>
            <w:tcW w:w="1533" w:type="dxa"/>
            <w:vAlign w:val="center"/>
          </w:tcPr>
          <w:p w:rsidR="00A03222" w:rsidRDefault="006B0B1F">
            <w:pPr>
              <w:jc w:val="center"/>
            </w:pPr>
            <w:r>
              <w:rPr>
                <w:color w:val="000000"/>
                <w:sz w:val="24"/>
              </w:rPr>
              <w:t>17</w:t>
            </w:r>
            <w:r>
              <w:rPr>
                <w:color w:val="000000"/>
                <w:sz w:val="24"/>
              </w:rPr>
              <w:t>兴业银行</w:t>
            </w:r>
            <w:r>
              <w:rPr>
                <w:color w:val="000000"/>
                <w:sz w:val="24"/>
              </w:rPr>
              <w:t>CD649</w:t>
            </w:r>
          </w:p>
        </w:tc>
        <w:tc>
          <w:tcPr>
            <w:tcW w:w="1394" w:type="dxa"/>
            <w:vAlign w:val="center"/>
          </w:tcPr>
          <w:p w:rsidR="00A03222" w:rsidRDefault="006B0B1F">
            <w:pPr>
              <w:jc w:val="right"/>
            </w:pPr>
            <w:r>
              <w:rPr>
                <w:color w:val="000000"/>
                <w:sz w:val="24"/>
              </w:rPr>
              <w:t>500,000</w:t>
            </w:r>
          </w:p>
        </w:tc>
        <w:tc>
          <w:tcPr>
            <w:tcW w:w="1944" w:type="dxa"/>
            <w:vAlign w:val="center"/>
          </w:tcPr>
          <w:p w:rsidR="00A03222" w:rsidRDefault="006B0B1F">
            <w:pPr>
              <w:jc w:val="right"/>
            </w:pPr>
            <w:r>
              <w:rPr>
                <w:color w:val="000000"/>
                <w:sz w:val="24"/>
              </w:rPr>
              <w:t>48,750,000.00</w:t>
            </w:r>
          </w:p>
        </w:tc>
        <w:tc>
          <w:tcPr>
            <w:tcW w:w="1389" w:type="dxa"/>
            <w:vAlign w:val="center"/>
          </w:tcPr>
          <w:p w:rsidR="00A03222" w:rsidRDefault="006B0B1F">
            <w:pPr>
              <w:jc w:val="right"/>
            </w:pPr>
            <w:r>
              <w:rPr>
                <w:color w:val="000000"/>
                <w:sz w:val="24"/>
              </w:rPr>
              <w:t>7.90</w:t>
            </w:r>
          </w:p>
        </w:tc>
      </w:tr>
      <w:tr w:rsidR="00A03222">
        <w:trPr>
          <w:jc w:val="center"/>
        </w:trPr>
        <w:tc>
          <w:tcPr>
            <w:tcW w:w="1075" w:type="dxa"/>
            <w:vAlign w:val="center"/>
          </w:tcPr>
          <w:p w:rsidR="00A03222" w:rsidRDefault="006B0B1F">
            <w:pPr>
              <w:jc w:val="center"/>
            </w:pPr>
            <w:r>
              <w:rPr>
                <w:color w:val="000000"/>
                <w:sz w:val="24"/>
              </w:rPr>
              <w:t>3</w:t>
            </w:r>
          </w:p>
        </w:tc>
        <w:tc>
          <w:tcPr>
            <w:tcW w:w="1533" w:type="dxa"/>
            <w:vAlign w:val="center"/>
          </w:tcPr>
          <w:p w:rsidR="00A03222" w:rsidRDefault="006B0B1F">
            <w:pPr>
              <w:jc w:val="center"/>
            </w:pPr>
            <w:r>
              <w:rPr>
                <w:color w:val="000000"/>
                <w:sz w:val="24"/>
              </w:rPr>
              <w:t>111714335</w:t>
            </w:r>
          </w:p>
        </w:tc>
        <w:tc>
          <w:tcPr>
            <w:tcW w:w="1533" w:type="dxa"/>
            <w:vAlign w:val="center"/>
          </w:tcPr>
          <w:p w:rsidR="00A03222" w:rsidRDefault="006B0B1F">
            <w:pPr>
              <w:jc w:val="center"/>
            </w:pPr>
            <w:r>
              <w:rPr>
                <w:color w:val="000000"/>
                <w:sz w:val="24"/>
              </w:rPr>
              <w:t>17</w:t>
            </w:r>
            <w:r>
              <w:rPr>
                <w:color w:val="000000"/>
                <w:sz w:val="24"/>
              </w:rPr>
              <w:t>江苏银行</w:t>
            </w:r>
            <w:r>
              <w:rPr>
                <w:color w:val="000000"/>
                <w:sz w:val="24"/>
              </w:rPr>
              <w:t>CD335</w:t>
            </w:r>
          </w:p>
        </w:tc>
        <w:tc>
          <w:tcPr>
            <w:tcW w:w="1394" w:type="dxa"/>
            <w:vAlign w:val="center"/>
          </w:tcPr>
          <w:p w:rsidR="00A03222" w:rsidRDefault="006B0B1F">
            <w:pPr>
              <w:jc w:val="right"/>
            </w:pPr>
            <w:r>
              <w:rPr>
                <w:color w:val="000000"/>
                <w:sz w:val="24"/>
              </w:rPr>
              <w:t>500,000</w:t>
            </w:r>
          </w:p>
        </w:tc>
        <w:tc>
          <w:tcPr>
            <w:tcW w:w="1944" w:type="dxa"/>
            <w:vAlign w:val="center"/>
          </w:tcPr>
          <w:p w:rsidR="00A03222" w:rsidRDefault="006B0B1F">
            <w:pPr>
              <w:jc w:val="right"/>
            </w:pPr>
            <w:r>
              <w:rPr>
                <w:color w:val="000000"/>
                <w:sz w:val="24"/>
              </w:rPr>
              <w:t>48,740,000.00</w:t>
            </w:r>
          </w:p>
        </w:tc>
        <w:tc>
          <w:tcPr>
            <w:tcW w:w="1389" w:type="dxa"/>
            <w:vAlign w:val="center"/>
          </w:tcPr>
          <w:p w:rsidR="00A03222" w:rsidRDefault="006B0B1F">
            <w:pPr>
              <w:jc w:val="right"/>
            </w:pPr>
            <w:r>
              <w:rPr>
                <w:color w:val="000000"/>
                <w:sz w:val="24"/>
              </w:rPr>
              <w:t>7.90</w:t>
            </w:r>
          </w:p>
        </w:tc>
      </w:tr>
      <w:tr w:rsidR="00A03222">
        <w:trPr>
          <w:jc w:val="center"/>
        </w:trPr>
        <w:tc>
          <w:tcPr>
            <w:tcW w:w="1075" w:type="dxa"/>
            <w:vAlign w:val="center"/>
          </w:tcPr>
          <w:p w:rsidR="00A03222" w:rsidRDefault="006B0B1F">
            <w:pPr>
              <w:jc w:val="center"/>
            </w:pPr>
            <w:r>
              <w:rPr>
                <w:color w:val="000000"/>
                <w:sz w:val="24"/>
              </w:rPr>
              <w:lastRenderedPageBreak/>
              <w:t>4</w:t>
            </w:r>
          </w:p>
        </w:tc>
        <w:tc>
          <w:tcPr>
            <w:tcW w:w="1533" w:type="dxa"/>
            <w:vAlign w:val="center"/>
          </w:tcPr>
          <w:p w:rsidR="00A03222" w:rsidRDefault="006B0B1F">
            <w:pPr>
              <w:jc w:val="center"/>
            </w:pPr>
            <w:r>
              <w:rPr>
                <w:color w:val="000000"/>
                <w:sz w:val="24"/>
              </w:rPr>
              <w:t>011759033</w:t>
            </w:r>
          </w:p>
        </w:tc>
        <w:tc>
          <w:tcPr>
            <w:tcW w:w="1533" w:type="dxa"/>
            <w:vAlign w:val="center"/>
          </w:tcPr>
          <w:p w:rsidR="00A03222" w:rsidRDefault="006B0B1F">
            <w:pPr>
              <w:jc w:val="center"/>
            </w:pPr>
            <w:r>
              <w:rPr>
                <w:color w:val="000000"/>
                <w:sz w:val="24"/>
              </w:rPr>
              <w:t>17</w:t>
            </w:r>
            <w:r>
              <w:rPr>
                <w:color w:val="000000"/>
                <w:sz w:val="24"/>
              </w:rPr>
              <w:t>杭经开</w:t>
            </w:r>
            <w:r>
              <w:rPr>
                <w:color w:val="000000"/>
                <w:sz w:val="24"/>
              </w:rPr>
              <w:t>SCP001</w:t>
            </w:r>
          </w:p>
        </w:tc>
        <w:tc>
          <w:tcPr>
            <w:tcW w:w="1394" w:type="dxa"/>
            <w:vAlign w:val="center"/>
          </w:tcPr>
          <w:p w:rsidR="00A03222" w:rsidRDefault="006B0B1F">
            <w:pPr>
              <w:jc w:val="right"/>
            </w:pPr>
            <w:r>
              <w:rPr>
                <w:color w:val="000000"/>
                <w:sz w:val="24"/>
              </w:rPr>
              <w:t>200,000</w:t>
            </w:r>
          </w:p>
        </w:tc>
        <w:tc>
          <w:tcPr>
            <w:tcW w:w="1944" w:type="dxa"/>
            <w:vAlign w:val="center"/>
          </w:tcPr>
          <w:p w:rsidR="00A03222" w:rsidRDefault="006B0B1F">
            <w:pPr>
              <w:jc w:val="right"/>
            </w:pPr>
            <w:r>
              <w:rPr>
                <w:color w:val="000000"/>
                <w:sz w:val="24"/>
              </w:rPr>
              <w:t>20,128,000.00</w:t>
            </w:r>
          </w:p>
        </w:tc>
        <w:tc>
          <w:tcPr>
            <w:tcW w:w="1389" w:type="dxa"/>
            <w:vAlign w:val="center"/>
          </w:tcPr>
          <w:p w:rsidR="00A03222" w:rsidRDefault="006B0B1F">
            <w:pPr>
              <w:jc w:val="right"/>
            </w:pPr>
            <w:r>
              <w:rPr>
                <w:color w:val="000000"/>
                <w:sz w:val="24"/>
              </w:rPr>
              <w:t>3.26</w:t>
            </w:r>
          </w:p>
        </w:tc>
      </w:tr>
      <w:tr w:rsidR="00A03222">
        <w:trPr>
          <w:jc w:val="center"/>
        </w:trPr>
        <w:tc>
          <w:tcPr>
            <w:tcW w:w="1075" w:type="dxa"/>
            <w:vAlign w:val="center"/>
          </w:tcPr>
          <w:p w:rsidR="00A03222" w:rsidRDefault="006B0B1F">
            <w:pPr>
              <w:jc w:val="center"/>
            </w:pPr>
            <w:r>
              <w:rPr>
                <w:color w:val="000000"/>
                <w:sz w:val="24"/>
              </w:rPr>
              <w:t>5</w:t>
            </w:r>
          </w:p>
        </w:tc>
        <w:tc>
          <w:tcPr>
            <w:tcW w:w="1533" w:type="dxa"/>
            <w:vAlign w:val="center"/>
          </w:tcPr>
          <w:p w:rsidR="00A03222" w:rsidRDefault="006B0B1F">
            <w:pPr>
              <w:jc w:val="center"/>
            </w:pPr>
            <w:r>
              <w:rPr>
                <w:color w:val="000000"/>
                <w:sz w:val="24"/>
              </w:rPr>
              <w:t>011772011</w:t>
            </w:r>
          </w:p>
        </w:tc>
        <w:tc>
          <w:tcPr>
            <w:tcW w:w="1533" w:type="dxa"/>
            <w:vAlign w:val="center"/>
          </w:tcPr>
          <w:p w:rsidR="00A03222" w:rsidRDefault="006B0B1F">
            <w:pPr>
              <w:jc w:val="center"/>
            </w:pPr>
            <w:r>
              <w:rPr>
                <w:color w:val="000000"/>
                <w:sz w:val="24"/>
              </w:rPr>
              <w:t>17</w:t>
            </w:r>
            <w:r>
              <w:rPr>
                <w:color w:val="000000"/>
                <w:sz w:val="24"/>
              </w:rPr>
              <w:t>烟台港股</w:t>
            </w:r>
            <w:r>
              <w:rPr>
                <w:color w:val="000000"/>
                <w:sz w:val="24"/>
              </w:rPr>
              <w:t>SCP001</w:t>
            </w:r>
          </w:p>
        </w:tc>
        <w:tc>
          <w:tcPr>
            <w:tcW w:w="1394" w:type="dxa"/>
            <w:vAlign w:val="center"/>
          </w:tcPr>
          <w:p w:rsidR="00A03222" w:rsidRDefault="006B0B1F">
            <w:pPr>
              <w:jc w:val="right"/>
            </w:pPr>
            <w:r>
              <w:rPr>
                <w:color w:val="000000"/>
                <w:sz w:val="24"/>
              </w:rPr>
              <w:t>200,000</w:t>
            </w:r>
          </w:p>
        </w:tc>
        <w:tc>
          <w:tcPr>
            <w:tcW w:w="1944" w:type="dxa"/>
            <w:vAlign w:val="center"/>
          </w:tcPr>
          <w:p w:rsidR="00A03222" w:rsidRDefault="006B0B1F">
            <w:pPr>
              <w:jc w:val="right"/>
            </w:pPr>
            <w:r>
              <w:rPr>
                <w:color w:val="000000"/>
                <w:sz w:val="24"/>
              </w:rPr>
              <w:t>20,124,000.00</w:t>
            </w:r>
          </w:p>
        </w:tc>
        <w:tc>
          <w:tcPr>
            <w:tcW w:w="1389" w:type="dxa"/>
            <w:vAlign w:val="center"/>
          </w:tcPr>
          <w:p w:rsidR="00A03222" w:rsidRDefault="006B0B1F">
            <w:pPr>
              <w:jc w:val="right"/>
            </w:pPr>
            <w:r>
              <w:rPr>
                <w:color w:val="000000"/>
                <w:sz w:val="24"/>
              </w:rPr>
              <w:t>3.26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18,586.06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9,515,855.48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793.88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9,535,235.42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A03222">
        <w:trPr>
          <w:jc w:val="center"/>
        </w:trPr>
        <w:tc>
          <w:tcPr>
            <w:tcW w:w="0" w:type="auto"/>
            <w:vAlign w:val="center"/>
          </w:tcPr>
          <w:p w:rsidR="00A03222" w:rsidRDefault="006B0B1F">
            <w:pPr>
              <w:jc w:val="center"/>
            </w:pPr>
            <w:r>
              <w:rPr>
                <w:rFonts w:eastAsiaTheme="minorEastAsia"/>
                <w:color w:val="000000"/>
                <w:sz w:val="24"/>
              </w:rPr>
              <w:t>1</w:t>
            </w:r>
          </w:p>
        </w:tc>
        <w:tc>
          <w:tcPr>
            <w:tcW w:w="0" w:type="auto"/>
            <w:vAlign w:val="center"/>
          </w:tcPr>
          <w:p w:rsidR="00A03222" w:rsidRDefault="006B0B1F">
            <w:pPr>
              <w:jc w:val="center"/>
            </w:pPr>
            <w:r>
              <w:rPr>
                <w:rFonts w:eastAsiaTheme="minorEastAsia"/>
                <w:color w:val="000000"/>
                <w:sz w:val="24"/>
              </w:rPr>
              <w:t>113010</w:t>
            </w:r>
          </w:p>
        </w:tc>
        <w:tc>
          <w:tcPr>
            <w:tcW w:w="0" w:type="auto"/>
            <w:vAlign w:val="center"/>
          </w:tcPr>
          <w:p w:rsidR="00A03222" w:rsidRDefault="006B0B1F">
            <w:pPr>
              <w:jc w:val="center"/>
            </w:pPr>
            <w:r>
              <w:rPr>
                <w:rFonts w:eastAsiaTheme="minorEastAsia"/>
                <w:color w:val="000000"/>
                <w:sz w:val="24"/>
              </w:rPr>
              <w:t>江南转债</w:t>
            </w:r>
          </w:p>
        </w:tc>
        <w:tc>
          <w:tcPr>
            <w:tcW w:w="0" w:type="auto"/>
            <w:vAlign w:val="center"/>
          </w:tcPr>
          <w:p w:rsidR="00A03222" w:rsidRDefault="006B0B1F">
            <w:pPr>
              <w:jc w:val="right"/>
            </w:pPr>
            <w:r>
              <w:rPr>
                <w:rFonts w:eastAsiaTheme="minorEastAsia"/>
                <w:color w:val="000000"/>
                <w:sz w:val="24"/>
              </w:rPr>
              <w:t>685,212.00</w:t>
            </w:r>
          </w:p>
        </w:tc>
        <w:tc>
          <w:tcPr>
            <w:tcW w:w="0" w:type="auto"/>
            <w:vAlign w:val="center"/>
          </w:tcPr>
          <w:p w:rsidR="00A03222" w:rsidRDefault="006B0B1F">
            <w:pPr>
              <w:jc w:val="right"/>
            </w:pPr>
            <w:r>
              <w:rPr>
                <w:rFonts w:eastAsiaTheme="minorEastAsia"/>
                <w:color w:val="000000"/>
                <w:sz w:val="24"/>
              </w:rPr>
              <w:t>0.11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287,013,225.64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205,374,490.98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3,727,025.73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3,229,693.96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8,930.51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287,510,557.41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205,365,560.47</w:t>
            </w:r>
          </w:p>
        </w:tc>
      </w:tr>
    </w:tbl>
    <w:p w:rsidR="00A03222" w:rsidRDefault="006B0B1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lastRenderedPageBreak/>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03222">
        <w:tc>
          <w:tcPr>
            <w:tcW w:w="992" w:type="dxa"/>
          </w:tcPr>
          <w:p w:rsidR="00A03222" w:rsidRDefault="00A03222"/>
          <w:p w:rsidR="00A03222" w:rsidRDefault="006B0B1F">
            <w:r>
              <w:rPr>
                <w:rFonts w:ascii="宋体" w:hAnsi="宋体" w:hint="eastAsia"/>
                <w:bCs/>
                <w:color w:val="000000"/>
                <w:kern w:val="0"/>
                <w:szCs w:val="21"/>
              </w:rPr>
              <w:t>机构</w:t>
            </w:r>
          </w:p>
        </w:tc>
        <w:tc>
          <w:tcPr>
            <w:tcW w:w="991" w:type="dxa"/>
            <w:vAlign w:val="center"/>
          </w:tcPr>
          <w:p w:rsidR="00A03222" w:rsidRDefault="006B0B1F">
            <w:pPr>
              <w:jc w:val="center"/>
            </w:pPr>
            <w:r>
              <w:rPr>
                <w:rFonts w:ascii="宋体" w:hAnsi="宋体" w:hint="eastAsia"/>
                <w:color w:val="000000"/>
                <w:kern w:val="0"/>
                <w:szCs w:val="21"/>
              </w:rPr>
              <w:t>1</w:t>
            </w:r>
          </w:p>
        </w:tc>
        <w:tc>
          <w:tcPr>
            <w:tcW w:w="1843" w:type="dxa"/>
            <w:vAlign w:val="center"/>
          </w:tcPr>
          <w:p w:rsidR="00A03222" w:rsidRDefault="006B0B1F">
            <w:pPr>
              <w:jc w:val="center"/>
            </w:pPr>
            <w:r>
              <w:rPr>
                <w:rFonts w:ascii="宋体" w:hAnsi="宋体" w:hint="eastAsia"/>
                <w:color w:val="000000"/>
                <w:kern w:val="0"/>
                <w:szCs w:val="21"/>
              </w:rPr>
              <w:t>2017/10/1-2017/12/31</w:t>
            </w:r>
          </w:p>
        </w:tc>
        <w:tc>
          <w:tcPr>
            <w:tcW w:w="851" w:type="dxa"/>
            <w:vAlign w:val="center"/>
          </w:tcPr>
          <w:p w:rsidR="00A03222" w:rsidRDefault="006B0B1F">
            <w:pPr>
              <w:jc w:val="center"/>
            </w:pPr>
            <w:r>
              <w:rPr>
                <w:rFonts w:ascii="宋体" w:hAnsi="宋体" w:hint="eastAsia"/>
                <w:color w:val="000000"/>
                <w:kern w:val="0"/>
                <w:szCs w:val="21"/>
              </w:rPr>
              <w:t>460,456,585.75</w:t>
            </w:r>
          </w:p>
        </w:tc>
        <w:tc>
          <w:tcPr>
            <w:tcW w:w="850" w:type="dxa"/>
            <w:vAlign w:val="center"/>
          </w:tcPr>
          <w:p w:rsidR="00A03222" w:rsidRDefault="006B0B1F">
            <w:pPr>
              <w:jc w:val="center"/>
            </w:pPr>
            <w:r>
              <w:rPr>
                <w:rFonts w:ascii="宋体" w:hAnsi="宋体" w:hint="eastAsia"/>
                <w:color w:val="000000"/>
                <w:kern w:val="0"/>
                <w:szCs w:val="21"/>
              </w:rPr>
              <w:t>-</w:t>
            </w:r>
          </w:p>
        </w:tc>
        <w:tc>
          <w:tcPr>
            <w:tcW w:w="1134" w:type="dxa"/>
            <w:vAlign w:val="center"/>
          </w:tcPr>
          <w:p w:rsidR="00A03222" w:rsidRDefault="006B0B1F">
            <w:pPr>
              <w:jc w:val="center"/>
            </w:pPr>
            <w:r>
              <w:rPr>
                <w:rFonts w:ascii="宋体" w:hAnsi="宋体" w:hint="eastAsia"/>
                <w:color w:val="000000"/>
                <w:kern w:val="0"/>
                <w:szCs w:val="21"/>
              </w:rPr>
              <w:t>-</w:t>
            </w:r>
          </w:p>
        </w:tc>
        <w:tc>
          <w:tcPr>
            <w:tcW w:w="1419" w:type="dxa"/>
            <w:vAlign w:val="center"/>
          </w:tcPr>
          <w:p w:rsidR="00A03222" w:rsidRDefault="006B0B1F">
            <w:pPr>
              <w:jc w:val="center"/>
            </w:pPr>
            <w:r>
              <w:rPr>
                <w:rFonts w:ascii="宋体" w:hAnsi="宋体" w:hint="eastAsia"/>
                <w:color w:val="000000"/>
                <w:kern w:val="0"/>
                <w:szCs w:val="21"/>
              </w:rPr>
              <w:t>460,456,585.75</w:t>
            </w:r>
          </w:p>
        </w:tc>
        <w:tc>
          <w:tcPr>
            <w:tcW w:w="1130" w:type="dxa"/>
            <w:vAlign w:val="center"/>
          </w:tcPr>
          <w:p w:rsidR="00A03222" w:rsidRDefault="006B0B1F">
            <w:pPr>
              <w:jc w:val="center"/>
            </w:pPr>
            <w:r>
              <w:rPr>
                <w:rFonts w:ascii="宋体" w:hAnsi="宋体" w:hint="eastAsia"/>
                <w:color w:val="000000"/>
                <w:kern w:val="0"/>
                <w:szCs w:val="21"/>
              </w:rPr>
              <w:t>93.42%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03222" w:rsidRDefault="006B0B1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A03222" w:rsidRDefault="006B0B1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A03222" w:rsidRDefault="006B0B1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A03222" w:rsidRDefault="006B0B1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A03222" w:rsidRDefault="006B0B1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A03222" w:rsidRDefault="006B0B1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A03222" w:rsidRDefault="006B0B1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A03222" w:rsidRDefault="006B0B1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241" w:rsidRDefault="00AF7241">
      <w:r>
        <w:separator/>
      </w:r>
    </w:p>
  </w:endnote>
  <w:endnote w:type="continuationSeparator" w:id="0">
    <w:p w:rsidR="00AF7241" w:rsidRDefault="00AF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582408">
      <w:rPr>
        <w:noProof/>
        <w:kern w:val="0"/>
        <w:szCs w:val="21"/>
      </w:rPr>
      <w:t>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582408">
      <w:rPr>
        <w:noProof/>
        <w:kern w:val="0"/>
        <w:szCs w:val="21"/>
      </w:rPr>
      <w:t>15</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241" w:rsidRDefault="00AF7241">
      <w:r>
        <w:separator/>
      </w:r>
    </w:p>
  </w:footnote>
  <w:footnote w:type="continuationSeparator" w:id="0">
    <w:p w:rsidR="00AF7241" w:rsidRDefault="00AF7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AF724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408"/>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0B1F"/>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222"/>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241"/>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1D1A"/>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D280667D-A2B7-475E-881F-A85A23CC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BC10-C2E7-4C9D-8A96-F9AACEE4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196</TotalTime>
  <Pages>1</Pages>
  <Words>1232</Words>
  <Characters>7029</Characters>
  <Application>Microsoft Office Word</Application>
  <DocSecurity>0</DocSecurity>
  <Lines>58</Lines>
  <Paragraphs>16</Paragraphs>
  <ScaleCrop>false</ScaleCrop>
  <Company>TRT. Ltd. Co.</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372</cp:revision>
  <cp:lastPrinted>2007-07-19T00:46:00Z</cp:lastPrinted>
  <dcterms:created xsi:type="dcterms:W3CDTF">2014-01-17T06:19:00Z</dcterms:created>
  <dcterms:modified xsi:type="dcterms:W3CDTF">2018-01-18T05:40:00Z</dcterms:modified>
</cp:coreProperties>
</file>