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2017年第4季度报告</w:t>
      </w:r>
    </w:p>
    <w:p w:rsidR="004061AC" w:rsidRPr="0081286B" w:rsidRDefault="00655CD8" w:rsidP="00C15CAC">
      <w:pPr>
        <w:spacing w:before="29" w:line="288" w:lineRule="auto"/>
        <w:jc w:val="center"/>
        <w:rPr>
          <w:b/>
          <w:sz w:val="36"/>
          <w:szCs w:val="36"/>
        </w:rPr>
      </w:pPr>
      <w:r w:rsidRPr="0081286B">
        <w:rPr>
          <w:b/>
          <w:sz w:val="36"/>
          <w:szCs w:val="36"/>
        </w:rPr>
        <w:t>2017年12月31日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二〇一八年一月二十二日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基金托管人中国建设银行股份有限公司根据本基金合同规定，于2018年1月19日复核了本报告中的财务指标、净值表现和投资组合报告等内容，保证复核内容不存在虚假记载、误导性陈述或者重大遗漏。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本报告期自2017年10月1日起至12月31日止。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2007年8月8日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2,556,147,225.23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75%×中证100指数+25%×中证综合债券指数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(2017年10月1日-2017年12月31日)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93,609,128.88</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18,490,161.52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2,487,033,549.83</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0.9730</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0.75%</w:t>
            </w:r>
          </w:p>
        </w:tc>
        <w:tc>
          <w:tcPr>
            <w:vAlign w:val="center"/>
          </w:tcPr>
          <w:p>
            <w:pPr>
              <w:jc w:val="center"/>
            </w:pPr>
            <w:r>
              <w:rPr>
                <w:color w:val="000000"/>
                <w:sz w:val="24"/>
                <w:szCs w:val="24"/>
              </w:rPr>
              <w:t>0.68%</w:t>
            </w:r>
          </w:p>
        </w:tc>
        <w:tc>
          <w:tcPr>
            <w:vAlign w:val="center"/>
          </w:tcPr>
          <w:p>
            <w:pPr>
              <w:jc w:val="center"/>
            </w:pPr>
            <w:r>
              <w:rPr>
                <w:color w:val="000000"/>
                <w:sz w:val="24"/>
                <w:szCs w:val="24"/>
              </w:rPr>
              <w:t>6.06%</w:t>
            </w:r>
          </w:p>
        </w:tc>
        <w:tc>
          <w:tcPr>
            <w:vAlign w:val="center"/>
          </w:tcPr>
          <w:p>
            <w:pPr>
              <w:jc w:val="center"/>
            </w:pPr>
            <w:r>
              <w:rPr>
                <w:color w:val="000000"/>
                <w:sz w:val="24"/>
                <w:szCs w:val="24"/>
              </w:rPr>
              <w:t>0.68%</w:t>
            </w:r>
          </w:p>
        </w:tc>
        <w:tc>
          <w:tcPr>
            <w:vAlign w:val="center"/>
          </w:tcPr>
          <w:p>
            <w:pPr>
              <w:jc w:val="center"/>
            </w:pPr>
            <w:r>
              <w:rPr>
                <w:color w:val="000000"/>
                <w:sz w:val="24"/>
                <w:szCs w:val="24"/>
              </w:rPr>
              <w:t>-5.31%</w:t>
            </w:r>
          </w:p>
        </w:tc>
        <w:tc>
          <w:tcPr>
            <w:vAlign w:val="center"/>
          </w:tcPr>
          <w:p>
            <w:pPr>
              <w:jc w:val="center"/>
            </w:pPr>
            <w:r>
              <w:rPr>
                <w:color w:val="000000"/>
                <w:sz w:val="24"/>
                <w:szCs w:val="24"/>
              </w:rPr>
              <w:t>0.00%</w:t>
            </w:r>
          </w:p>
        </w:tc>
      </w:tr>
    </w:tbl>
    <w:p w:rsidR="004061AC" w:rsidRPr="00414345" w:rsidRDefault="003F39DF"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100指数+25%×中信全债指数”变更为“75%×中证100指数+25%×中证综合债券指数”，3.2.2同。详情见本基金管理人于2015年9月28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2007年8月8日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2017年12月31日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陈孜铎</w:t>
            </w:r>
          </w:p>
        </w:tc>
        <w:tc>
          <w:tcPr>
            <w:vAlign w:val="center"/>
          </w:tcPr>
          <w:p>
            <w:pPr>
              <w:jc w:val="center"/>
            </w:pPr>
            <w:r>
              <w:rPr>
                <w:color w:val="000000"/>
                <w:sz w:val="24"/>
                <w:szCs w:val="24"/>
              </w:rPr>
              <w:t>交银蓝筹混合的基金经理，公司研究部助理总经理</w:t>
            </w:r>
          </w:p>
        </w:tc>
        <w:tc>
          <w:tcPr>
            <w:vAlign w:val="center"/>
          </w:tcPr>
          <w:p>
            <w:pPr>
              <w:jc w:val="center"/>
            </w:pPr>
            <w:r>
              <w:rPr>
                <w:color w:val="000000"/>
                <w:sz w:val="24"/>
                <w:szCs w:val="24"/>
              </w:rPr>
              <w:t>2014-10-22</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陈孜铎先生，清华大学材料科学与工程硕士。2008年加入交银施罗德基金管理有限公司，历任行业分析师、高级研究员。</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2017年四季度整个A股市场呈现震荡调整走势，风格分化依然明显，白马消费价值成长龙头延续前述趋势继续向上，而市场大多数股票再次进入调整阶段。进入四季度随着十九大召开完毕，金融去杠杆进程进入下半场，金融体系资金价格水平明显提高，风险偏好下降。</w:t>
      </w:r>
    </w:p>
    <w:p>
      <w:pPr>
        <w:spacing w:before="29" w:line="288" w:lineRule="auto"/>
        <w:ind w:firstLineChars="200" w:firstLine="480"/>
        <w:rPr>
          <w:color w:val="000000"/>
          <w:sz w:val="24"/>
          <w:szCs w:val="24"/>
        </w:rPr>
      </w:pPr>
      <w:r>
        <w:rPr>
          <w:color w:val="000000"/>
          <w:sz w:val="24"/>
          <w:szCs w:val="24"/>
        </w:rPr>
        <w:t>在上述市场环境中，本基金在四季度相对稳健均衡，风格偏离度有所控制，整体录得小幅正收益。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2018年，十九大召开之后未来五年的发展方向得以奠定，中长期的市场发展方向将逐渐清晰。金融去杠杆进程进入下半场，短期内利率的上涨虽对市场有一定不利影响，但整体政治周期开启后市场逐步回归正常化，经济复苏的结构性转变螺旋向上。本基金会密切关注十九大之后中期方向性的指引以及产业的变化，为后续中长期投资奠定较好的基础。在上述的基本判断下，我们对中期市场更为乐观，配置上将更加稳健均衡，计划依然以增速与估值相对匹配、资产价值相对坚实的子行业与标的作为基础资产，在此基础上积极寻找向上的机会，在新兴产业、消费升级、价值股、优质成长股领域做一定布局。</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截至2017年12月31日，本基金份额净值为0.9730元，本报告期份额净值增长率为0.75%，同期业绩比较基准增长率为6.06%。</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1,995,422,921.72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79.43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1,995,422,921.72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79.43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124,212,300.00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124,212,300.00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255,502,003.25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10.17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129,534,510.41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5.16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7,586,391.37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2,512,258,126.75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35,849,044.00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41,071,000.00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1,107,563,496.43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144,387,573.38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193,326,948.00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7.77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47,030,748.67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290,892,208.00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106,125,000.00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28,682,196.40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32,323.20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428,297.68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1,995,422,921.72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80.23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002180</w:t>
            </w:r>
          </w:p>
        </w:tc>
        <w:tc>
          <w:tcPr>
            <w:vAlign w:val="center"/>
          </w:tcPr>
          <w:p>
            <w:pPr>
              <w:jc w:val="center"/>
            </w:pPr>
            <w:r>
              <w:rPr>
                <w:color w:val="000000"/>
                <w:sz w:val="24"/>
                <w:szCs w:val="24"/>
              </w:rPr>
              <w:t>纳思达</w:t>
            </w:r>
          </w:p>
        </w:tc>
        <w:tc>
          <w:tcPr>
            <w:vAlign w:val="center"/>
          </w:tcPr>
          <w:p>
            <w:pPr>
              <w:jc w:val="right"/>
            </w:pPr>
            <w:r>
              <w:rPr>
                <w:color w:val="000000"/>
                <w:sz w:val="24"/>
                <w:szCs w:val="24"/>
              </w:rPr>
              <w:t>7,300,000</w:t>
            </w:r>
          </w:p>
        </w:tc>
        <w:tc>
          <w:tcPr>
            <w:vAlign w:val="center"/>
          </w:tcPr>
          <w:p>
            <w:pPr>
              <w:jc w:val="right"/>
            </w:pPr>
            <w:r>
              <w:rPr>
                <w:color w:val="000000"/>
                <w:sz w:val="24"/>
                <w:szCs w:val="24"/>
              </w:rPr>
              <w:t>199,363,000.00</w:t>
            </w:r>
          </w:p>
        </w:tc>
        <w:tc>
          <w:tcPr>
            <w:vAlign w:val="center"/>
          </w:tcPr>
          <w:p>
            <w:pPr>
              <w:jc w:val="right"/>
            </w:pPr>
            <w:r>
              <w:rPr>
                <w:color w:val="000000"/>
                <w:sz w:val="24"/>
                <w:szCs w:val="24"/>
              </w:rPr>
              <w:t>8.02</w:t>
            </w:r>
          </w:p>
        </w:tc>
      </w:tr>
      <w:tr>
        <w:tc>
          <w:tcPr>
            <w:vAlign w:val="center"/>
          </w:tcPr>
          <w:p>
            <w:pPr>
              <w:jc w:val="center"/>
            </w:pPr>
            <w:r>
              <w:rPr>
                <w:color w:val="000000"/>
                <w:sz w:val="24"/>
                <w:szCs w:val="24"/>
              </w:rPr>
              <w:t>2</w:t>
            </w:r>
          </w:p>
        </w:tc>
        <w:tc>
          <w:tcPr>
            <w:vAlign w:val="center"/>
          </w:tcPr>
          <w:p>
            <w:pPr>
              <w:jc w:val="center"/>
            </w:pPr>
            <w:r>
              <w:rPr>
                <w:color w:val="000000"/>
                <w:sz w:val="24"/>
                <w:szCs w:val="24"/>
              </w:rPr>
              <w:t>300129</w:t>
            </w:r>
          </w:p>
        </w:tc>
        <w:tc>
          <w:tcPr>
            <w:vAlign w:val="center"/>
          </w:tcPr>
          <w:p>
            <w:pPr>
              <w:jc w:val="center"/>
            </w:pPr>
            <w:r>
              <w:rPr>
                <w:color w:val="000000"/>
                <w:sz w:val="24"/>
                <w:szCs w:val="24"/>
              </w:rPr>
              <w:t>泰胜风能</w:t>
            </w:r>
          </w:p>
        </w:tc>
        <w:tc>
          <w:tcPr>
            <w:vAlign w:val="center"/>
          </w:tcPr>
          <w:p>
            <w:pPr>
              <w:jc w:val="right"/>
            </w:pPr>
            <w:r>
              <w:rPr>
                <w:color w:val="000000"/>
                <w:sz w:val="24"/>
                <w:szCs w:val="24"/>
              </w:rPr>
              <w:t>16,813,190</w:t>
            </w:r>
          </w:p>
        </w:tc>
        <w:tc>
          <w:tcPr>
            <w:vAlign w:val="center"/>
          </w:tcPr>
          <w:p>
            <w:pPr>
              <w:jc w:val="right"/>
            </w:pPr>
            <w:r>
              <w:rPr>
                <w:color w:val="000000"/>
                <w:sz w:val="24"/>
                <w:szCs w:val="24"/>
              </w:rPr>
              <w:t>135,346,179.50</w:t>
            </w:r>
          </w:p>
        </w:tc>
        <w:tc>
          <w:tcPr>
            <w:vAlign w:val="center"/>
          </w:tcPr>
          <w:p>
            <w:pPr>
              <w:jc w:val="right"/>
            </w:pPr>
            <w:r>
              <w:rPr>
                <w:color w:val="000000"/>
                <w:sz w:val="24"/>
                <w:szCs w:val="24"/>
              </w:rPr>
              <w:t>5.44</w:t>
            </w:r>
          </w:p>
        </w:tc>
      </w:tr>
      <w:tr>
        <w:tc>
          <w:tcPr>
            <w:vAlign w:val="center"/>
          </w:tcPr>
          <w:p>
            <w:pPr>
              <w:jc w:val="center"/>
            </w:pPr>
            <w:r>
              <w:rPr>
                <w:color w:val="000000"/>
                <w:sz w:val="24"/>
                <w:szCs w:val="24"/>
              </w:rPr>
              <w:t>3</w:t>
            </w:r>
          </w:p>
        </w:tc>
        <w:tc>
          <w:tcPr>
            <w:vAlign w:val="center"/>
          </w:tcPr>
          <w:p>
            <w:pPr>
              <w:jc w:val="center"/>
            </w:pPr>
            <w:r>
              <w:rPr>
                <w:color w:val="000000"/>
                <w:sz w:val="24"/>
                <w:szCs w:val="24"/>
              </w:rPr>
              <w:t>300413</w:t>
            </w:r>
          </w:p>
        </w:tc>
        <w:tc>
          <w:tcPr>
            <w:vAlign w:val="center"/>
          </w:tcPr>
          <w:p>
            <w:pPr>
              <w:jc w:val="center"/>
            </w:pPr>
            <w:r>
              <w:rPr>
                <w:color w:val="000000"/>
                <w:sz w:val="24"/>
                <w:szCs w:val="24"/>
              </w:rPr>
              <w:t>快乐购</w:t>
            </w:r>
          </w:p>
        </w:tc>
        <w:tc>
          <w:tcPr>
            <w:vAlign w:val="center"/>
          </w:tcPr>
          <w:p>
            <w:pPr>
              <w:jc w:val="right"/>
            </w:pPr>
            <w:r>
              <w:rPr>
                <w:color w:val="000000"/>
                <w:sz w:val="24"/>
                <w:szCs w:val="24"/>
              </w:rPr>
              <w:t>4,207,638</w:t>
            </w:r>
          </w:p>
        </w:tc>
        <w:tc>
          <w:tcPr>
            <w:vAlign w:val="center"/>
          </w:tcPr>
          <w:p>
            <w:pPr>
              <w:jc w:val="right"/>
            </w:pPr>
            <w:r>
              <w:rPr>
                <w:color w:val="000000"/>
                <w:sz w:val="24"/>
                <w:szCs w:val="24"/>
              </w:rPr>
              <w:t>125,597,994.30</w:t>
            </w:r>
          </w:p>
        </w:tc>
        <w:tc>
          <w:tcPr>
            <w:vAlign w:val="center"/>
          </w:tcPr>
          <w:p>
            <w:pPr>
              <w:jc w:val="right"/>
            </w:pPr>
            <w:r>
              <w:rPr>
                <w:color w:val="000000"/>
                <w:sz w:val="24"/>
                <w:szCs w:val="24"/>
              </w:rPr>
              <w:t>5.05</w:t>
            </w:r>
          </w:p>
        </w:tc>
      </w:tr>
      <w:tr>
        <w:tc>
          <w:tcPr>
            <w:vAlign w:val="center"/>
          </w:tcPr>
          <w:p>
            <w:pPr>
              <w:jc w:val="center"/>
            </w:pPr>
            <w:r>
              <w:rPr>
                <w:color w:val="000000"/>
                <w:sz w:val="24"/>
                <w:szCs w:val="24"/>
              </w:rPr>
              <w:t>4</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20,000,000</w:t>
            </w:r>
          </w:p>
        </w:tc>
        <w:tc>
          <w:tcPr>
            <w:vAlign w:val="center"/>
          </w:tcPr>
          <w:p>
            <w:pPr>
              <w:jc w:val="right"/>
            </w:pPr>
            <w:r>
              <w:rPr>
                <w:color w:val="000000"/>
                <w:sz w:val="24"/>
                <w:szCs w:val="24"/>
              </w:rPr>
              <w:t>124,000,000.00</w:t>
            </w:r>
          </w:p>
        </w:tc>
        <w:tc>
          <w:tcPr>
            <w:vAlign w:val="center"/>
          </w:tcPr>
          <w:p>
            <w:pPr>
              <w:jc w:val="right"/>
            </w:pPr>
            <w:r>
              <w:rPr>
                <w:color w:val="000000"/>
                <w:sz w:val="24"/>
                <w:szCs w:val="24"/>
              </w:rPr>
              <w:t>4.99</w:t>
            </w:r>
          </w:p>
        </w:tc>
      </w:tr>
      <w:tr>
        <w:tc>
          <w:tcPr>
            <w:vAlign w:val="center"/>
          </w:tcPr>
          <w:p>
            <w:pPr>
              <w:jc w:val="center"/>
            </w:pPr>
            <w:r>
              <w:rPr>
                <w:color w:val="000000"/>
                <w:sz w:val="24"/>
                <w:szCs w:val="24"/>
              </w:rPr>
              <w:t>5</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7,500,000</w:t>
            </w:r>
          </w:p>
        </w:tc>
        <w:tc>
          <w:tcPr>
            <w:vAlign w:val="center"/>
          </w:tcPr>
          <w:p>
            <w:pPr>
              <w:jc w:val="right"/>
            </w:pPr>
            <w:r>
              <w:rPr>
                <w:color w:val="000000"/>
                <w:sz w:val="24"/>
                <w:szCs w:val="24"/>
              </w:rPr>
              <w:t>106,125,000.00</w:t>
            </w:r>
          </w:p>
        </w:tc>
        <w:tc>
          <w:tcPr>
            <w:vAlign w:val="center"/>
          </w:tcPr>
          <w:p>
            <w:pPr>
              <w:jc w:val="right"/>
            </w:pPr>
            <w:r>
              <w:rPr>
                <w:color w:val="000000"/>
                <w:sz w:val="24"/>
                <w:szCs w:val="24"/>
              </w:rPr>
              <w:t>4.27</w:t>
            </w:r>
          </w:p>
        </w:tc>
      </w:tr>
      <w:tr>
        <w:tc>
          <w:tcPr>
            <w:vAlign w:val="center"/>
          </w:tcPr>
          <w:p>
            <w:pPr>
              <w:jc w:val="center"/>
            </w:pPr>
            <w:r>
              <w:rPr>
                <w:color w:val="000000"/>
                <w:sz w:val="24"/>
                <w:szCs w:val="24"/>
              </w:rPr>
              <w:t>6</w:t>
            </w:r>
          </w:p>
        </w:tc>
        <w:tc>
          <w:tcPr>
            <w:vAlign w:val="center"/>
          </w:tcPr>
          <w:p>
            <w:pPr>
              <w:jc w:val="center"/>
            </w:pPr>
            <w:r>
              <w:rPr>
                <w:color w:val="000000"/>
                <w:sz w:val="24"/>
                <w:szCs w:val="24"/>
              </w:rPr>
              <w:t>601288</w:t>
            </w:r>
          </w:p>
        </w:tc>
        <w:tc>
          <w:tcPr>
            <w:vAlign w:val="center"/>
          </w:tcPr>
          <w:p>
            <w:pPr>
              <w:jc w:val="center"/>
            </w:pPr>
            <w:r>
              <w:rPr>
                <w:color w:val="000000"/>
                <w:sz w:val="24"/>
                <w:szCs w:val="24"/>
              </w:rPr>
              <w:t>农业银行</w:t>
            </w:r>
          </w:p>
        </w:tc>
        <w:tc>
          <w:tcPr>
            <w:vAlign w:val="center"/>
          </w:tcPr>
          <w:p>
            <w:pPr>
              <w:jc w:val="right"/>
            </w:pPr>
            <w:r>
              <w:rPr>
                <w:color w:val="000000"/>
                <w:sz w:val="24"/>
                <w:szCs w:val="24"/>
              </w:rPr>
              <w:t>27,000,000</w:t>
            </w:r>
          </w:p>
        </w:tc>
        <w:tc>
          <w:tcPr>
            <w:vAlign w:val="center"/>
          </w:tcPr>
          <w:p>
            <w:pPr>
              <w:jc w:val="right"/>
            </w:pPr>
            <w:r>
              <w:rPr>
                <w:color w:val="000000"/>
                <w:sz w:val="24"/>
                <w:szCs w:val="24"/>
              </w:rPr>
              <w:t>103,410,000.00</w:t>
            </w:r>
          </w:p>
        </w:tc>
        <w:tc>
          <w:tcPr>
            <w:vAlign w:val="center"/>
          </w:tcPr>
          <w:p>
            <w:pPr>
              <w:jc w:val="right"/>
            </w:pPr>
            <w:r>
              <w:rPr>
                <w:color w:val="000000"/>
                <w:sz w:val="24"/>
                <w:szCs w:val="24"/>
              </w:rPr>
              <w:t>4.16</w:t>
            </w:r>
          </w:p>
        </w:tc>
      </w:tr>
      <w:tr>
        <w:tc>
          <w:tcPr>
            <w:vAlign w:val="center"/>
          </w:tcPr>
          <w:p>
            <w:pPr>
              <w:jc w:val="center"/>
            </w:pPr>
            <w:r>
              <w:rPr>
                <w:color w:val="000000"/>
                <w:sz w:val="24"/>
                <w:szCs w:val="24"/>
              </w:rPr>
              <w:t>7</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850,570</w:t>
            </w:r>
          </w:p>
        </w:tc>
        <w:tc>
          <w:tcPr>
            <w:vAlign w:val="center"/>
          </w:tcPr>
          <w:p>
            <w:pPr>
              <w:jc w:val="right"/>
            </w:pPr>
            <w:r>
              <w:rPr>
                <w:color w:val="000000"/>
                <w:sz w:val="24"/>
                <w:szCs w:val="24"/>
              </w:rPr>
              <w:t>97,815,550.00</w:t>
            </w:r>
          </w:p>
        </w:tc>
        <w:tc>
          <w:tcPr>
            <w:vAlign w:val="center"/>
          </w:tcPr>
          <w:p>
            <w:pPr>
              <w:jc w:val="right"/>
            </w:pPr>
            <w:r>
              <w:rPr>
                <w:color w:val="000000"/>
                <w:sz w:val="24"/>
                <w:szCs w:val="24"/>
              </w:rPr>
              <w:t>3.93</w:t>
            </w:r>
          </w:p>
        </w:tc>
      </w:tr>
      <w:tr>
        <w:tc>
          <w:tcPr>
            <w:vAlign w:val="center"/>
          </w:tcPr>
          <w:p>
            <w:pPr>
              <w:jc w:val="center"/>
            </w:pPr>
            <w:r>
              <w:rPr>
                <w:color w:val="000000"/>
                <w:sz w:val="24"/>
                <w:szCs w:val="24"/>
              </w:rPr>
              <w:t>8</w:t>
            </w:r>
          </w:p>
        </w:tc>
        <w:tc>
          <w:tcPr>
            <w:vAlign w:val="center"/>
          </w:tcPr>
          <w:p>
            <w:pPr>
              <w:jc w:val="center"/>
            </w:pPr>
            <w:r>
              <w:rPr>
                <w:color w:val="000000"/>
                <w:sz w:val="24"/>
                <w:szCs w:val="24"/>
              </w:rPr>
              <w:t>000858</w:t>
            </w:r>
          </w:p>
        </w:tc>
        <w:tc>
          <w:tcPr>
            <w:vAlign w:val="center"/>
          </w:tcPr>
          <w:p>
            <w:pPr>
              <w:jc w:val="center"/>
            </w:pPr>
            <w:r>
              <w:rPr>
                <w:color w:val="000000"/>
                <w:sz w:val="24"/>
                <w:szCs w:val="24"/>
              </w:rPr>
              <w:t>五 粮 液</w:t>
            </w:r>
          </w:p>
        </w:tc>
        <w:tc>
          <w:tcPr>
            <w:vAlign w:val="center"/>
          </w:tcPr>
          <w:p>
            <w:pPr>
              <w:jc w:val="right"/>
            </w:pPr>
            <w:r>
              <w:rPr>
                <w:color w:val="000000"/>
                <w:sz w:val="24"/>
                <w:szCs w:val="24"/>
              </w:rPr>
              <w:t>1,200,000</w:t>
            </w:r>
          </w:p>
        </w:tc>
        <w:tc>
          <w:tcPr>
            <w:vAlign w:val="center"/>
          </w:tcPr>
          <w:p>
            <w:pPr>
              <w:jc w:val="right"/>
            </w:pPr>
            <w:r>
              <w:rPr>
                <w:color w:val="000000"/>
                <w:sz w:val="24"/>
                <w:szCs w:val="24"/>
              </w:rPr>
              <w:t>95,856,000.00</w:t>
            </w:r>
          </w:p>
        </w:tc>
        <w:tc>
          <w:tcPr>
            <w:vAlign w:val="center"/>
          </w:tcPr>
          <w:p>
            <w:pPr>
              <w:jc w:val="right"/>
            </w:pPr>
            <w:r>
              <w:rPr>
                <w:color w:val="000000"/>
                <w:sz w:val="24"/>
                <w:szCs w:val="24"/>
              </w:rPr>
              <w:t>3.85</w:t>
            </w:r>
          </w:p>
        </w:tc>
      </w:tr>
      <w:tr>
        <w:tc>
          <w:tcPr>
            <w:vAlign w:val="center"/>
          </w:tcPr>
          <w:p>
            <w:pPr>
              <w:jc w:val="center"/>
            </w:pPr>
            <w:r>
              <w:rPr>
                <w:color w:val="000000"/>
                <w:sz w:val="24"/>
                <w:szCs w:val="24"/>
              </w:rPr>
              <w:t>9</w:t>
            </w:r>
          </w:p>
        </w:tc>
        <w:tc>
          <w:tcPr>
            <w:vAlign w:val="center"/>
          </w:tcPr>
          <w:p>
            <w:pPr>
              <w:jc w:val="center"/>
            </w:pPr>
            <w:r>
              <w:rPr>
                <w:color w:val="000000"/>
                <w:sz w:val="24"/>
                <w:szCs w:val="24"/>
              </w:rPr>
              <w:t>000538</w:t>
            </w:r>
          </w:p>
        </w:tc>
        <w:tc>
          <w:tcPr>
            <w:vAlign w:val="center"/>
          </w:tcPr>
          <w:p>
            <w:pPr>
              <w:jc w:val="center"/>
            </w:pPr>
            <w:r>
              <w:rPr>
                <w:color w:val="000000"/>
                <w:sz w:val="24"/>
                <w:szCs w:val="24"/>
              </w:rPr>
              <w:t>云南白药</w:t>
            </w:r>
          </w:p>
        </w:tc>
        <w:tc>
          <w:tcPr>
            <w:vAlign w:val="center"/>
          </w:tcPr>
          <w:p>
            <w:pPr>
              <w:jc w:val="right"/>
            </w:pPr>
            <w:r>
              <w:rPr>
                <w:color w:val="000000"/>
                <w:sz w:val="24"/>
                <w:szCs w:val="24"/>
              </w:rPr>
              <w:t>900,963</w:t>
            </w:r>
          </w:p>
        </w:tc>
        <w:tc>
          <w:tcPr>
            <w:vAlign w:val="center"/>
          </w:tcPr>
          <w:p>
            <w:pPr>
              <w:jc w:val="right"/>
            </w:pPr>
            <w:r>
              <w:rPr>
                <w:color w:val="000000"/>
                <w:sz w:val="24"/>
                <w:szCs w:val="24"/>
              </w:rPr>
              <w:t>91,709,023.77</w:t>
            </w:r>
          </w:p>
        </w:tc>
        <w:tc>
          <w:tcPr>
            <w:vAlign w:val="center"/>
          </w:tcPr>
          <w:p>
            <w:pPr>
              <w:jc w:val="right"/>
            </w:pPr>
            <w:r>
              <w:rPr>
                <w:color w:val="000000"/>
                <w:sz w:val="24"/>
                <w:szCs w:val="24"/>
              </w:rPr>
              <w:t>3.69</w:t>
            </w:r>
          </w:p>
        </w:tc>
      </w:tr>
      <w:tr>
        <w:tc>
          <w:tcPr>
            <w:vAlign w:val="center"/>
          </w:tcPr>
          <w:p>
            <w:pPr>
              <w:jc w:val="center"/>
            </w:pPr>
            <w:r>
              <w:rPr>
                <w:color w:val="000000"/>
                <w:sz w:val="24"/>
                <w:szCs w:val="24"/>
              </w:rPr>
              <w:t>10</w:t>
            </w:r>
          </w:p>
        </w:tc>
        <w:tc>
          <w:tcPr>
            <w:vAlign w:val="center"/>
          </w:tcPr>
          <w:p>
            <w:pPr>
              <w:jc w:val="center"/>
            </w:pPr>
            <w:r>
              <w:rPr>
                <w:color w:val="000000"/>
                <w:sz w:val="24"/>
                <w:szCs w:val="24"/>
              </w:rPr>
              <w:t>002001</w:t>
            </w:r>
          </w:p>
        </w:tc>
        <w:tc>
          <w:tcPr>
            <w:vAlign w:val="center"/>
          </w:tcPr>
          <w:p>
            <w:pPr>
              <w:jc w:val="center"/>
            </w:pPr>
            <w:r>
              <w:rPr>
                <w:color w:val="000000"/>
                <w:sz w:val="24"/>
                <w:szCs w:val="24"/>
              </w:rPr>
              <w:t>新 和 成</w:t>
            </w:r>
          </w:p>
        </w:tc>
        <w:tc>
          <w:tcPr>
            <w:vAlign w:val="center"/>
          </w:tcPr>
          <w:p>
            <w:pPr>
              <w:jc w:val="right"/>
            </w:pPr>
            <w:r>
              <w:rPr>
                <w:color w:val="000000"/>
                <w:sz w:val="24"/>
                <w:szCs w:val="24"/>
              </w:rPr>
              <w:t>2,100,000</w:t>
            </w:r>
          </w:p>
        </w:tc>
        <w:tc>
          <w:tcPr>
            <w:vAlign w:val="center"/>
          </w:tcPr>
          <w:p>
            <w:pPr>
              <w:jc w:val="right"/>
            </w:pPr>
            <w:r>
              <w:rPr>
                <w:color w:val="000000"/>
                <w:sz w:val="24"/>
                <w:szCs w:val="24"/>
              </w:rPr>
              <w:t>79,926,000.00</w:t>
            </w:r>
          </w:p>
        </w:tc>
        <w:tc>
          <w:tcPr>
            <w:vAlign w:val="center"/>
          </w:tcPr>
          <w:p>
            <w:pPr>
              <w:jc w:val="right"/>
            </w:pPr>
            <w:r>
              <w:rPr>
                <w:color w:val="000000"/>
                <w:sz w:val="24"/>
                <w:szCs w:val="24"/>
              </w:rPr>
              <w:t>3.21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119,886,000.00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119,886,000.00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4,326,300.00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124,212,300.00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170203</w:t>
            </w:r>
          </w:p>
        </w:tc>
        <w:tc>
          <w:tcPr>
            <w:vAlign w:val="center"/>
          </w:tcPr>
          <w:p>
            <w:pPr>
              <w:jc w:val="center"/>
            </w:pPr>
            <w:r>
              <w:rPr>
                <w:color w:val="000000"/>
                <w:sz w:val="24"/>
                <w:szCs w:val="24"/>
              </w:rPr>
              <w:t>17国开03</w:t>
            </w:r>
          </w:p>
        </w:tc>
        <w:tc>
          <w:tcPr>
            <w:vAlign w:val="center"/>
          </w:tcPr>
          <w:p>
            <w:pPr>
              <w:jc w:val="right"/>
            </w:pPr>
            <w:r>
              <w:rPr>
                <w:color w:val="000000"/>
                <w:sz w:val="24"/>
                <w:szCs w:val="24"/>
              </w:rPr>
              <w:t>1,000,000</w:t>
            </w:r>
          </w:p>
        </w:tc>
        <w:tc>
          <w:tcPr>
            <w:vAlign w:val="center"/>
          </w:tcPr>
          <w:p>
            <w:pPr>
              <w:jc w:val="right"/>
            </w:pPr>
            <w:r>
              <w:rPr>
                <w:color w:val="000000"/>
                <w:sz w:val="24"/>
                <w:szCs w:val="24"/>
              </w:rPr>
              <w:t>99,930,000.00</w:t>
            </w:r>
          </w:p>
        </w:tc>
        <w:tc>
          <w:tcPr>
            <w:vAlign w:val="center"/>
          </w:tcPr>
          <w:p>
            <w:pPr>
              <w:jc w:val="right"/>
            </w:pPr>
            <w:r>
              <w:rPr>
                <w:color w:val="000000"/>
                <w:sz w:val="24"/>
                <w:szCs w:val="24"/>
              </w:rPr>
              <w:t>4.02</w:t>
            </w:r>
          </w:p>
        </w:tc>
      </w:tr>
      <w:tr>
        <w:tc>
          <w:tcPr>
            <w:vAlign w:val="center"/>
          </w:tcPr>
          <w:p>
            <w:pPr>
              <w:jc w:val="center"/>
            </w:pPr>
            <w:r>
              <w:rPr>
                <w:color w:val="000000"/>
                <w:sz w:val="24"/>
                <w:szCs w:val="24"/>
              </w:rPr>
              <w:t>2</w:t>
            </w:r>
          </w:p>
        </w:tc>
        <w:tc>
          <w:tcPr>
            <w:vAlign w:val="center"/>
          </w:tcPr>
          <w:p>
            <w:pPr>
              <w:jc w:val="center"/>
            </w:pPr>
            <w:r>
              <w:rPr>
                <w:color w:val="000000"/>
                <w:sz w:val="24"/>
                <w:szCs w:val="24"/>
              </w:rPr>
              <w:t>108601</w:t>
            </w:r>
          </w:p>
        </w:tc>
        <w:tc>
          <w:tcPr>
            <w:vAlign w:val="center"/>
          </w:tcPr>
          <w:p>
            <w:pPr>
              <w:jc w:val="center"/>
            </w:pPr>
            <w:r>
              <w:rPr>
                <w:color w:val="000000"/>
                <w:sz w:val="24"/>
                <w:szCs w:val="24"/>
              </w:rPr>
              <w:t>国开1703</w:t>
            </w:r>
          </w:p>
        </w:tc>
        <w:tc>
          <w:tcPr>
            <w:vAlign w:val="center"/>
          </w:tcPr>
          <w:p>
            <w:pPr>
              <w:jc w:val="right"/>
            </w:pPr>
            <w:r>
              <w:rPr>
                <w:color w:val="000000"/>
                <w:sz w:val="24"/>
                <w:szCs w:val="24"/>
              </w:rPr>
              <w:t>200,000</w:t>
            </w:r>
          </w:p>
        </w:tc>
        <w:tc>
          <w:tcPr>
            <w:vAlign w:val="center"/>
          </w:tcPr>
          <w:p>
            <w:pPr>
              <w:jc w:val="right"/>
            </w:pPr>
            <w:r>
              <w:rPr>
                <w:color w:val="000000"/>
                <w:sz w:val="24"/>
                <w:szCs w:val="24"/>
              </w:rPr>
              <w:t>19,956,000.00</w:t>
            </w:r>
          </w:p>
        </w:tc>
        <w:tc>
          <w:tcPr>
            <w:vAlign w:val="center"/>
          </w:tcPr>
          <w:p>
            <w:pPr>
              <w:jc w:val="right"/>
            </w:pPr>
            <w:r>
              <w:rPr>
                <w:color w:val="000000"/>
                <w:sz w:val="24"/>
                <w:szCs w:val="24"/>
              </w:rPr>
              <w:t>0.80</w:t>
            </w:r>
          </w:p>
        </w:tc>
      </w:tr>
      <w:tr>
        <w:tc>
          <w:tcPr>
            <w:vAlign w:val="center"/>
          </w:tcPr>
          <w:p>
            <w:pPr>
              <w:jc w:val="center"/>
            </w:pPr>
            <w:r>
              <w:rPr>
                <w:color w:val="000000"/>
                <w:sz w:val="24"/>
                <w:szCs w:val="24"/>
              </w:rPr>
              <w:t>3</w:t>
            </w:r>
          </w:p>
        </w:tc>
        <w:tc>
          <w:tcPr>
            <w:vAlign w:val="center"/>
          </w:tcPr>
          <w:p>
            <w:pPr>
              <w:jc w:val="center"/>
            </w:pPr>
            <w:r>
              <w:rPr>
                <w:color w:val="000000"/>
                <w:sz w:val="24"/>
                <w:szCs w:val="24"/>
              </w:rPr>
              <w:t>123004</w:t>
            </w:r>
          </w:p>
        </w:tc>
        <w:tc>
          <w:tcPr>
            <w:vAlign w:val="center"/>
          </w:tcPr>
          <w:p>
            <w:pPr>
              <w:jc w:val="center"/>
            </w:pPr>
            <w:r>
              <w:rPr>
                <w:color w:val="000000"/>
                <w:sz w:val="24"/>
                <w:szCs w:val="24"/>
              </w:rPr>
              <w:t>铁汉转债</w:t>
            </w:r>
          </w:p>
        </w:tc>
        <w:tc>
          <w:tcPr>
            <w:vAlign w:val="center"/>
          </w:tcPr>
          <w:p>
            <w:pPr>
              <w:jc w:val="right"/>
            </w:pPr>
            <w:r>
              <w:rPr>
                <w:color w:val="000000"/>
                <w:sz w:val="24"/>
                <w:szCs w:val="24"/>
              </w:rPr>
              <w:t>43,263</w:t>
            </w:r>
          </w:p>
        </w:tc>
        <w:tc>
          <w:tcPr>
            <w:vAlign w:val="center"/>
          </w:tcPr>
          <w:p>
            <w:pPr>
              <w:jc w:val="right"/>
            </w:pPr>
            <w:r>
              <w:rPr>
                <w:color w:val="000000"/>
                <w:sz w:val="24"/>
                <w:szCs w:val="24"/>
              </w:rPr>
              <w:t>4,326,300.00</w:t>
            </w:r>
          </w:p>
        </w:tc>
        <w:tc>
          <w:tcPr>
            <w:vAlign w:val="center"/>
          </w:tcPr>
          <w:p>
            <w:pPr>
              <w:jc w:val="right"/>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892,125.56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2,342,214.79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3,679,484.12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672,566.90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7,586,391.37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2,689,383,175.16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49,546,879.34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182,782,829.27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2,556,147,225.23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1、中国证监会批准交银施罗德蓝筹股票证券投资基金募集的文件； </w:t>
      </w:r>
    </w:p>
    <w:p>
      <w:pPr>
        <w:spacing w:before="29" w:line="288" w:lineRule="auto"/>
        <w:ind w:firstLineChars="200" w:firstLine="480"/>
        <w:rPr>
          <w:color w:val="000000"/>
          <w:sz w:val="24"/>
          <w:szCs w:val="24"/>
        </w:rPr>
      </w:pPr>
      <w:r>
        <w:rPr>
          <w:color w:val="000000"/>
          <w:sz w:val="24"/>
          <w:szCs w:val="24"/>
        </w:rPr>
        <w:t xml:space="preserve">2、《交银施罗德蓝筹混合型证券投资基金基金合同》； </w:t>
      </w:r>
    </w:p>
    <w:p>
      <w:pPr>
        <w:spacing w:before="29" w:line="288" w:lineRule="auto"/>
        <w:ind w:firstLineChars="200" w:firstLine="480"/>
        <w:rPr>
          <w:color w:val="000000"/>
          <w:sz w:val="24"/>
          <w:szCs w:val="24"/>
        </w:rPr>
      </w:pPr>
      <w:r>
        <w:rPr>
          <w:color w:val="000000"/>
          <w:sz w:val="24"/>
          <w:szCs w:val="24"/>
        </w:rPr>
        <w:t xml:space="preserve">3、《交银施罗德蓝筹混合型证券投资基金招募说明书》； </w:t>
      </w:r>
    </w:p>
    <w:p>
      <w:pPr>
        <w:spacing w:before="29" w:line="288" w:lineRule="auto"/>
        <w:ind w:firstLineChars="200" w:firstLine="480"/>
        <w:rPr>
          <w:color w:val="000000"/>
          <w:sz w:val="24"/>
          <w:szCs w:val="24"/>
        </w:rPr>
      </w:pPr>
      <w:r>
        <w:rPr>
          <w:color w:val="000000"/>
          <w:sz w:val="24"/>
          <w:szCs w:val="24"/>
        </w:rPr>
        <w:t xml:space="preserve">4、《交银施罗德蓝筹混合型证券投资基金托管协议》； </w:t>
      </w:r>
    </w:p>
    <w:p>
      <w:pPr>
        <w:spacing w:before="29" w:line="288" w:lineRule="auto"/>
        <w:ind w:firstLineChars="200" w:firstLine="480"/>
        <w:rPr>
          <w:color w:val="000000"/>
          <w:sz w:val="24"/>
          <w:szCs w:val="24"/>
        </w:rPr>
      </w:pPr>
      <w:r>
        <w:rPr>
          <w:color w:val="000000"/>
          <w:sz w:val="24"/>
          <w:szCs w:val="24"/>
        </w:rPr>
        <w:t xml:space="preserve">5、关于募集交银施罗德蓝筹股票证券投资基金之法律意见书； </w:t>
      </w:r>
    </w:p>
    <w:p>
      <w:pPr>
        <w:spacing w:before="29" w:line="288" w:lineRule="auto"/>
        <w:ind w:firstLineChars="200" w:firstLine="480"/>
        <w:rPr>
          <w:color w:val="000000"/>
          <w:sz w:val="24"/>
          <w:szCs w:val="24"/>
        </w:rPr>
      </w:pPr>
      <w:r>
        <w:rPr>
          <w:color w:val="000000"/>
          <w:sz w:val="24"/>
          <w:szCs w:val="24"/>
        </w:rPr>
        <w:t xml:space="preserve">6、基金管理人业务资格批件、营业执照； </w:t>
      </w:r>
    </w:p>
    <w:p>
      <w:pPr>
        <w:spacing w:before="29" w:line="288" w:lineRule="auto"/>
        <w:ind w:firstLineChars="200" w:firstLine="480"/>
        <w:rPr>
          <w:color w:val="000000"/>
          <w:sz w:val="24"/>
          <w:szCs w:val="24"/>
        </w:rPr>
      </w:pPr>
      <w:r>
        <w:rPr>
          <w:color w:val="000000"/>
          <w:sz w:val="24"/>
          <w:szCs w:val="24"/>
        </w:rPr>
        <w:t xml:space="preserve">7、基金托管人业务资格批件、营业执照；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