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proofErr w:type="gramStart"/>
      <w:r w:rsidRPr="006A23FB">
        <w:rPr>
          <w:b/>
          <w:sz w:val="36"/>
          <w:szCs w:val="36"/>
        </w:rPr>
        <w:t>交银施罗</w:t>
      </w:r>
      <w:proofErr w:type="gramEnd"/>
      <w:r w:rsidRPr="006A23FB">
        <w:rPr>
          <w:b/>
          <w:sz w:val="36"/>
          <w:szCs w:val="36"/>
        </w:rPr>
        <w:t>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2017</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2017</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二〇一八年一月二十二日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ED3DC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4E4EB3" w:rsidRDefault="002A0C6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E4EB3" w:rsidRDefault="002A0C69">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1</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E4EB3" w:rsidRDefault="002A0C6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E4EB3" w:rsidRDefault="002A0C69">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4E4EB3" w:rsidRDefault="002A0C69">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2017</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64,619,702.83</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w:t>
            </w:r>
            <w:proofErr w:type="gramStart"/>
            <w:r w:rsidRPr="008640AE">
              <w:rPr>
                <w:color w:val="000000"/>
                <w:kern w:val="0"/>
                <w:sz w:val="24"/>
              </w:rPr>
              <w:t>中盘指数</w:t>
            </w:r>
            <w:proofErr w:type="gramEnd"/>
            <w:r w:rsidRPr="008640AE">
              <w:rPr>
                <w:color w:val="000000"/>
                <w:kern w:val="0"/>
                <w:sz w:val="24"/>
              </w:rPr>
              <w:t xml:space="preserve">(S&amp;P Global </w:t>
            </w:r>
            <w:proofErr w:type="spellStart"/>
            <w:r w:rsidRPr="008640AE">
              <w:rPr>
                <w:color w:val="000000"/>
                <w:kern w:val="0"/>
                <w:sz w:val="24"/>
              </w:rPr>
              <w:t>LargeMidCap</w:t>
            </w:r>
            <w:proofErr w:type="spellEnd"/>
            <w:r w:rsidRPr="008640AE">
              <w:rPr>
                <w:color w:val="000000"/>
                <w:kern w:val="0"/>
                <w:sz w:val="24"/>
              </w:rPr>
              <w:t xml:space="preserve">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A0C69" w:rsidRPr="008640AE" w:rsidTr="002A0C69">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(2017</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-2017</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2A0C69" w:rsidRPr="008640AE" w:rsidTr="002A0C6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4,364,729.10</w:t>
            </w:r>
          </w:p>
        </w:tc>
      </w:tr>
      <w:tr w:rsidR="002A0C69" w:rsidRPr="008640AE" w:rsidTr="002A0C6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5,728,360.56</w:t>
            </w:r>
          </w:p>
        </w:tc>
      </w:tr>
      <w:tr w:rsidR="002A0C69" w:rsidRPr="008640AE" w:rsidTr="002A0C6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0.0883</w:t>
            </w:r>
          </w:p>
        </w:tc>
      </w:tr>
      <w:tr w:rsidR="002A0C69" w:rsidRPr="008640AE" w:rsidTr="002A0C6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121,139,671.12</w:t>
            </w:r>
          </w:p>
        </w:tc>
      </w:tr>
      <w:tr w:rsidR="002A0C69" w:rsidRPr="008640AE" w:rsidTr="002A0C69">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1.875</w:t>
            </w:r>
          </w:p>
        </w:tc>
      </w:tr>
    </w:tbl>
    <w:p w:rsidR="004E4EB3" w:rsidRDefault="002A0C6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w:t>
      </w:r>
      <w:proofErr w:type="gramStart"/>
      <w:r w:rsidRPr="008640AE">
        <w:rPr>
          <w:b/>
          <w:color w:val="000000"/>
          <w:kern w:val="0"/>
          <w:sz w:val="24"/>
        </w:rPr>
        <w:t>期基金</w:t>
      </w:r>
      <w:proofErr w:type="gramEnd"/>
      <w:r w:rsidRPr="008640AE">
        <w:rPr>
          <w:b/>
          <w:color w:val="000000"/>
          <w:kern w:val="0"/>
          <w:sz w:val="24"/>
        </w:rPr>
        <w:t>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4E4EB3">
        <w:trPr>
          <w:jc w:val="center"/>
        </w:trPr>
        <w:tc>
          <w:tcPr>
            <w:tcW w:w="1701" w:type="dxa"/>
            <w:vAlign w:val="center"/>
          </w:tcPr>
          <w:p w:rsidR="004E4EB3" w:rsidRDefault="002A0C69">
            <w:pPr>
              <w:jc w:val="left"/>
            </w:pPr>
            <w:r>
              <w:rPr>
                <w:color w:val="000000"/>
                <w:sz w:val="24"/>
              </w:rPr>
              <w:t>过去三个月</w:t>
            </w:r>
          </w:p>
        </w:tc>
        <w:tc>
          <w:tcPr>
            <w:tcW w:w="1194" w:type="dxa"/>
            <w:vAlign w:val="center"/>
          </w:tcPr>
          <w:p w:rsidR="004E4EB3" w:rsidRDefault="002A0C69">
            <w:pPr>
              <w:jc w:val="right"/>
            </w:pPr>
            <w:r>
              <w:rPr>
                <w:color w:val="000000"/>
                <w:sz w:val="24"/>
              </w:rPr>
              <w:t>4.98%</w:t>
            </w:r>
          </w:p>
        </w:tc>
        <w:tc>
          <w:tcPr>
            <w:tcW w:w="1194" w:type="dxa"/>
            <w:vAlign w:val="center"/>
          </w:tcPr>
          <w:p w:rsidR="004E4EB3" w:rsidRDefault="002A0C69">
            <w:pPr>
              <w:jc w:val="right"/>
            </w:pPr>
            <w:r>
              <w:rPr>
                <w:color w:val="000000"/>
                <w:sz w:val="24"/>
              </w:rPr>
              <w:t>0.55%</w:t>
            </w:r>
          </w:p>
        </w:tc>
        <w:tc>
          <w:tcPr>
            <w:tcW w:w="1194" w:type="dxa"/>
            <w:vAlign w:val="center"/>
          </w:tcPr>
          <w:p w:rsidR="004E4EB3" w:rsidRDefault="002A0C69">
            <w:pPr>
              <w:jc w:val="right"/>
            </w:pPr>
            <w:r>
              <w:rPr>
                <w:color w:val="000000"/>
                <w:sz w:val="24"/>
              </w:rPr>
              <w:t>6.41%</w:t>
            </w:r>
          </w:p>
        </w:tc>
        <w:tc>
          <w:tcPr>
            <w:tcW w:w="1343" w:type="dxa"/>
            <w:vAlign w:val="center"/>
          </w:tcPr>
          <w:p w:rsidR="004E4EB3" w:rsidRDefault="002A0C69">
            <w:pPr>
              <w:jc w:val="right"/>
            </w:pPr>
            <w:r>
              <w:rPr>
                <w:color w:val="000000"/>
                <w:sz w:val="24"/>
              </w:rPr>
              <w:t>0.41%</w:t>
            </w:r>
          </w:p>
        </w:tc>
        <w:tc>
          <w:tcPr>
            <w:tcW w:w="1194" w:type="dxa"/>
            <w:vAlign w:val="center"/>
          </w:tcPr>
          <w:p w:rsidR="004E4EB3" w:rsidRDefault="002A0C69">
            <w:pPr>
              <w:jc w:val="right"/>
            </w:pPr>
            <w:r>
              <w:rPr>
                <w:color w:val="000000"/>
                <w:sz w:val="24"/>
              </w:rPr>
              <w:t>-1.43%</w:t>
            </w:r>
          </w:p>
        </w:tc>
        <w:tc>
          <w:tcPr>
            <w:tcW w:w="1048" w:type="dxa"/>
            <w:vAlign w:val="center"/>
          </w:tcPr>
          <w:p w:rsidR="004E4EB3" w:rsidRDefault="002A0C69">
            <w:pPr>
              <w:jc w:val="right"/>
            </w:pPr>
            <w:r>
              <w:rPr>
                <w:color w:val="000000"/>
                <w:sz w:val="24"/>
              </w:rPr>
              <w:t>0.14%</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2017</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355CE" w:rsidP="005546C0">
      <w:pPr>
        <w:tabs>
          <w:tab w:val="left" w:pos="1800"/>
        </w:tabs>
        <w:spacing w:before="29" w:line="288" w:lineRule="auto"/>
        <w:jc w:val="center"/>
        <w:rPr>
          <w:color w:val="000000"/>
          <w:sz w:val="24"/>
        </w:rPr>
      </w:pPr>
      <w:r>
        <w:rPr>
          <w:noProof/>
          <w:color w:val="000000"/>
          <w:sz w:val="24"/>
        </w:rPr>
        <w:drawing>
          <wp:inline distT="0" distB="0" distL="0" distR="0" wp14:anchorId="55DC2655">
            <wp:extent cx="5638800" cy="32984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0521" cy="3305265"/>
                    </a:xfrm>
                    <a:prstGeom prst="rect">
                      <a:avLst/>
                    </a:prstGeom>
                    <a:noFill/>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4E4EB3">
        <w:trPr>
          <w:jc w:val="center"/>
        </w:trPr>
        <w:tc>
          <w:tcPr>
            <w:tcW w:w="846" w:type="dxa"/>
            <w:vAlign w:val="center"/>
          </w:tcPr>
          <w:p w:rsidR="004E4EB3" w:rsidRDefault="002A0C69">
            <w:pPr>
              <w:jc w:val="center"/>
            </w:pPr>
            <w:r>
              <w:rPr>
                <w:color w:val="000000"/>
                <w:sz w:val="24"/>
              </w:rPr>
              <w:t>陈俊华</w:t>
            </w:r>
          </w:p>
        </w:tc>
        <w:tc>
          <w:tcPr>
            <w:tcW w:w="845" w:type="dxa"/>
            <w:vAlign w:val="center"/>
          </w:tcPr>
          <w:p w:rsidR="004E4EB3" w:rsidRDefault="002A0C69">
            <w:pPr>
              <w:jc w:val="center"/>
            </w:pPr>
            <w:r>
              <w:rPr>
                <w:color w:val="000000"/>
                <w:sz w:val="24"/>
              </w:rPr>
              <w:t>交银环球精选混合</w:t>
            </w:r>
            <w:r>
              <w:rPr>
                <w:color w:val="000000"/>
                <w:sz w:val="24"/>
              </w:rPr>
              <w:t>(QDII)</w:t>
            </w:r>
            <w:r>
              <w:rPr>
                <w:color w:val="000000"/>
                <w:sz w:val="24"/>
              </w:rPr>
              <w:t>、交银全球资</w:t>
            </w:r>
            <w:r>
              <w:rPr>
                <w:color w:val="000000"/>
                <w:sz w:val="24"/>
              </w:rPr>
              <w:lastRenderedPageBreak/>
              <w:t>源混合</w:t>
            </w:r>
            <w:r>
              <w:rPr>
                <w:color w:val="000000"/>
                <w:sz w:val="24"/>
              </w:rPr>
              <w:t>(QDII)</w:t>
            </w:r>
            <w:r>
              <w:rPr>
                <w:color w:val="000000"/>
                <w:sz w:val="24"/>
              </w:rPr>
              <w:t>、交银沪港深价值精选混合的基金经理</w:t>
            </w:r>
          </w:p>
        </w:tc>
        <w:tc>
          <w:tcPr>
            <w:tcW w:w="1549" w:type="dxa"/>
            <w:vAlign w:val="center"/>
          </w:tcPr>
          <w:p w:rsidR="004E4EB3" w:rsidRDefault="002A0C69">
            <w:pPr>
              <w:jc w:val="center"/>
            </w:pPr>
            <w:r>
              <w:rPr>
                <w:color w:val="000000"/>
                <w:sz w:val="24"/>
              </w:rPr>
              <w:lastRenderedPageBreak/>
              <w:t>2015-11-21</w:t>
            </w:r>
          </w:p>
        </w:tc>
        <w:tc>
          <w:tcPr>
            <w:tcW w:w="1548" w:type="dxa"/>
            <w:vAlign w:val="center"/>
          </w:tcPr>
          <w:p w:rsidR="004E4EB3" w:rsidRDefault="002A0C69">
            <w:pPr>
              <w:jc w:val="center"/>
            </w:pPr>
            <w:r>
              <w:rPr>
                <w:color w:val="000000"/>
                <w:sz w:val="24"/>
              </w:rPr>
              <w:t>-</w:t>
            </w:r>
          </w:p>
        </w:tc>
        <w:tc>
          <w:tcPr>
            <w:tcW w:w="1407" w:type="dxa"/>
            <w:vAlign w:val="center"/>
          </w:tcPr>
          <w:p w:rsidR="004E4EB3" w:rsidRDefault="002A0C69">
            <w:pPr>
              <w:jc w:val="center"/>
            </w:pPr>
            <w:r>
              <w:rPr>
                <w:color w:val="000000"/>
                <w:sz w:val="24"/>
              </w:rPr>
              <w:t>12</w:t>
            </w:r>
            <w:r>
              <w:rPr>
                <w:color w:val="000000"/>
                <w:sz w:val="24"/>
              </w:rPr>
              <w:t>年</w:t>
            </w:r>
          </w:p>
        </w:tc>
        <w:tc>
          <w:tcPr>
            <w:tcW w:w="2673" w:type="dxa"/>
            <w:vAlign w:val="center"/>
          </w:tcPr>
          <w:p w:rsidR="004E4EB3" w:rsidRDefault="002A0C69">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4E4EB3">
        <w:trPr>
          <w:jc w:val="center"/>
        </w:trPr>
        <w:tc>
          <w:tcPr>
            <w:tcW w:w="846" w:type="dxa"/>
            <w:vAlign w:val="center"/>
          </w:tcPr>
          <w:p w:rsidR="004E4EB3" w:rsidRDefault="002A0C69">
            <w:pPr>
              <w:jc w:val="center"/>
            </w:pPr>
            <w:r>
              <w:rPr>
                <w:color w:val="000000"/>
                <w:sz w:val="24"/>
              </w:rPr>
              <w:t>周中</w:t>
            </w:r>
          </w:p>
        </w:tc>
        <w:tc>
          <w:tcPr>
            <w:tcW w:w="845" w:type="dxa"/>
            <w:vAlign w:val="center"/>
          </w:tcPr>
          <w:p w:rsidR="004E4EB3" w:rsidRDefault="002A0C69">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4E4EB3" w:rsidRDefault="002A0C69">
            <w:pPr>
              <w:jc w:val="center"/>
            </w:pPr>
            <w:r>
              <w:rPr>
                <w:color w:val="000000"/>
                <w:sz w:val="24"/>
              </w:rPr>
              <w:t>2015-12-12</w:t>
            </w:r>
          </w:p>
        </w:tc>
        <w:tc>
          <w:tcPr>
            <w:tcW w:w="1548" w:type="dxa"/>
            <w:vAlign w:val="center"/>
          </w:tcPr>
          <w:p w:rsidR="004E4EB3" w:rsidRDefault="002A0C69">
            <w:pPr>
              <w:jc w:val="center"/>
            </w:pPr>
            <w:r>
              <w:rPr>
                <w:color w:val="000000"/>
                <w:sz w:val="24"/>
              </w:rPr>
              <w:t>-</w:t>
            </w:r>
          </w:p>
        </w:tc>
        <w:tc>
          <w:tcPr>
            <w:tcW w:w="1407" w:type="dxa"/>
            <w:vAlign w:val="center"/>
          </w:tcPr>
          <w:p w:rsidR="004E4EB3" w:rsidRDefault="002A0C69">
            <w:pPr>
              <w:jc w:val="center"/>
            </w:pPr>
            <w:r>
              <w:rPr>
                <w:color w:val="000000"/>
                <w:sz w:val="24"/>
              </w:rPr>
              <w:t>8</w:t>
            </w:r>
            <w:r>
              <w:rPr>
                <w:color w:val="000000"/>
                <w:sz w:val="24"/>
              </w:rPr>
              <w:t>年</w:t>
            </w:r>
          </w:p>
        </w:tc>
        <w:tc>
          <w:tcPr>
            <w:tcW w:w="2673" w:type="dxa"/>
            <w:vAlign w:val="center"/>
          </w:tcPr>
          <w:p w:rsidR="004E4EB3" w:rsidRDefault="002A0C69">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4E4EB3">
        <w:trPr>
          <w:jc w:val="center"/>
        </w:trPr>
        <w:tc>
          <w:tcPr>
            <w:tcW w:w="2070" w:type="dxa"/>
            <w:vAlign w:val="center"/>
          </w:tcPr>
          <w:p w:rsidR="004E4EB3" w:rsidRDefault="002A0C69">
            <w:pPr>
              <w:jc w:val="center"/>
            </w:pPr>
            <w:r>
              <w:rPr>
                <w:color w:val="000000"/>
                <w:sz w:val="24"/>
              </w:rPr>
              <w:t>Simon Webber</w:t>
            </w:r>
          </w:p>
        </w:tc>
        <w:tc>
          <w:tcPr>
            <w:tcW w:w="2465" w:type="dxa"/>
            <w:vAlign w:val="center"/>
          </w:tcPr>
          <w:p w:rsidR="004E4EB3" w:rsidRDefault="002A0C69">
            <w:pPr>
              <w:jc w:val="center"/>
            </w:pPr>
            <w:r>
              <w:rPr>
                <w:color w:val="000000"/>
                <w:sz w:val="24"/>
              </w:rPr>
              <w:t>施罗德集团多区域（全球及国际）股票投资主管、全球和国际股票基金经理、全球气候变化股票基金经理</w:t>
            </w:r>
          </w:p>
        </w:tc>
        <w:tc>
          <w:tcPr>
            <w:tcW w:w="2116" w:type="dxa"/>
            <w:vAlign w:val="center"/>
          </w:tcPr>
          <w:p w:rsidR="004E4EB3" w:rsidRDefault="002A0C69">
            <w:pPr>
              <w:jc w:val="center"/>
            </w:pPr>
            <w:r>
              <w:rPr>
                <w:color w:val="000000"/>
                <w:sz w:val="24"/>
              </w:rPr>
              <w:t>18</w:t>
            </w:r>
            <w:r>
              <w:rPr>
                <w:color w:val="000000"/>
                <w:sz w:val="24"/>
              </w:rPr>
              <w:t>年</w:t>
            </w:r>
          </w:p>
        </w:tc>
        <w:tc>
          <w:tcPr>
            <w:tcW w:w="2217" w:type="dxa"/>
            <w:vAlign w:val="center"/>
          </w:tcPr>
          <w:p w:rsidR="004E4EB3" w:rsidRDefault="002A0C69">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4E4EB3" w:rsidRDefault="002A0C6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E4EB3" w:rsidRDefault="002A0C6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E4EB3" w:rsidRDefault="002A0C6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4E4EB3" w:rsidRDefault="002A0C69">
      <w:pPr>
        <w:spacing w:before="29" w:line="288" w:lineRule="auto"/>
        <w:ind w:firstLineChars="200" w:firstLine="480"/>
        <w:rPr>
          <w:color w:val="000000"/>
          <w:sz w:val="24"/>
        </w:rPr>
      </w:pPr>
      <w:r>
        <w:rPr>
          <w:color w:val="000000"/>
          <w:sz w:val="24"/>
        </w:rPr>
        <w:t>2017</w:t>
      </w:r>
      <w:r>
        <w:rPr>
          <w:color w:val="000000"/>
          <w:sz w:val="24"/>
        </w:rPr>
        <w:t>年四季度，全球资本市场震荡上行。在美国减税预期和欧洲</w:t>
      </w:r>
      <w:r>
        <w:rPr>
          <w:color w:val="000000"/>
          <w:sz w:val="24"/>
        </w:rPr>
        <w:t>QE</w:t>
      </w:r>
      <w:r>
        <w:rPr>
          <w:color w:val="000000"/>
          <w:sz w:val="24"/>
        </w:rPr>
        <w:t>退税预期推动下，海外市场震荡上行，美股创出历史新高。港股市场方面，获利了结心态驱动投资者交易增多，港股振幅加大。四季度，本基金继续取得正收益，我们认为主要源自优化持仓结构，通过选股获取一定绝对收益。</w:t>
      </w:r>
    </w:p>
    <w:p w:rsidR="004E4EB3" w:rsidRDefault="002A0C69">
      <w:pPr>
        <w:spacing w:before="29" w:line="288" w:lineRule="auto"/>
        <w:ind w:firstLineChars="200" w:firstLine="480"/>
        <w:rPr>
          <w:color w:val="000000"/>
          <w:sz w:val="24"/>
        </w:rPr>
      </w:pPr>
      <w:r>
        <w:rPr>
          <w:color w:val="000000"/>
          <w:sz w:val="24"/>
        </w:rPr>
        <w:t>四季度，本基金继续保持高仓位运行。在欧美市场，我们增加对通讯、工业板块的配置，减少科技、石油、汽车板块，调整金融板块持仓结构。在港股市场，我们增加在医药、消费领域投资，减少在能源、汽车板块的投资，调整了金融板块配置。</w:t>
      </w:r>
    </w:p>
    <w:p w:rsidR="00B0116D" w:rsidRPr="008640AE" w:rsidRDefault="00B0116D" w:rsidP="005546C0">
      <w:pPr>
        <w:spacing w:before="29" w:line="288" w:lineRule="auto"/>
        <w:ind w:firstLineChars="200" w:firstLine="480"/>
        <w:rPr>
          <w:color w:val="000000"/>
          <w:sz w:val="24"/>
        </w:rPr>
      </w:pPr>
      <w:r w:rsidRPr="008640AE">
        <w:rPr>
          <w:color w:val="000000"/>
          <w:sz w:val="24"/>
        </w:rPr>
        <w:lastRenderedPageBreak/>
        <w:t>展望</w:t>
      </w:r>
      <w:r w:rsidRPr="008640AE">
        <w:rPr>
          <w:color w:val="000000"/>
          <w:sz w:val="24"/>
        </w:rPr>
        <w:t>2018</w:t>
      </w:r>
      <w:r w:rsidRPr="008640AE">
        <w:rPr>
          <w:color w:val="000000"/>
          <w:sz w:val="24"/>
        </w:rPr>
        <w:t>年，我们对海外市场呈谨慎乐观态度。美国减税对实体经济和资金配置的正面影响将在</w:t>
      </w:r>
      <w:r w:rsidRPr="008640AE">
        <w:rPr>
          <w:color w:val="000000"/>
          <w:sz w:val="24"/>
        </w:rPr>
        <w:t>2018</w:t>
      </w:r>
      <w:r w:rsidRPr="008640AE">
        <w:rPr>
          <w:color w:val="000000"/>
          <w:sz w:val="24"/>
        </w:rPr>
        <w:t>年逐步释放</w:t>
      </w:r>
      <w:r w:rsidRPr="008640AE">
        <w:rPr>
          <w:color w:val="000000"/>
          <w:sz w:val="24"/>
        </w:rPr>
        <w:t>,</w:t>
      </w:r>
      <w:r w:rsidRPr="008640AE">
        <w:rPr>
          <w:color w:val="000000"/>
          <w:sz w:val="24"/>
        </w:rPr>
        <w:t>经济复苏仍在进行中，投资者将更加关注企业的业绩兑现，我们将更多关注工业和消费领域的复苏进展。港股方面，我们仍对金融、科技板块保持乐观态度，并积极看好消费升级和供应链扩展的领域。总体而言，在整体资金面趋紧难松的背景下，我们会更多关注基本面的确定性以及估值的安全边际。我们仍坚持自下而上精选个股，继续勤勉积极地深入调研，努力地为投资者赚取稳健的投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2017</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1.875</w:t>
      </w:r>
      <w:r w:rsidRPr="008640AE">
        <w:rPr>
          <w:color w:val="000000"/>
          <w:sz w:val="24"/>
        </w:rPr>
        <w:t>元，本报告期份额净值增长率为</w:t>
      </w:r>
      <w:r w:rsidRPr="008640AE">
        <w:rPr>
          <w:color w:val="000000"/>
          <w:sz w:val="24"/>
        </w:rPr>
        <w:t>4.98%</w:t>
      </w:r>
      <w:r w:rsidRPr="008640AE">
        <w:rPr>
          <w:color w:val="000000"/>
          <w:sz w:val="24"/>
        </w:rPr>
        <w:t>，同期业绩比较基准增长率为</w:t>
      </w:r>
      <w:r w:rsidRPr="008640AE">
        <w:rPr>
          <w:color w:val="000000"/>
          <w:sz w:val="24"/>
        </w:rPr>
        <w:t>6.41%</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110,741,034.83</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90.53</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108,718,738.61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88.88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2,022,296.22</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1.65</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w:t>
            </w:r>
            <w:r w:rsidRPr="008640AE">
              <w:rPr>
                <w:color w:val="000000"/>
                <w:sz w:val="24"/>
              </w:rPr>
              <w:lastRenderedPageBreak/>
              <w:t>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lastRenderedPageBreak/>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11,168,166.57</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9.13</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409,508.91</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0.33</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122,318,710.31</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4E4EB3">
        <w:trPr>
          <w:jc w:val="center"/>
        </w:trPr>
        <w:tc>
          <w:tcPr>
            <w:tcW w:w="2484" w:type="dxa"/>
            <w:vAlign w:val="center"/>
          </w:tcPr>
          <w:p w:rsidR="004E4EB3" w:rsidRDefault="002A0C69">
            <w:pPr>
              <w:jc w:val="left"/>
            </w:pPr>
            <w:r>
              <w:rPr>
                <w:color w:val="000000"/>
                <w:sz w:val="24"/>
              </w:rPr>
              <w:t>美国</w:t>
            </w:r>
          </w:p>
        </w:tc>
        <w:tc>
          <w:tcPr>
            <w:tcW w:w="3214" w:type="dxa"/>
            <w:vAlign w:val="center"/>
          </w:tcPr>
          <w:p w:rsidR="004E4EB3" w:rsidRDefault="002A0C69">
            <w:pPr>
              <w:jc w:val="right"/>
            </w:pPr>
            <w:r>
              <w:rPr>
                <w:color w:val="000000"/>
                <w:sz w:val="24"/>
              </w:rPr>
              <w:t>54,831,676.35</w:t>
            </w:r>
          </w:p>
        </w:tc>
        <w:tc>
          <w:tcPr>
            <w:tcW w:w="3170" w:type="dxa"/>
            <w:vAlign w:val="center"/>
          </w:tcPr>
          <w:p w:rsidR="004E4EB3" w:rsidRDefault="002A0C69">
            <w:pPr>
              <w:jc w:val="right"/>
            </w:pPr>
            <w:r>
              <w:rPr>
                <w:color w:val="000000"/>
                <w:sz w:val="24"/>
              </w:rPr>
              <w:t>45.26</w:t>
            </w:r>
          </w:p>
        </w:tc>
      </w:tr>
      <w:tr w:rsidR="004E4EB3">
        <w:trPr>
          <w:jc w:val="center"/>
        </w:trPr>
        <w:tc>
          <w:tcPr>
            <w:tcW w:w="2484" w:type="dxa"/>
            <w:vAlign w:val="center"/>
          </w:tcPr>
          <w:p w:rsidR="004E4EB3" w:rsidRDefault="002A0C69">
            <w:pPr>
              <w:jc w:val="left"/>
            </w:pPr>
            <w:r>
              <w:rPr>
                <w:color w:val="000000"/>
                <w:sz w:val="24"/>
              </w:rPr>
              <w:t>香港</w:t>
            </w:r>
          </w:p>
        </w:tc>
        <w:tc>
          <w:tcPr>
            <w:tcW w:w="3214" w:type="dxa"/>
            <w:vAlign w:val="center"/>
          </w:tcPr>
          <w:p w:rsidR="004E4EB3" w:rsidRDefault="002A0C69">
            <w:pPr>
              <w:jc w:val="right"/>
            </w:pPr>
            <w:r>
              <w:rPr>
                <w:color w:val="000000"/>
                <w:sz w:val="24"/>
              </w:rPr>
              <w:t>29,165,233.02</w:t>
            </w:r>
          </w:p>
        </w:tc>
        <w:tc>
          <w:tcPr>
            <w:tcW w:w="3170" w:type="dxa"/>
            <w:vAlign w:val="center"/>
          </w:tcPr>
          <w:p w:rsidR="004E4EB3" w:rsidRDefault="002A0C69">
            <w:pPr>
              <w:jc w:val="right"/>
            </w:pPr>
            <w:r>
              <w:rPr>
                <w:color w:val="000000"/>
                <w:sz w:val="24"/>
              </w:rPr>
              <w:t>24.08</w:t>
            </w:r>
          </w:p>
        </w:tc>
      </w:tr>
      <w:tr w:rsidR="004E4EB3">
        <w:trPr>
          <w:jc w:val="center"/>
        </w:trPr>
        <w:tc>
          <w:tcPr>
            <w:tcW w:w="2484" w:type="dxa"/>
            <w:vAlign w:val="center"/>
          </w:tcPr>
          <w:p w:rsidR="004E4EB3" w:rsidRDefault="002A0C69">
            <w:pPr>
              <w:jc w:val="left"/>
            </w:pPr>
            <w:r>
              <w:rPr>
                <w:color w:val="000000"/>
                <w:sz w:val="24"/>
              </w:rPr>
              <w:t>日本</w:t>
            </w:r>
          </w:p>
        </w:tc>
        <w:tc>
          <w:tcPr>
            <w:tcW w:w="3214" w:type="dxa"/>
            <w:vAlign w:val="center"/>
          </w:tcPr>
          <w:p w:rsidR="004E4EB3" w:rsidRDefault="002A0C69">
            <w:pPr>
              <w:jc w:val="right"/>
            </w:pPr>
            <w:r>
              <w:rPr>
                <w:color w:val="000000"/>
                <w:sz w:val="24"/>
              </w:rPr>
              <w:t>6,283,198.23</w:t>
            </w:r>
          </w:p>
        </w:tc>
        <w:tc>
          <w:tcPr>
            <w:tcW w:w="3170" w:type="dxa"/>
            <w:vAlign w:val="center"/>
          </w:tcPr>
          <w:p w:rsidR="004E4EB3" w:rsidRDefault="002A0C69">
            <w:pPr>
              <w:jc w:val="right"/>
            </w:pPr>
            <w:r>
              <w:rPr>
                <w:color w:val="000000"/>
                <w:sz w:val="24"/>
              </w:rPr>
              <w:t>5.19</w:t>
            </w:r>
          </w:p>
        </w:tc>
      </w:tr>
      <w:tr w:rsidR="004E4EB3">
        <w:trPr>
          <w:jc w:val="center"/>
        </w:trPr>
        <w:tc>
          <w:tcPr>
            <w:tcW w:w="2484" w:type="dxa"/>
            <w:vAlign w:val="center"/>
          </w:tcPr>
          <w:p w:rsidR="004E4EB3" w:rsidRDefault="002A0C69">
            <w:pPr>
              <w:jc w:val="left"/>
            </w:pPr>
            <w:r>
              <w:rPr>
                <w:color w:val="000000"/>
                <w:sz w:val="24"/>
              </w:rPr>
              <w:t>德国</w:t>
            </w:r>
          </w:p>
        </w:tc>
        <w:tc>
          <w:tcPr>
            <w:tcW w:w="3214" w:type="dxa"/>
            <w:vAlign w:val="center"/>
          </w:tcPr>
          <w:p w:rsidR="004E4EB3" w:rsidRDefault="002A0C69">
            <w:pPr>
              <w:jc w:val="right"/>
            </w:pPr>
            <w:r>
              <w:rPr>
                <w:color w:val="000000"/>
                <w:sz w:val="24"/>
              </w:rPr>
              <w:t>4,998,944.27</w:t>
            </w:r>
          </w:p>
        </w:tc>
        <w:tc>
          <w:tcPr>
            <w:tcW w:w="3170" w:type="dxa"/>
            <w:vAlign w:val="center"/>
          </w:tcPr>
          <w:p w:rsidR="004E4EB3" w:rsidRDefault="002A0C69">
            <w:pPr>
              <w:jc w:val="right"/>
            </w:pPr>
            <w:r>
              <w:rPr>
                <w:color w:val="000000"/>
                <w:sz w:val="24"/>
              </w:rPr>
              <w:t>4.13</w:t>
            </w:r>
          </w:p>
        </w:tc>
      </w:tr>
      <w:tr w:rsidR="004E4EB3">
        <w:trPr>
          <w:jc w:val="center"/>
        </w:trPr>
        <w:tc>
          <w:tcPr>
            <w:tcW w:w="2484" w:type="dxa"/>
            <w:vAlign w:val="center"/>
          </w:tcPr>
          <w:p w:rsidR="004E4EB3" w:rsidRDefault="002A0C69">
            <w:pPr>
              <w:jc w:val="left"/>
            </w:pPr>
            <w:r>
              <w:rPr>
                <w:color w:val="000000"/>
                <w:sz w:val="24"/>
              </w:rPr>
              <w:t>法国</w:t>
            </w:r>
          </w:p>
        </w:tc>
        <w:tc>
          <w:tcPr>
            <w:tcW w:w="3214" w:type="dxa"/>
            <w:vAlign w:val="center"/>
          </w:tcPr>
          <w:p w:rsidR="004E4EB3" w:rsidRDefault="002A0C69">
            <w:pPr>
              <w:jc w:val="right"/>
            </w:pPr>
            <w:r>
              <w:rPr>
                <w:color w:val="000000"/>
                <w:sz w:val="24"/>
              </w:rPr>
              <w:t>2,965,750.26</w:t>
            </w:r>
          </w:p>
        </w:tc>
        <w:tc>
          <w:tcPr>
            <w:tcW w:w="3170" w:type="dxa"/>
            <w:vAlign w:val="center"/>
          </w:tcPr>
          <w:p w:rsidR="004E4EB3" w:rsidRDefault="002A0C69">
            <w:pPr>
              <w:jc w:val="right"/>
            </w:pPr>
            <w:r>
              <w:rPr>
                <w:color w:val="000000"/>
                <w:sz w:val="24"/>
              </w:rPr>
              <w:t>2.45</w:t>
            </w:r>
          </w:p>
        </w:tc>
      </w:tr>
      <w:tr w:rsidR="004E4EB3">
        <w:trPr>
          <w:jc w:val="center"/>
        </w:trPr>
        <w:tc>
          <w:tcPr>
            <w:tcW w:w="2484" w:type="dxa"/>
            <w:vAlign w:val="center"/>
          </w:tcPr>
          <w:p w:rsidR="004E4EB3" w:rsidRDefault="002A0C69">
            <w:pPr>
              <w:jc w:val="left"/>
            </w:pPr>
            <w:r>
              <w:rPr>
                <w:color w:val="000000"/>
                <w:sz w:val="24"/>
              </w:rPr>
              <w:t>加拿大</w:t>
            </w:r>
          </w:p>
        </w:tc>
        <w:tc>
          <w:tcPr>
            <w:tcW w:w="3214" w:type="dxa"/>
            <w:vAlign w:val="center"/>
          </w:tcPr>
          <w:p w:rsidR="004E4EB3" w:rsidRDefault="002A0C69">
            <w:pPr>
              <w:jc w:val="right"/>
            </w:pPr>
            <w:r>
              <w:rPr>
                <w:color w:val="000000"/>
                <w:sz w:val="24"/>
              </w:rPr>
              <w:t>2,697,173.82</w:t>
            </w:r>
          </w:p>
        </w:tc>
        <w:tc>
          <w:tcPr>
            <w:tcW w:w="3170" w:type="dxa"/>
            <w:vAlign w:val="center"/>
          </w:tcPr>
          <w:p w:rsidR="004E4EB3" w:rsidRDefault="002A0C69">
            <w:pPr>
              <w:jc w:val="right"/>
            </w:pPr>
            <w:r>
              <w:rPr>
                <w:color w:val="000000"/>
                <w:sz w:val="24"/>
              </w:rPr>
              <w:t>2.23</w:t>
            </w:r>
          </w:p>
        </w:tc>
      </w:tr>
      <w:tr w:rsidR="004E4EB3">
        <w:trPr>
          <w:jc w:val="center"/>
        </w:trPr>
        <w:tc>
          <w:tcPr>
            <w:tcW w:w="2484" w:type="dxa"/>
            <w:vAlign w:val="center"/>
          </w:tcPr>
          <w:p w:rsidR="004E4EB3" w:rsidRDefault="002A0C69">
            <w:pPr>
              <w:jc w:val="left"/>
            </w:pPr>
            <w:r>
              <w:rPr>
                <w:color w:val="000000"/>
                <w:sz w:val="24"/>
              </w:rPr>
              <w:t>荷兰</w:t>
            </w:r>
          </w:p>
        </w:tc>
        <w:tc>
          <w:tcPr>
            <w:tcW w:w="3214" w:type="dxa"/>
            <w:vAlign w:val="center"/>
          </w:tcPr>
          <w:p w:rsidR="004E4EB3" w:rsidRDefault="002A0C69">
            <w:pPr>
              <w:jc w:val="right"/>
            </w:pPr>
            <w:r>
              <w:rPr>
                <w:color w:val="000000"/>
                <w:sz w:val="24"/>
              </w:rPr>
              <w:t>1,990,178.34</w:t>
            </w:r>
          </w:p>
        </w:tc>
        <w:tc>
          <w:tcPr>
            <w:tcW w:w="3170" w:type="dxa"/>
            <w:vAlign w:val="center"/>
          </w:tcPr>
          <w:p w:rsidR="004E4EB3" w:rsidRDefault="002A0C69">
            <w:pPr>
              <w:jc w:val="right"/>
            </w:pPr>
            <w:r>
              <w:rPr>
                <w:color w:val="000000"/>
                <w:sz w:val="24"/>
              </w:rPr>
              <w:t>1.64</w:t>
            </w:r>
          </w:p>
        </w:tc>
      </w:tr>
      <w:tr w:rsidR="004E4EB3">
        <w:trPr>
          <w:jc w:val="center"/>
        </w:trPr>
        <w:tc>
          <w:tcPr>
            <w:tcW w:w="2484" w:type="dxa"/>
            <w:vAlign w:val="center"/>
          </w:tcPr>
          <w:p w:rsidR="004E4EB3" w:rsidRDefault="002A0C69">
            <w:pPr>
              <w:jc w:val="left"/>
            </w:pPr>
            <w:r>
              <w:rPr>
                <w:color w:val="000000"/>
                <w:sz w:val="24"/>
              </w:rPr>
              <w:t>瑞士</w:t>
            </w:r>
          </w:p>
        </w:tc>
        <w:tc>
          <w:tcPr>
            <w:tcW w:w="3214" w:type="dxa"/>
            <w:vAlign w:val="center"/>
          </w:tcPr>
          <w:p w:rsidR="004E4EB3" w:rsidRDefault="002A0C69">
            <w:pPr>
              <w:jc w:val="right"/>
            </w:pPr>
            <w:r>
              <w:rPr>
                <w:color w:val="000000"/>
                <w:sz w:val="24"/>
              </w:rPr>
              <w:t>1,673,447.05</w:t>
            </w:r>
          </w:p>
        </w:tc>
        <w:tc>
          <w:tcPr>
            <w:tcW w:w="3170" w:type="dxa"/>
            <w:vAlign w:val="center"/>
          </w:tcPr>
          <w:p w:rsidR="004E4EB3" w:rsidRDefault="002A0C69">
            <w:pPr>
              <w:jc w:val="right"/>
            </w:pPr>
            <w:r>
              <w:rPr>
                <w:color w:val="000000"/>
                <w:sz w:val="24"/>
              </w:rPr>
              <w:t>1.38</w:t>
            </w:r>
          </w:p>
        </w:tc>
      </w:tr>
      <w:tr w:rsidR="004E4EB3">
        <w:trPr>
          <w:jc w:val="center"/>
        </w:trPr>
        <w:tc>
          <w:tcPr>
            <w:tcW w:w="2484" w:type="dxa"/>
            <w:vAlign w:val="center"/>
          </w:tcPr>
          <w:p w:rsidR="004E4EB3" w:rsidRDefault="002A0C69">
            <w:pPr>
              <w:jc w:val="left"/>
            </w:pPr>
            <w:r>
              <w:rPr>
                <w:color w:val="000000"/>
                <w:sz w:val="24"/>
              </w:rPr>
              <w:t>英国</w:t>
            </w:r>
          </w:p>
        </w:tc>
        <w:tc>
          <w:tcPr>
            <w:tcW w:w="3214" w:type="dxa"/>
            <w:vAlign w:val="center"/>
          </w:tcPr>
          <w:p w:rsidR="004E4EB3" w:rsidRDefault="002A0C69">
            <w:pPr>
              <w:jc w:val="right"/>
            </w:pPr>
            <w:r>
              <w:rPr>
                <w:color w:val="000000"/>
                <w:sz w:val="24"/>
              </w:rPr>
              <w:t>1,425,909.21</w:t>
            </w:r>
          </w:p>
        </w:tc>
        <w:tc>
          <w:tcPr>
            <w:tcW w:w="3170" w:type="dxa"/>
            <w:vAlign w:val="center"/>
          </w:tcPr>
          <w:p w:rsidR="004E4EB3" w:rsidRDefault="002A0C69">
            <w:pPr>
              <w:jc w:val="right"/>
            </w:pPr>
            <w:r>
              <w:rPr>
                <w:color w:val="000000"/>
                <w:sz w:val="24"/>
              </w:rPr>
              <w:t>1.18</w:t>
            </w:r>
          </w:p>
        </w:tc>
      </w:tr>
      <w:tr w:rsidR="004E4EB3">
        <w:trPr>
          <w:jc w:val="center"/>
        </w:trPr>
        <w:tc>
          <w:tcPr>
            <w:tcW w:w="2484" w:type="dxa"/>
            <w:vAlign w:val="center"/>
          </w:tcPr>
          <w:p w:rsidR="004E4EB3" w:rsidRDefault="002A0C69">
            <w:pPr>
              <w:jc w:val="left"/>
            </w:pPr>
            <w:r>
              <w:rPr>
                <w:color w:val="000000"/>
                <w:sz w:val="24"/>
              </w:rPr>
              <w:t>泰国</w:t>
            </w:r>
          </w:p>
        </w:tc>
        <w:tc>
          <w:tcPr>
            <w:tcW w:w="3214" w:type="dxa"/>
            <w:vAlign w:val="center"/>
          </w:tcPr>
          <w:p w:rsidR="004E4EB3" w:rsidRDefault="002A0C69">
            <w:pPr>
              <w:jc w:val="right"/>
            </w:pPr>
            <w:r>
              <w:rPr>
                <w:color w:val="000000"/>
                <w:sz w:val="24"/>
              </w:rPr>
              <w:t>1,097,645.05</w:t>
            </w:r>
          </w:p>
        </w:tc>
        <w:tc>
          <w:tcPr>
            <w:tcW w:w="3170" w:type="dxa"/>
            <w:vAlign w:val="center"/>
          </w:tcPr>
          <w:p w:rsidR="004E4EB3" w:rsidRDefault="002A0C69">
            <w:pPr>
              <w:jc w:val="right"/>
            </w:pPr>
            <w:r>
              <w:rPr>
                <w:color w:val="000000"/>
                <w:sz w:val="24"/>
              </w:rPr>
              <w:t>0.91</w:t>
            </w:r>
          </w:p>
        </w:tc>
      </w:tr>
      <w:tr w:rsidR="004E4EB3">
        <w:trPr>
          <w:jc w:val="center"/>
        </w:trPr>
        <w:tc>
          <w:tcPr>
            <w:tcW w:w="2484" w:type="dxa"/>
            <w:vAlign w:val="center"/>
          </w:tcPr>
          <w:p w:rsidR="004E4EB3" w:rsidRDefault="002A0C69">
            <w:pPr>
              <w:jc w:val="left"/>
            </w:pPr>
            <w:r>
              <w:rPr>
                <w:color w:val="000000"/>
                <w:sz w:val="24"/>
              </w:rPr>
              <w:t>芬兰</w:t>
            </w:r>
          </w:p>
        </w:tc>
        <w:tc>
          <w:tcPr>
            <w:tcW w:w="3214" w:type="dxa"/>
            <w:vAlign w:val="center"/>
          </w:tcPr>
          <w:p w:rsidR="004E4EB3" w:rsidRDefault="002A0C69">
            <w:pPr>
              <w:jc w:val="right"/>
            </w:pPr>
            <w:r>
              <w:rPr>
                <w:color w:val="000000"/>
                <w:sz w:val="24"/>
              </w:rPr>
              <w:t>985,656.27</w:t>
            </w:r>
          </w:p>
        </w:tc>
        <w:tc>
          <w:tcPr>
            <w:tcW w:w="3170" w:type="dxa"/>
            <w:vAlign w:val="center"/>
          </w:tcPr>
          <w:p w:rsidR="004E4EB3" w:rsidRDefault="002A0C69">
            <w:pPr>
              <w:jc w:val="right"/>
            </w:pPr>
            <w:r>
              <w:rPr>
                <w:color w:val="000000"/>
                <w:sz w:val="24"/>
              </w:rPr>
              <w:t>0.81</w:t>
            </w:r>
          </w:p>
        </w:tc>
      </w:tr>
      <w:tr w:rsidR="004E4EB3">
        <w:trPr>
          <w:jc w:val="center"/>
        </w:trPr>
        <w:tc>
          <w:tcPr>
            <w:tcW w:w="2484" w:type="dxa"/>
            <w:vAlign w:val="center"/>
          </w:tcPr>
          <w:p w:rsidR="004E4EB3" w:rsidRDefault="002A0C69">
            <w:pPr>
              <w:jc w:val="left"/>
            </w:pPr>
            <w:r>
              <w:rPr>
                <w:color w:val="000000"/>
                <w:sz w:val="24"/>
              </w:rPr>
              <w:t>新加坡</w:t>
            </w:r>
          </w:p>
        </w:tc>
        <w:tc>
          <w:tcPr>
            <w:tcW w:w="3214" w:type="dxa"/>
            <w:vAlign w:val="center"/>
          </w:tcPr>
          <w:p w:rsidR="004E4EB3" w:rsidRDefault="002A0C69">
            <w:pPr>
              <w:jc w:val="right"/>
            </w:pPr>
            <w:r>
              <w:rPr>
                <w:color w:val="000000"/>
                <w:sz w:val="24"/>
              </w:rPr>
              <w:t>939,579.67</w:t>
            </w:r>
          </w:p>
        </w:tc>
        <w:tc>
          <w:tcPr>
            <w:tcW w:w="3170" w:type="dxa"/>
            <w:vAlign w:val="center"/>
          </w:tcPr>
          <w:p w:rsidR="004E4EB3" w:rsidRDefault="002A0C69">
            <w:pPr>
              <w:jc w:val="right"/>
            </w:pPr>
            <w:r>
              <w:rPr>
                <w:color w:val="000000"/>
                <w:sz w:val="24"/>
              </w:rPr>
              <w:t>0.78</w:t>
            </w:r>
          </w:p>
        </w:tc>
      </w:tr>
      <w:tr w:rsidR="004E4EB3">
        <w:trPr>
          <w:jc w:val="center"/>
        </w:trPr>
        <w:tc>
          <w:tcPr>
            <w:tcW w:w="2484" w:type="dxa"/>
            <w:vAlign w:val="center"/>
          </w:tcPr>
          <w:p w:rsidR="004E4EB3" w:rsidRDefault="002A0C69">
            <w:pPr>
              <w:jc w:val="left"/>
            </w:pPr>
            <w:r>
              <w:rPr>
                <w:color w:val="000000"/>
                <w:sz w:val="24"/>
              </w:rPr>
              <w:t>巴西</w:t>
            </w:r>
          </w:p>
        </w:tc>
        <w:tc>
          <w:tcPr>
            <w:tcW w:w="3214" w:type="dxa"/>
            <w:vAlign w:val="center"/>
          </w:tcPr>
          <w:p w:rsidR="004E4EB3" w:rsidRDefault="002A0C69">
            <w:pPr>
              <w:jc w:val="right"/>
            </w:pPr>
            <w:r>
              <w:rPr>
                <w:color w:val="000000"/>
                <w:sz w:val="24"/>
              </w:rPr>
              <w:t>901,269.07</w:t>
            </w:r>
          </w:p>
        </w:tc>
        <w:tc>
          <w:tcPr>
            <w:tcW w:w="3170" w:type="dxa"/>
            <w:vAlign w:val="center"/>
          </w:tcPr>
          <w:p w:rsidR="004E4EB3" w:rsidRDefault="002A0C69">
            <w:pPr>
              <w:jc w:val="right"/>
            </w:pPr>
            <w:r>
              <w:rPr>
                <w:color w:val="000000"/>
                <w:sz w:val="24"/>
              </w:rPr>
              <w:t>0.74</w:t>
            </w:r>
          </w:p>
        </w:tc>
      </w:tr>
      <w:tr w:rsidR="004E4EB3">
        <w:trPr>
          <w:jc w:val="center"/>
        </w:trPr>
        <w:tc>
          <w:tcPr>
            <w:tcW w:w="2484" w:type="dxa"/>
            <w:vAlign w:val="center"/>
          </w:tcPr>
          <w:p w:rsidR="004E4EB3" w:rsidRDefault="002A0C69">
            <w:pPr>
              <w:jc w:val="left"/>
            </w:pPr>
            <w:r>
              <w:rPr>
                <w:color w:val="000000"/>
                <w:sz w:val="24"/>
              </w:rPr>
              <w:t>意大利</w:t>
            </w:r>
          </w:p>
        </w:tc>
        <w:tc>
          <w:tcPr>
            <w:tcW w:w="3214" w:type="dxa"/>
            <w:vAlign w:val="center"/>
          </w:tcPr>
          <w:p w:rsidR="004E4EB3" w:rsidRDefault="002A0C69">
            <w:pPr>
              <w:jc w:val="right"/>
            </w:pPr>
            <w:r>
              <w:rPr>
                <w:color w:val="000000"/>
                <w:sz w:val="24"/>
              </w:rPr>
              <w:t>785,374.22</w:t>
            </w:r>
          </w:p>
        </w:tc>
        <w:tc>
          <w:tcPr>
            <w:tcW w:w="3170" w:type="dxa"/>
            <w:vAlign w:val="center"/>
          </w:tcPr>
          <w:p w:rsidR="004E4EB3" w:rsidRDefault="002A0C69">
            <w:pPr>
              <w:jc w:val="right"/>
            </w:pPr>
            <w:r>
              <w:rPr>
                <w:color w:val="000000"/>
                <w:sz w:val="24"/>
              </w:rPr>
              <w:t>0.65</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110,741,034.83</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91.42</w:t>
            </w:r>
          </w:p>
        </w:tc>
      </w:tr>
    </w:tbl>
    <w:p w:rsidR="004E4EB3" w:rsidRDefault="002A0C6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4E4EB3">
        <w:trPr>
          <w:jc w:val="center"/>
        </w:trPr>
        <w:tc>
          <w:tcPr>
            <w:tcW w:w="2904" w:type="dxa"/>
            <w:vAlign w:val="center"/>
          </w:tcPr>
          <w:p w:rsidR="004E4EB3" w:rsidRDefault="002A0C69">
            <w:pPr>
              <w:jc w:val="left"/>
            </w:pPr>
            <w:r>
              <w:rPr>
                <w:color w:val="000000"/>
                <w:sz w:val="24"/>
              </w:rPr>
              <w:t>信息技术</w:t>
            </w:r>
          </w:p>
        </w:tc>
        <w:tc>
          <w:tcPr>
            <w:tcW w:w="2657" w:type="dxa"/>
            <w:vAlign w:val="center"/>
          </w:tcPr>
          <w:p w:rsidR="004E4EB3" w:rsidRDefault="002A0C69">
            <w:pPr>
              <w:jc w:val="right"/>
            </w:pPr>
            <w:r>
              <w:rPr>
                <w:color w:val="000000"/>
                <w:sz w:val="24"/>
              </w:rPr>
              <w:t>26,078,255.29</w:t>
            </w:r>
          </w:p>
        </w:tc>
        <w:tc>
          <w:tcPr>
            <w:tcW w:w="3307" w:type="dxa"/>
            <w:vAlign w:val="center"/>
          </w:tcPr>
          <w:p w:rsidR="004E4EB3" w:rsidRDefault="002A0C69">
            <w:pPr>
              <w:jc w:val="right"/>
            </w:pPr>
            <w:r>
              <w:rPr>
                <w:color w:val="000000"/>
                <w:sz w:val="24"/>
              </w:rPr>
              <w:t>21.53</w:t>
            </w:r>
          </w:p>
        </w:tc>
      </w:tr>
      <w:tr w:rsidR="004E4EB3">
        <w:trPr>
          <w:jc w:val="center"/>
        </w:trPr>
        <w:tc>
          <w:tcPr>
            <w:tcW w:w="2904" w:type="dxa"/>
            <w:vAlign w:val="center"/>
          </w:tcPr>
          <w:p w:rsidR="004E4EB3" w:rsidRDefault="002A0C69">
            <w:pPr>
              <w:jc w:val="left"/>
            </w:pPr>
            <w:r>
              <w:rPr>
                <w:color w:val="000000"/>
                <w:sz w:val="24"/>
              </w:rPr>
              <w:t>金融</w:t>
            </w:r>
          </w:p>
        </w:tc>
        <w:tc>
          <w:tcPr>
            <w:tcW w:w="2657" w:type="dxa"/>
            <w:vAlign w:val="center"/>
          </w:tcPr>
          <w:p w:rsidR="004E4EB3" w:rsidRDefault="002A0C69">
            <w:pPr>
              <w:jc w:val="right"/>
            </w:pPr>
            <w:r>
              <w:rPr>
                <w:color w:val="000000"/>
                <w:sz w:val="24"/>
              </w:rPr>
              <w:t>18,430,273.04</w:t>
            </w:r>
          </w:p>
        </w:tc>
        <w:tc>
          <w:tcPr>
            <w:tcW w:w="3307" w:type="dxa"/>
            <w:vAlign w:val="center"/>
          </w:tcPr>
          <w:p w:rsidR="004E4EB3" w:rsidRDefault="002A0C69">
            <w:pPr>
              <w:jc w:val="right"/>
            </w:pPr>
            <w:r>
              <w:rPr>
                <w:color w:val="000000"/>
                <w:sz w:val="24"/>
              </w:rPr>
              <w:t>15.21</w:t>
            </w:r>
          </w:p>
        </w:tc>
      </w:tr>
      <w:tr w:rsidR="004E4EB3">
        <w:trPr>
          <w:jc w:val="center"/>
        </w:trPr>
        <w:tc>
          <w:tcPr>
            <w:tcW w:w="2904" w:type="dxa"/>
            <w:vAlign w:val="center"/>
          </w:tcPr>
          <w:p w:rsidR="004E4EB3" w:rsidRDefault="002A0C69">
            <w:pPr>
              <w:jc w:val="left"/>
            </w:pPr>
            <w:r>
              <w:rPr>
                <w:color w:val="000000"/>
                <w:sz w:val="24"/>
              </w:rPr>
              <w:t>非必需消费品</w:t>
            </w:r>
          </w:p>
        </w:tc>
        <w:tc>
          <w:tcPr>
            <w:tcW w:w="2657" w:type="dxa"/>
            <w:vAlign w:val="center"/>
          </w:tcPr>
          <w:p w:rsidR="004E4EB3" w:rsidRDefault="002A0C69">
            <w:pPr>
              <w:jc w:val="right"/>
            </w:pPr>
            <w:r>
              <w:rPr>
                <w:color w:val="000000"/>
                <w:sz w:val="24"/>
              </w:rPr>
              <w:t>14,794,999.08</w:t>
            </w:r>
          </w:p>
        </w:tc>
        <w:tc>
          <w:tcPr>
            <w:tcW w:w="3307" w:type="dxa"/>
            <w:vAlign w:val="center"/>
          </w:tcPr>
          <w:p w:rsidR="004E4EB3" w:rsidRDefault="002A0C69">
            <w:pPr>
              <w:jc w:val="right"/>
            </w:pPr>
            <w:r>
              <w:rPr>
                <w:color w:val="000000"/>
                <w:sz w:val="24"/>
              </w:rPr>
              <w:t>12.21</w:t>
            </w:r>
          </w:p>
        </w:tc>
      </w:tr>
      <w:tr w:rsidR="004E4EB3">
        <w:trPr>
          <w:jc w:val="center"/>
        </w:trPr>
        <w:tc>
          <w:tcPr>
            <w:tcW w:w="2904" w:type="dxa"/>
            <w:vAlign w:val="center"/>
          </w:tcPr>
          <w:p w:rsidR="004E4EB3" w:rsidRDefault="002A0C69">
            <w:pPr>
              <w:jc w:val="left"/>
            </w:pPr>
            <w:r>
              <w:rPr>
                <w:color w:val="000000"/>
                <w:sz w:val="24"/>
              </w:rPr>
              <w:lastRenderedPageBreak/>
              <w:t>工业</w:t>
            </w:r>
          </w:p>
        </w:tc>
        <w:tc>
          <w:tcPr>
            <w:tcW w:w="2657" w:type="dxa"/>
            <w:vAlign w:val="center"/>
          </w:tcPr>
          <w:p w:rsidR="004E4EB3" w:rsidRDefault="002A0C69">
            <w:pPr>
              <w:jc w:val="right"/>
            </w:pPr>
            <w:r>
              <w:rPr>
                <w:color w:val="000000"/>
                <w:sz w:val="24"/>
              </w:rPr>
              <w:t>12,681,327.45</w:t>
            </w:r>
          </w:p>
        </w:tc>
        <w:tc>
          <w:tcPr>
            <w:tcW w:w="3307" w:type="dxa"/>
            <w:vAlign w:val="center"/>
          </w:tcPr>
          <w:p w:rsidR="004E4EB3" w:rsidRDefault="002A0C69">
            <w:pPr>
              <w:jc w:val="right"/>
            </w:pPr>
            <w:r>
              <w:rPr>
                <w:color w:val="000000"/>
                <w:sz w:val="24"/>
              </w:rPr>
              <w:t>10.47</w:t>
            </w:r>
          </w:p>
        </w:tc>
      </w:tr>
      <w:tr w:rsidR="004E4EB3">
        <w:trPr>
          <w:jc w:val="center"/>
        </w:trPr>
        <w:tc>
          <w:tcPr>
            <w:tcW w:w="2904" w:type="dxa"/>
            <w:vAlign w:val="center"/>
          </w:tcPr>
          <w:p w:rsidR="004E4EB3" w:rsidRDefault="002A0C69">
            <w:pPr>
              <w:jc w:val="left"/>
            </w:pPr>
            <w:r>
              <w:rPr>
                <w:color w:val="000000"/>
                <w:sz w:val="24"/>
              </w:rPr>
              <w:t>保健</w:t>
            </w:r>
          </w:p>
        </w:tc>
        <w:tc>
          <w:tcPr>
            <w:tcW w:w="2657" w:type="dxa"/>
            <w:vAlign w:val="center"/>
          </w:tcPr>
          <w:p w:rsidR="004E4EB3" w:rsidRDefault="002A0C69">
            <w:pPr>
              <w:jc w:val="right"/>
            </w:pPr>
            <w:r>
              <w:rPr>
                <w:color w:val="000000"/>
                <w:sz w:val="24"/>
              </w:rPr>
              <w:t>12,292,378.77</w:t>
            </w:r>
          </w:p>
        </w:tc>
        <w:tc>
          <w:tcPr>
            <w:tcW w:w="3307" w:type="dxa"/>
            <w:vAlign w:val="center"/>
          </w:tcPr>
          <w:p w:rsidR="004E4EB3" w:rsidRDefault="002A0C69">
            <w:pPr>
              <w:jc w:val="right"/>
            </w:pPr>
            <w:r>
              <w:rPr>
                <w:color w:val="000000"/>
                <w:sz w:val="24"/>
              </w:rPr>
              <w:t>10.15</w:t>
            </w:r>
          </w:p>
        </w:tc>
      </w:tr>
      <w:tr w:rsidR="004E4EB3">
        <w:trPr>
          <w:jc w:val="center"/>
        </w:trPr>
        <w:tc>
          <w:tcPr>
            <w:tcW w:w="2904" w:type="dxa"/>
            <w:vAlign w:val="center"/>
          </w:tcPr>
          <w:p w:rsidR="004E4EB3" w:rsidRDefault="002A0C69">
            <w:pPr>
              <w:jc w:val="left"/>
            </w:pPr>
            <w:r>
              <w:rPr>
                <w:color w:val="000000"/>
                <w:sz w:val="24"/>
              </w:rPr>
              <w:t>材料</w:t>
            </w:r>
          </w:p>
        </w:tc>
        <w:tc>
          <w:tcPr>
            <w:tcW w:w="2657" w:type="dxa"/>
            <w:vAlign w:val="center"/>
          </w:tcPr>
          <w:p w:rsidR="004E4EB3" w:rsidRDefault="002A0C69">
            <w:pPr>
              <w:jc w:val="right"/>
            </w:pPr>
            <w:r>
              <w:rPr>
                <w:color w:val="000000"/>
                <w:sz w:val="24"/>
              </w:rPr>
              <w:t>9,056,203.54</w:t>
            </w:r>
          </w:p>
        </w:tc>
        <w:tc>
          <w:tcPr>
            <w:tcW w:w="3307" w:type="dxa"/>
            <w:vAlign w:val="center"/>
          </w:tcPr>
          <w:p w:rsidR="004E4EB3" w:rsidRDefault="002A0C69">
            <w:pPr>
              <w:jc w:val="right"/>
            </w:pPr>
            <w:r>
              <w:rPr>
                <w:color w:val="000000"/>
                <w:sz w:val="24"/>
              </w:rPr>
              <w:t>7.48</w:t>
            </w:r>
          </w:p>
        </w:tc>
      </w:tr>
      <w:tr w:rsidR="004E4EB3">
        <w:trPr>
          <w:jc w:val="center"/>
        </w:trPr>
        <w:tc>
          <w:tcPr>
            <w:tcW w:w="2904" w:type="dxa"/>
            <w:vAlign w:val="center"/>
          </w:tcPr>
          <w:p w:rsidR="004E4EB3" w:rsidRDefault="002A0C69">
            <w:pPr>
              <w:jc w:val="left"/>
            </w:pPr>
            <w:r>
              <w:rPr>
                <w:color w:val="000000"/>
                <w:sz w:val="24"/>
              </w:rPr>
              <w:t>必需消费品</w:t>
            </w:r>
          </w:p>
        </w:tc>
        <w:tc>
          <w:tcPr>
            <w:tcW w:w="2657" w:type="dxa"/>
            <w:vAlign w:val="center"/>
          </w:tcPr>
          <w:p w:rsidR="004E4EB3" w:rsidRDefault="002A0C69">
            <w:pPr>
              <w:jc w:val="right"/>
            </w:pPr>
            <w:r>
              <w:rPr>
                <w:color w:val="000000"/>
                <w:sz w:val="24"/>
              </w:rPr>
              <w:t>7,219,831.92</w:t>
            </w:r>
          </w:p>
        </w:tc>
        <w:tc>
          <w:tcPr>
            <w:tcW w:w="3307" w:type="dxa"/>
            <w:vAlign w:val="center"/>
          </w:tcPr>
          <w:p w:rsidR="004E4EB3" w:rsidRDefault="002A0C69">
            <w:pPr>
              <w:jc w:val="right"/>
            </w:pPr>
            <w:r>
              <w:rPr>
                <w:color w:val="000000"/>
                <w:sz w:val="24"/>
              </w:rPr>
              <w:t>5.96</w:t>
            </w:r>
          </w:p>
        </w:tc>
      </w:tr>
      <w:tr w:rsidR="004E4EB3">
        <w:trPr>
          <w:jc w:val="center"/>
        </w:trPr>
        <w:tc>
          <w:tcPr>
            <w:tcW w:w="2904" w:type="dxa"/>
            <w:vAlign w:val="center"/>
          </w:tcPr>
          <w:p w:rsidR="004E4EB3" w:rsidRDefault="002A0C69">
            <w:pPr>
              <w:jc w:val="left"/>
            </w:pPr>
            <w:r>
              <w:rPr>
                <w:color w:val="000000"/>
                <w:sz w:val="24"/>
              </w:rPr>
              <w:t>能源</w:t>
            </w:r>
          </w:p>
        </w:tc>
        <w:tc>
          <w:tcPr>
            <w:tcW w:w="2657" w:type="dxa"/>
            <w:vAlign w:val="center"/>
          </w:tcPr>
          <w:p w:rsidR="004E4EB3" w:rsidRDefault="002A0C69">
            <w:pPr>
              <w:jc w:val="right"/>
            </w:pPr>
            <w:r>
              <w:rPr>
                <w:color w:val="000000"/>
                <w:sz w:val="24"/>
              </w:rPr>
              <w:t>5,205,165.37</w:t>
            </w:r>
          </w:p>
        </w:tc>
        <w:tc>
          <w:tcPr>
            <w:tcW w:w="3307" w:type="dxa"/>
            <w:vAlign w:val="center"/>
          </w:tcPr>
          <w:p w:rsidR="004E4EB3" w:rsidRDefault="002A0C69">
            <w:pPr>
              <w:jc w:val="right"/>
            </w:pPr>
            <w:r>
              <w:rPr>
                <w:color w:val="000000"/>
                <w:sz w:val="24"/>
              </w:rPr>
              <w:t>4.30</w:t>
            </w:r>
          </w:p>
        </w:tc>
      </w:tr>
      <w:tr w:rsidR="004E4EB3">
        <w:trPr>
          <w:jc w:val="center"/>
        </w:trPr>
        <w:tc>
          <w:tcPr>
            <w:tcW w:w="2904" w:type="dxa"/>
            <w:vAlign w:val="center"/>
          </w:tcPr>
          <w:p w:rsidR="004E4EB3" w:rsidRDefault="002A0C69">
            <w:pPr>
              <w:jc w:val="left"/>
            </w:pPr>
            <w:r>
              <w:rPr>
                <w:color w:val="000000"/>
                <w:sz w:val="24"/>
              </w:rPr>
              <w:t>电信服务</w:t>
            </w:r>
          </w:p>
        </w:tc>
        <w:tc>
          <w:tcPr>
            <w:tcW w:w="2657" w:type="dxa"/>
            <w:vAlign w:val="center"/>
          </w:tcPr>
          <w:p w:rsidR="004E4EB3" w:rsidRDefault="002A0C69">
            <w:pPr>
              <w:jc w:val="right"/>
            </w:pPr>
            <w:r>
              <w:rPr>
                <w:color w:val="000000"/>
                <w:sz w:val="24"/>
              </w:rPr>
              <w:t>2,720,735.32</w:t>
            </w:r>
          </w:p>
        </w:tc>
        <w:tc>
          <w:tcPr>
            <w:tcW w:w="3307" w:type="dxa"/>
            <w:vAlign w:val="center"/>
          </w:tcPr>
          <w:p w:rsidR="004E4EB3" w:rsidRDefault="002A0C69">
            <w:pPr>
              <w:jc w:val="right"/>
            </w:pPr>
            <w:r>
              <w:rPr>
                <w:color w:val="000000"/>
                <w:sz w:val="24"/>
              </w:rPr>
              <w:t>2.25</w:t>
            </w:r>
          </w:p>
        </w:tc>
      </w:tr>
      <w:tr w:rsidR="004E4EB3">
        <w:trPr>
          <w:jc w:val="center"/>
        </w:trPr>
        <w:tc>
          <w:tcPr>
            <w:tcW w:w="2904" w:type="dxa"/>
            <w:vAlign w:val="center"/>
          </w:tcPr>
          <w:p w:rsidR="004E4EB3" w:rsidRDefault="002A0C69">
            <w:pPr>
              <w:jc w:val="left"/>
            </w:pPr>
            <w:r>
              <w:rPr>
                <w:color w:val="000000"/>
                <w:sz w:val="24"/>
              </w:rPr>
              <w:t>房地产</w:t>
            </w:r>
          </w:p>
        </w:tc>
        <w:tc>
          <w:tcPr>
            <w:tcW w:w="2657" w:type="dxa"/>
            <w:vAlign w:val="center"/>
          </w:tcPr>
          <w:p w:rsidR="004E4EB3" w:rsidRDefault="002A0C69">
            <w:pPr>
              <w:jc w:val="right"/>
            </w:pPr>
            <w:r>
              <w:rPr>
                <w:color w:val="000000"/>
                <w:sz w:val="24"/>
              </w:rPr>
              <w:t>2,261,865.05</w:t>
            </w:r>
          </w:p>
        </w:tc>
        <w:tc>
          <w:tcPr>
            <w:tcW w:w="3307" w:type="dxa"/>
            <w:vAlign w:val="center"/>
          </w:tcPr>
          <w:p w:rsidR="004E4EB3" w:rsidRDefault="002A0C69">
            <w:pPr>
              <w:jc w:val="right"/>
            </w:pPr>
            <w:r>
              <w:rPr>
                <w:color w:val="000000"/>
                <w:sz w:val="24"/>
              </w:rPr>
              <w:t>1.87</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110,741,034.83</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91.42</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105EC0" w:rsidRDefault="001C7D5D" w:rsidP="005546C0">
            <w:pPr>
              <w:adjustRightInd w:val="0"/>
              <w:snapToGrid w:val="0"/>
              <w:spacing w:before="29" w:line="288" w:lineRule="auto"/>
              <w:jc w:val="center"/>
              <w:rPr>
                <w:rFonts w:ascii="宋体" w:hAnsi="宋体"/>
                <w:color w:val="000000"/>
                <w:kern w:val="0"/>
                <w:sz w:val="24"/>
              </w:rPr>
            </w:pPr>
            <w:r w:rsidRPr="00105EC0">
              <w:rPr>
                <w:rFonts w:ascii="宋体" w:hAnsi="宋体" w:hint="eastAsia"/>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876AC9">
        <w:trPr>
          <w:jc w:val="center"/>
        </w:trPr>
        <w:tc>
          <w:tcPr>
            <w:tcW w:w="1243" w:type="dxa"/>
            <w:vAlign w:val="center"/>
          </w:tcPr>
          <w:p w:rsidR="00876AC9" w:rsidRDefault="00876AC9" w:rsidP="00876AC9">
            <w:pPr>
              <w:jc w:val="center"/>
            </w:pPr>
            <w:r>
              <w:rPr>
                <w:color w:val="000000"/>
                <w:sz w:val="24"/>
              </w:rPr>
              <w:t>1</w:t>
            </w:r>
          </w:p>
        </w:tc>
        <w:tc>
          <w:tcPr>
            <w:tcW w:w="971" w:type="dxa"/>
            <w:vAlign w:val="center"/>
          </w:tcPr>
          <w:p w:rsidR="00876AC9" w:rsidRDefault="00876AC9" w:rsidP="00876AC9">
            <w:pPr>
              <w:jc w:val="center"/>
            </w:pPr>
            <w:proofErr w:type="spellStart"/>
            <w:r>
              <w:rPr>
                <w:color w:val="000000"/>
                <w:sz w:val="24"/>
              </w:rPr>
              <w:t>Tencent</w:t>
            </w:r>
            <w:proofErr w:type="spellEnd"/>
            <w:r>
              <w:rPr>
                <w:color w:val="000000"/>
                <w:sz w:val="24"/>
              </w:rPr>
              <w:t xml:space="preserve"> Holdings Limited</w:t>
            </w:r>
          </w:p>
        </w:tc>
        <w:tc>
          <w:tcPr>
            <w:tcW w:w="993" w:type="dxa"/>
            <w:vAlign w:val="center"/>
          </w:tcPr>
          <w:p w:rsidR="00876AC9" w:rsidRPr="00105EC0" w:rsidRDefault="00876AC9" w:rsidP="00876AC9">
            <w:pPr>
              <w:widowControl/>
              <w:jc w:val="center"/>
              <w:rPr>
                <w:rFonts w:ascii="宋体" w:hAnsi="宋体"/>
                <w:color w:val="000000"/>
                <w:kern w:val="0"/>
                <w:sz w:val="24"/>
              </w:rPr>
            </w:pPr>
            <w:proofErr w:type="gramStart"/>
            <w:r w:rsidRPr="00105EC0">
              <w:rPr>
                <w:rFonts w:ascii="宋体" w:hAnsi="宋体" w:hint="eastAsia"/>
                <w:color w:val="000000"/>
                <w:sz w:val="24"/>
              </w:rPr>
              <w:t>腾讯控股</w:t>
            </w:r>
            <w:proofErr w:type="gramEnd"/>
            <w:r w:rsidRPr="00105EC0">
              <w:rPr>
                <w:rFonts w:ascii="宋体" w:hAnsi="宋体" w:hint="eastAsia"/>
                <w:color w:val="000000"/>
                <w:sz w:val="24"/>
              </w:rPr>
              <w:t>有限公司</w:t>
            </w:r>
          </w:p>
        </w:tc>
        <w:tc>
          <w:tcPr>
            <w:tcW w:w="725" w:type="dxa"/>
            <w:vAlign w:val="center"/>
          </w:tcPr>
          <w:p w:rsidR="00876AC9" w:rsidRDefault="00876AC9" w:rsidP="00876AC9">
            <w:pPr>
              <w:jc w:val="center"/>
            </w:pPr>
            <w:r>
              <w:rPr>
                <w:color w:val="000000"/>
                <w:sz w:val="24"/>
              </w:rPr>
              <w:t>700 HK</w:t>
            </w:r>
          </w:p>
        </w:tc>
        <w:tc>
          <w:tcPr>
            <w:tcW w:w="747" w:type="dxa"/>
            <w:vAlign w:val="center"/>
          </w:tcPr>
          <w:p w:rsidR="00876AC9" w:rsidRDefault="00876AC9" w:rsidP="00876AC9">
            <w:pPr>
              <w:jc w:val="center"/>
            </w:pPr>
            <w:r>
              <w:rPr>
                <w:color w:val="000000"/>
                <w:sz w:val="24"/>
              </w:rPr>
              <w:t>香港证券交易所</w:t>
            </w:r>
          </w:p>
        </w:tc>
        <w:tc>
          <w:tcPr>
            <w:tcW w:w="975" w:type="dxa"/>
            <w:vAlign w:val="center"/>
          </w:tcPr>
          <w:p w:rsidR="00876AC9" w:rsidRDefault="00876AC9" w:rsidP="00876AC9">
            <w:pPr>
              <w:jc w:val="center"/>
            </w:pPr>
            <w:r>
              <w:rPr>
                <w:color w:val="000000"/>
                <w:sz w:val="24"/>
              </w:rPr>
              <w:t>香港</w:t>
            </w:r>
          </w:p>
        </w:tc>
        <w:tc>
          <w:tcPr>
            <w:tcW w:w="1175" w:type="dxa"/>
            <w:vAlign w:val="center"/>
          </w:tcPr>
          <w:p w:rsidR="00876AC9" w:rsidRDefault="00876AC9" w:rsidP="00876AC9">
            <w:pPr>
              <w:jc w:val="right"/>
            </w:pPr>
            <w:r>
              <w:rPr>
                <w:color w:val="000000"/>
                <w:sz w:val="24"/>
              </w:rPr>
              <w:t>13,000</w:t>
            </w:r>
          </w:p>
        </w:tc>
        <w:tc>
          <w:tcPr>
            <w:tcW w:w="975" w:type="dxa"/>
            <w:vAlign w:val="center"/>
          </w:tcPr>
          <w:p w:rsidR="00876AC9" w:rsidRDefault="00876AC9" w:rsidP="00876AC9">
            <w:pPr>
              <w:jc w:val="right"/>
            </w:pPr>
            <w:r>
              <w:rPr>
                <w:color w:val="000000"/>
                <w:sz w:val="24"/>
              </w:rPr>
              <w:t>4,411,641.97</w:t>
            </w:r>
          </w:p>
        </w:tc>
        <w:tc>
          <w:tcPr>
            <w:tcW w:w="1175" w:type="dxa"/>
            <w:vAlign w:val="center"/>
          </w:tcPr>
          <w:p w:rsidR="00876AC9" w:rsidRDefault="00876AC9" w:rsidP="00876AC9">
            <w:pPr>
              <w:jc w:val="right"/>
            </w:pPr>
            <w:r>
              <w:rPr>
                <w:color w:val="000000"/>
                <w:sz w:val="24"/>
              </w:rPr>
              <w:t>3.64</w:t>
            </w:r>
          </w:p>
        </w:tc>
      </w:tr>
      <w:tr w:rsidR="00876AC9">
        <w:trPr>
          <w:jc w:val="center"/>
        </w:trPr>
        <w:tc>
          <w:tcPr>
            <w:tcW w:w="1243" w:type="dxa"/>
            <w:vAlign w:val="center"/>
          </w:tcPr>
          <w:p w:rsidR="00876AC9" w:rsidRDefault="00876AC9" w:rsidP="00876AC9">
            <w:pPr>
              <w:jc w:val="center"/>
            </w:pPr>
            <w:r>
              <w:rPr>
                <w:color w:val="000000"/>
                <w:sz w:val="24"/>
              </w:rPr>
              <w:t>2</w:t>
            </w:r>
          </w:p>
        </w:tc>
        <w:tc>
          <w:tcPr>
            <w:tcW w:w="971" w:type="dxa"/>
            <w:vAlign w:val="center"/>
          </w:tcPr>
          <w:p w:rsidR="00876AC9" w:rsidRDefault="00876AC9" w:rsidP="00876AC9">
            <w:pPr>
              <w:jc w:val="center"/>
            </w:pPr>
            <w:proofErr w:type="spellStart"/>
            <w:r>
              <w:rPr>
                <w:color w:val="000000"/>
                <w:sz w:val="24"/>
              </w:rPr>
              <w:t>Unitedhealth</w:t>
            </w:r>
            <w:proofErr w:type="spellEnd"/>
            <w:r>
              <w:rPr>
                <w:color w:val="000000"/>
                <w:sz w:val="24"/>
              </w:rPr>
              <w:t xml:space="preserve"> Group </w:t>
            </w:r>
            <w:proofErr w:type="spellStart"/>
            <w:r>
              <w:rPr>
                <w:color w:val="000000"/>
                <w:sz w:val="24"/>
              </w:rPr>
              <w:t>Inc</w:t>
            </w:r>
            <w:proofErr w:type="spellEnd"/>
          </w:p>
        </w:tc>
        <w:tc>
          <w:tcPr>
            <w:tcW w:w="993" w:type="dxa"/>
            <w:vAlign w:val="center"/>
          </w:tcPr>
          <w:p w:rsidR="00876AC9" w:rsidRPr="00105EC0" w:rsidRDefault="00876AC9" w:rsidP="00876AC9">
            <w:pPr>
              <w:jc w:val="center"/>
              <w:rPr>
                <w:rFonts w:ascii="宋体" w:hAnsi="宋体"/>
                <w:color w:val="000000"/>
                <w:sz w:val="24"/>
              </w:rPr>
            </w:pPr>
            <w:r w:rsidRPr="00105EC0">
              <w:rPr>
                <w:rFonts w:ascii="宋体" w:hAnsi="宋体" w:hint="eastAsia"/>
                <w:color w:val="000000"/>
                <w:sz w:val="24"/>
              </w:rPr>
              <w:t>美国联合健康集团</w:t>
            </w:r>
          </w:p>
        </w:tc>
        <w:tc>
          <w:tcPr>
            <w:tcW w:w="725" w:type="dxa"/>
            <w:vAlign w:val="center"/>
          </w:tcPr>
          <w:p w:rsidR="00876AC9" w:rsidRDefault="00876AC9" w:rsidP="00876AC9">
            <w:pPr>
              <w:jc w:val="center"/>
            </w:pPr>
            <w:r>
              <w:rPr>
                <w:color w:val="000000"/>
                <w:sz w:val="24"/>
              </w:rPr>
              <w:t>UNH US</w:t>
            </w:r>
          </w:p>
        </w:tc>
        <w:tc>
          <w:tcPr>
            <w:tcW w:w="747" w:type="dxa"/>
            <w:vAlign w:val="center"/>
          </w:tcPr>
          <w:p w:rsidR="00876AC9" w:rsidRDefault="00876AC9" w:rsidP="00876AC9">
            <w:pPr>
              <w:jc w:val="center"/>
            </w:pPr>
            <w:r>
              <w:rPr>
                <w:color w:val="000000"/>
                <w:sz w:val="24"/>
              </w:rPr>
              <w:t>美国证券交易所</w:t>
            </w:r>
          </w:p>
        </w:tc>
        <w:tc>
          <w:tcPr>
            <w:tcW w:w="975" w:type="dxa"/>
            <w:vAlign w:val="center"/>
          </w:tcPr>
          <w:p w:rsidR="00876AC9" w:rsidRDefault="00876AC9" w:rsidP="00876AC9">
            <w:pPr>
              <w:jc w:val="center"/>
            </w:pPr>
            <w:r>
              <w:rPr>
                <w:color w:val="000000"/>
                <w:sz w:val="24"/>
              </w:rPr>
              <w:t>美国</w:t>
            </w:r>
          </w:p>
        </w:tc>
        <w:tc>
          <w:tcPr>
            <w:tcW w:w="1175" w:type="dxa"/>
            <w:vAlign w:val="center"/>
          </w:tcPr>
          <w:p w:rsidR="00876AC9" w:rsidRDefault="00876AC9" w:rsidP="00876AC9">
            <w:pPr>
              <w:jc w:val="right"/>
            </w:pPr>
            <w:r>
              <w:rPr>
                <w:color w:val="000000"/>
                <w:sz w:val="24"/>
              </w:rPr>
              <w:t>1,861</w:t>
            </w:r>
          </w:p>
        </w:tc>
        <w:tc>
          <w:tcPr>
            <w:tcW w:w="975" w:type="dxa"/>
            <w:vAlign w:val="center"/>
          </w:tcPr>
          <w:p w:rsidR="00876AC9" w:rsidRDefault="00876AC9" w:rsidP="00876AC9">
            <w:pPr>
              <w:jc w:val="right"/>
            </w:pPr>
            <w:r>
              <w:rPr>
                <w:color w:val="000000"/>
                <w:sz w:val="24"/>
              </w:rPr>
              <w:t>2,680,825.83</w:t>
            </w:r>
          </w:p>
        </w:tc>
        <w:tc>
          <w:tcPr>
            <w:tcW w:w="1175" w:type="dxa"/>
            <w:vAlign w:val="center"/>
          </w:tcPr>
          <w:p w:rsidR="00876AC9" w:rsidRDefault="00876AC9" w:rsidP="00876AC9">
            <w:pPr>
              <w:jc w:val="right"/>
            </w:pPr>
            <w:r>
              <w:rPr>
                <w:color w:val="000000"/>
                <w:sz w:val="24"/>
              </w:rPr>
              <w:t>2.21</w:t>
            </w:r>
          </w:p>
        </w:tc>
      </w:tr>
      <w:tr w:rsidR="00876AC9">
        <w:trPr>
          <w:jc w:val="center"/>
        </w:trPr>
        <w:tc>
          <w:tcPr>
            <w:tcW w:w="1243" w:type="dxa"/>
            <w:vAlign w:val="center"/>
          </w:tcPr>
          <w:p w:rsidR="00876AC9" w:rsidRDefault="00876AC9" w:rsidP="00876AC9">
            <w:pPr>
              <w:jc w:val="center"/>
            </w:pPr>
            <w:r>
              <w:rPr>
                <w:color w:val="000000"/>
                <w:sz w:val="24"/>
              </w:rPr>
              <w:t>3</w:t>
            </w:r>
          </w:p>
        </w:tc>
        <w:tc>
          <w:tcPr>
            <w:tcW w:w="971" w:type="dxa"/>
            <w:vAlign w:val="center"/>
          </w:tcPr>
          <w:p w:rsidR="00876AC9" w:rsidRDefault="00876AC9" w:rsidP="00876AC9">
            <w:pPr>
              <w:jc w:val="center"/>
            </w:pPr>
            <w:r>
              <w:rPr>
                <w:color w:val="000000"/>
                <w:sz w:val="24"/>
              </w:rPr>
              <w:t>New China Life Insurance Company Ltd.</w:t>
            </w:r>
          </w:p>
        </w:tc>
        <w:tc>
          <w:tcPr>
            <w:tcW w:w="993" w:type="dxa"/>
            <w:vAlign w:val="center"/>
          </w:tcPr>
          <w:p w:rsidR="00876AC9" w:rsidRPr="00105EC0" w:rsidRDefault="00876AC9" w:rsidP="00876AC9">
            <w:pPr>
              <w:jc w:val="center"/>
              <w:rPr>
                <w:rFonts w:ascii="宋体" w:hAnsi="宋体"/>
                <w:color w:val="000000"/>
                <w:sz w:val="24"/>
              </w:rPr>
            </w:pPr>
            <w:r w:rsidRPr="00105EC0">
              <w:rPr>
                <w:rFonts w:ascii="宋体" w:hAnsi="宋体" w:hint="eastAsia"/>
                <w:color w:val="000000"/>
                <w:sz w:val="24"/>
              </w:rPr>
              <w:t>新华人寿保险股份有限公司</w:t>
            </w:r>
          </w:p>
        </w:tc>
        <w:tc>
          <w:tcPr>
            <w:tcW w:w="725" w:type="dxa"/>
            <w:vAlign w:val="center"/>
          </w:tcPr>
          <w:p w:rsidR="00876AC9" w:rsidRDefault="00876AC9" w:rsidP="00876AC9">
            <w:pPr>
              <w:jc w:val="center"/>
            </w:pPr>
            <w:r>
              <w:rPr>
                <w:color w:val="000000"/>
                <w:sz w:val="24"/>
              </w:rPr>
              <w:t>1336 HK</w:t>
            </w:r>
          </w:p>
        </w:tc>
        <w:tc>
          <w:tcPr>
            <w:tcW w:w="747" w:type="dxa"/>
            <w:vAlign w:val="center"/>
          </w:tcPr>
          <w:p w:rsidR="00876AC9" w:rsidRDefault="00876AC9" w:rsidP="00876AC9">
            <w:pPr>
              <w:jc w:val="center"/>
            </w:pPr>
            <w:r>
              <w:rPr>
                <w:color w:val="000000"/>
                <w:sz w:val="24"/>
              </w:rPr>
              <w:t>香港证券交易所</w:t>
            </w:r>
          </w:p>
        </w:tc>
        <w:tc>
          <w:tcPr>
            <w:tcW w:w="975" w:type="dxa"/>
            <w:vAlign w:val="center"/>
          </w:tcPr>
          <w:p w:rsidR="00876AC9" w:rsidRDefault="00876AC9" w:rsidP="00876AC9">
            <w:pPr>
              <w:jc w:val="center"/>
            </w:pPr>
            <w:r>
              <w:rPr>
                <w:color w:val="000000"/>
                <w:sz w:val="24"/>
              </w:rPr>
              <w:t>香港</w:t>
            </w:r>
          </w:p>
        </w:tc>
        <w:tc>
          <w:tcPr>
            <w:tcW w:w="1175" w:type="dxa"/>
            <w:vAlign w:val="center"/>
          </w:tcPr>
          <w:p w:rsidR="00876AC9" w:rsidRDefault="00876AC9" w:rsidP="00876AC9">
            <w:pPr>
              <w:jc w:val="right"/>
            </w:pPr>
            <w:r>
              <w:rPr>
                <w:color w:val="000000"/>
                <w:sz w:val="24"/>
              </w:rPr>
              <w:t>60,000</w:t>
            </w:r>
          </w:p>
        </w:tc>
        <w:tc>
          <w:tcPr>
            <w:tcW w:w="975" w:type="dxa"/>
            <w:vAlign w:val="center"/>
          </w:tcPr>
          <w:p w:rsidR="00876AC9" w:rsidRDefault="00876AC9" w:rsidP="00876AC9">
            <w:pPr>
              <w:jc w:val="right"/>
            </w:pPr>
            <w:r>
              <w:rPr>
                <w:color w:val="000000"/>
                <w:sz w:val="24"/>
              </w:rPr>
              <w:t>2,678,078.98</w:t>
            </w:r>
          </w:p>
        </w:tc>
        <w:tc>
          <w:tcPr>
            <w:tcW w:w="1175" w:type="dxa"/>
            <w:vAlign w:val="center"/>
          </w:tcPr>
          <w:p w:rsidR="00876AC9" w:rsidRDefault="00876AC9" w:rsidP="00876AC9">
            <w:pPr>
              <w:jc w:val="right"/>
            </w:pPr>
            <w:r>
              <w:rPr>
                <w:color w:val="000000"/>
                <w:sz w:val="24"/>
              </w:rPr>
              <w:t>2.21</w:t>
            </w:r>
          </w:p>
        </w:tc>
      </w:tr>
      <w:tr w:rsidR="00876AC9">
        <w:trPr>
          <w:jc w:val="center"/>
        </w:trPr>
        <w:tc>
          <w:tcPr>
            <w:tcW w:w="1243" w:type="dxa"/>
            <w:vAlign w:val="center"/>
          </w:tcPr>
          <w:p w:rsidR="00876AC9" w:rsidRDefault="00876AC9" w:rsidP="00876AC9">
            <w:pPr>
              <w:jc w:val="center"/>
            </w:pPr>
            <w:r>
              <w:rPr>
                <w:color w:val="000000"/>
                <w:sz w:val="24"/>
              </w:rPr>
              <w:t>4</w:t>
            </w:r>
          </w:p>
        </w:tc>
        <w:tc>
          <w:tcPr>
            <w:tcW w:w="971" w:type="dxa"/>
            <w:vAlign w:val="center"/>
          </w:tcPr>
          <w:p w:rsidR="00876AC9" w:rsidRDefault="00876AC9" w:rsidP="00876AC9">
            <w:pPr>
              <w:jc w:val="center"/>
            </w:pPr>
            <w:r>
              <w:rPr>
                <w:color w:val="000000"/>
                <w:sz w:val="24"/>
              </w:rPr>
              <w:t xml:space="preserve">Alphabet </w:t>
            </w:r>
            <w:proofErr w:type="spellStart"/>
            <w:r>
              <w:rPr>
                <w:color w:val="000000"/>
                <w:sz w:val="24"/>
              </w:rPr>
              <w:t>Inc</w:t>
            </w:r>
            <w:proofErr w:type="spellEnd"/>
          </w:p>
        </w:tc>
        <w:tc>
          <w:tcPr>
            <w:tcW w:w="993" w:type="dxa"/>
            <w:vAlign w:val="center"/>
          </w:tcPr>
          <w:p w:rsidR="00876AC9" w:rsidRPr="00105EC0" w:rsidRDefault="00876AC9" w:rsidP="00876AC9">
            <w:pPr>
              <w:jc w:val="center"/>
              <w:rPr>
                <w:rFonts w:ascii="宋体" w:hAnsi="宋体"/>
                <w:color w:val="000000"/>
                <w:sz w:val="24"/>
              </w:rPr>
            </w:pPr>
            <w:r w:rsidRPr="00105EC0">
              <w:rPr>
                <w:rFonts w:ascii="宋体" w:hAnsi="宋体"/>
                <w:color w:val="000000"/>
                <w:sz w:val="24"/>
              </w:rPr>
              <w:t>Alphabet</w:t>
            </w:r>
            <w:r w:rsidRPr="00105EC0">
              <w:rPr>
                <w:rFonts w:ascii="宋体" w:hAnsi="宋体" w:hint="eastAsia"/>
                <w:color w:val="000000"/>
                <w:sz w:val="24"/>
              </w:rPr>
              <w:t>公司</w:t>
            </w:r>
          </w:p>
        </w:tc>
        <w:tc>
          <w:tcPr>
            <w:tcW w:w="725" w:type="dxa"/>
            <w:vAlign w:val="center"/>
          </w:tcPr>
          <w:p w:rsidR="00876AC9" w:rsidRDefault="00876AC9" w:rsidP="00876AC9">
            <w:pPr>
              <w:jc w:val="center"/>
            </w:pPr>
            <w:r>
              <w:rPr>
                <w:color w:val="000000"/>
                <w:sz w:val="24"/>
              </w:rPr>
              <w:t>GOOGL US</w:t>
            </w:r>
          </w:p>
        </w:tc>
        <w:tc>
          <w:tcPr>
            <w:tcW w:w="747" w:type="dxa"/>
            <w:vAlign w:val="center"/>
          </w:tcPr>
          <w:p w:rsidR="00876AC9" w:rsidRDefault="00876AC9" w:rsidP="00876AC9">
            <w:pPr>
              <w:jc w:val="center"/>
            </w:pPr>
            <w:r>
              <w:rPr>
                <w:color w:val="000000"/>
                <w:sz w:val="24"/>
              </w:rPr>
              <w:t>美国证券交易所</w:t>
            </w:r>
          </w:p>
        </w:tc>
        <w:tc>
          <w:tcPr>
            <w:tcW w:w="975" w:type="dxa"/>
            <w:vAlign w:val="center"/>
          </w:tcPr>
          <w:p w:rsidR="00876AC9" w:rsidRDefault="00876AC9" w:rsidP="00876AC9">
            <w:pPr>
              <w:jc w:val="center"/>
            </w:pPr>
            <w:r>
              <w:rPr>
                <w:color w:val="000000"/>
                <w:sz w:val="24"/>
              </w:rPr>
              <w:t>美国</w:t>
            </w:r>
          </w:p>
        </w:tc>
        <w:tc>
          <w:tcPr>
            <w:tcW w:w="1175" w:type="dxa"/>
            <w:vAlign w:val="center"/>
          </w:tcPr>
          <w:p w:rsidR="00876AC9" w:rsidRDefault="00876AC9" w:rsidP="00876AC9">
            <w:pPr>
              <w:jc w:val="right"/>
            </w:pPr>
            <w:r>
              <w:rPr>
                <w:color w:val="000000"/>
                <w:sz w:val="24"/>
              </w:rPr>
              <w:t>365</w:t>
            </w:r>
          </w:p>
        </w:tc>
        <w:tc>
          <w:tcPr>
            <w:tcW w:w="975" w:type="dxa"/>
            <w:vAlign w:val="center"/>
          </w:tcPr>
          <w:p w:rsidR="00876AC9" w:rsidRDefault="00876AC9" w:rsidP="00876AC9">
            <w:pPr>
              <w:jc w:val="right"/>
            </w:pPr>
            <w:r>
              <w:rPr>
                <w:color w:val="000000"/>
                <w:sz w:val="24"/>
              </w:rPr>
              <w:t>2,512,341.09</w:t>
            </w:r>
          </w:p>
        </w:tc>
        <w:tc>
          <w:tcPr>
            <w:tcW w:w="1175" w:type="dxa"/>
            <w:vAlign w:val="center"/>
          </w:tcPr>
          <w:p w:rsidR="00876AC9" w:rsidRDefault="00876AC9" w:rsidP="00876AC9">
            <w:pPr>
              <w:jc w:val="right"/>
            </w:pPr>
            <w:r>
              <w:rPr>
                <w:color w:val="000000"/>
                <w:sz w:val="24"/>
              </w:rPr>
              <w:t>2.07</w:t>
            </w:r>
          </w:p>
        </w:tc>
      </w:tr>
      <w:tr w:rsidR="00876AC9">
        <w:trPr>
          <w:jc w:val="center"/>
        </w:trPr>
        <w:tc>
          <w:tcPr>
            <w:tcW w:w="1243" w:type="dxa"/>
            <w:vAlign w:val="center"/>
          </w:tcPr>
          <w:p w:rsidR="00876AC9" w:rsidRDefault="00876AC9" w:rsidP="00876AC9">
            <w:pPr>
              <w:jc w:val="center"/>
            </w:pPr>
            <w:r>
              <w:rPr>
                <w:color w:val="000000"/>
                <w:sz w:val="24"/>
              </w:rPr>
              <w:lastRenderedPageBreak/>
              <w:t>5</w:t>
            </w:r>
          </w:p>
        </w:tc>
        <w:tc>
          <w:tcPr>
            <w:tcW w:w="971" w:type="dxa"/>
            <w:vAlign w:val="center"/>
          </w:tcPr>
          <w:p w:rsidR="00876AC9" w:rsidRDefault="00876AC9" w:rsidP="00876AC9">
            <w:pPr>
              <w:jc w:val="center"/>
            </w:pPr>
            <w:r>
              <w:rPr>
                <w:color w:val="000000"/>
                <w:sz w:val="24"/>
              </w:rPr>
              <w:t xml:space="preserve">Amazon.Com </w:t>
            </w:r>
            <w:proofErr w:type="spellStart"/>
            <w:r>
              <w:rPr>
                <w:color w:val="000000"/>
                <w:sz w:val="24"/>
              </w:rPr>
              <w:t>Inc</w:t>
            </w:r>
            <w:proofErr w:type="spellEnd"/>
          </w:p>
        </w:tc>
        <w:tc>
          <w:tcPr>
            <w:tcW w:w="993" w:type="dxa"/>
            <w:vAlign w:val="center"/>
          </w:tcPr>
          <w:p w:rsidR="00876AC9" w:rsidRPr="00105EC0" w:rsidRDefault="00876AC9" w:rsidP="00876AC9">
            <w:pPr>
              <w:jc w:val="center"/>
              <w:rPr>
                <w:rFonts w:ascii="宋体" w:hAnsi="宋体" w:cs="宋体"/>
                <w:color w:val="000000"/>
                <w:sz w:val="24"/>
              </w:rPr>
            </w:pPr>
            <w:r w:rsidRPr="00105EC0">
              <w:rPr>
                <w:rFonts w:ascii="宋体" w:hAnsi="宋体" w:hint="eastAsia"/>
                <w:color w:val="000000"/>
                <w:sz w:val="24"/>
              </w:rPr>
              <w:t>亚马逊公司</w:t>
            </w:r>
          </w:p>
        </w:tc>
        <w:tc>
          <w:tcPr>
            <w:tcW w:w="725" w:type="dxa"/>
            <w:vAlign w:val="center"/>
          </w:tcPr>
          <w:p w:rsidR="00876AC9" w:rsidRDefault="00876AC9" w:rsidP="00876AC9">
            <w:pPr>
              <w:jc w:val="center"/>
            </w:pPr>
            <w:r>
              <w:rPr>
                <w:color w:val="000000"/>
                <w:sz w:val="24"/>
              </w:rPr>
              <w:t>AMZN US</w:t>
            </w:r>
          </w:p>
        </w:tc>
        <w:tc>
          <w:tcPr>
            <w:tcW w:w="747" w:type="dxa"/>
            <w:vAlign w:val="center"/>
          </w:tcPr>
          <w:p w:rsidR="00876AC9" w:rsidRDefault="00876AC9" w:rsidP="00876AC9">
            <w:pPr>
              <w:jc w:val="center"/>
            </w:pPr>
            <w:r>
              <w:rPr>
                <w:color w:val="000000"/>
                <w:sz w:val="24"/>
              </w:rPr>
              <w:t>美国证券交易所</w:t>
            </w:r>
          </w:p>
        </w:tc>
        <w:tc>
          <w:tcPr>
            <w:tcW w:w="975" w:type="dxa"/>
            <w:vAlign w:val="center"/>
          </w:tcPr>
          <w:p w:rsidR="00876AC9" w:rsidRDefault="00876AC9" w:rsidP="00876AC9">
            <w:pPr>
              <w:jc w:val="center"/>
            </w:pPr>
            <w:r>
              <w:rPr>
                <w:color w:val="000000"/>
                <w:sz w:val="24"/>
              </w:rPr>
              <w:t>美国</w:t>
            </w:r>
          </w:p>
        </w:tc>
        <w:tc>
          <w:tcPr>
            <w:tcW w:w="1175" w:type="dxa"/>
            <w:vAlign w:val="center"/>
          </w:tcPr>
          <w:p w:rsidR="00876AC9" w:rsidRDefault="00876AC9" w:rsidP="00876AC9">
            <w:pPr>
              <w:jc w:val="right"/>
            </w:pPr>
            <w:r>
              <w:rPr>
                <w:color w:val="000000"/>
                <w:sz w:val="24"/>
              </w:rPr>
              <w:t>313</w:t>
            </w:r>
          </w:p>
        </w:tc>
        <w:tc>
          <w:tcPr>
            <w:tcW w:w="975" w:type="dxa"/>
            <w:vAlign w:val="center"/>
          </w:tcPr>
          <w:p w:rsidR="00876AC9" w:rsidRDefault="00876AC9" w:rsidP="00876AC9">
            <w:pPr>
              <w:jc w:val="right"/>
            </w:pPr>
            <w:r>
              <w:rPr>
                <w:color w:val="000000"/>
                <w:sz w:val="24"/>
              </w:rPr>
              <w:t>2,391,805.42</w:t>
            </w:r>
          </w:p>
        </w:tc>
        <w:tc>
          <w:tcPr>
            <w:tcW w:w="1175" w:type="dxa"/>
            <w:vAlign w:val="center"/>
          </w:tcPr>
          <w:p w:rsidR="00876AC9" w:rsidRDefault="00876AC9" w:rsidP="00876AC9">
            <w:pPr>
              <w:jc w:val="right"/>
            </w:pPr>
            <w:r>
              <w:rPr>
                <w:color w:val="000000"/>
                <w:sz w:val="24"/>
              </w:rPr>
              <w:t>1.97</w:t>
            </w:r>
          </w:p>
        </w:tc>
      </w:tr>
      <w:tr w:rsidR="00876AC9">
        <w:trPr>
          <w:jc w:val="center"/>
        </w:trPr>
        <w:tc>
          <w:tcPr>
            <w:tcW w:w="1243" w:type="dxa"/>
            <w:vAlign w:val="center"/>
          </w:tcPr>
          <w:p w:rsidR="00876AC9" w:rsidRDefault="00876AC9" w:rsidP="00876AC9">
            <w:pPr>
              <w:jc w:val="center"/>
            </w:pPr>
            <w:r>
              <w:rPr>
                <w:color w:val="000000"/>
                <w:sz w:val="24"/>
              </w:rPr>
              <w:t>6</w:t>
            </w:r>
          </w:p>
        </w:tc>
        <w:tc>
          <w:tcPr>
            <w:tcW w:w="971" w:type="dxa"/>
            <w:vAlign w:val="center"/>
          </w:tcPr>
          <w:p w:rsidR="00876AC9" w:rsidRDefault="00876AC9" w:rsidP="00876AC9">
            <w:pPr>
              <w:jc w:val="center"/>
            </w:pPr>
            <w:proofErr w:type="spellStart"/>
            <w:r>
              <w:rPr>
                <w:color w:val="000000"/>
                <w:sz w:val="24"/>
              </w:rPr>
              <w:t>DowDuPont</w:t>
            </w:r>
            <w:proofErr w:type="spellEnd"/>
            <w:r>
              <w:rPr>
                <w:color w:val="000000"/>
                <w:sz w:val="24"/>
              </w:rPr>
              <w:t xml:space="preserve"> </w:t>
            </w:r>
            <w:proofErr w:type="spellStart"/>
            <w:r>
              <w:rPr>
                <w:color w:val="000000"/>
                <w:sz w:val="24"/>
              </w:rPr>
              <w:t>Inc</w:t>
            </w:r>
            <w:proofErr w:type="spellEnd"/>
          </w:p>
        </w:tc>
        <w:tc>
          <w:tcPr>
            <w:tcW w:w="993" w:type="dxa"/>
            <w:vAlign w:val="center"/>
          </w:tcPr>
          <w:p w:rsidR="00876AC9" w:rsidRPr="00105EC0" w:rsidRDefault="00876AC9" w:rsidP="00876AC9">
            <w:pPr>
              <w:jc w:val="center"/>
              <w:rPr>
                <w:rFonts w:ascii="宋体" w:hAnsi="宋体"/>
                <w:color w:val="000000"/>
                <w:sz w:val="24"/>
              </w:rPr>
            </w:pPr>
            <w:r w:rsidRPr="00105EC0">
              <w:rPr>
                <w:rFonts w:ascii="宋体" w:hAnsi="宋体" w:hint="eastAsia"/>
                <w:color w:val="000000"/>
                <w:sz w:val="24"/>
              </w:rPr>
              <w:t>陶氏杜邦公司</w:t>
            </w:r>
          </w:p>
        </w:tc>
        <w:tc>
          <w:tcPr>
            <w:tcW w:w="725" w:type="dxa"/>
            <w:vAlign w:val="center"/>
          </w:tcPr>
          <w:p w:rsidR="00876AC9" w:rsidRDefault="00876AC9" w:rsidP="00876AC9">
            <w:pPr>
              <w:jc w:val="center"/>
            </w:pPr>
            <w:r>
              <w:rPr>
                <w:color w:val="000000"/>
                <w:sz w:val="24"/>
              </w:rPr>
              <w:t>DWDP US</w:t>
            </w:r>
          </w:p>
        </w:tc>
        <w:tc>
          <w:tcPr>
            <w:tcW w:w="747" w:type="dxa"/>
            <w:vAlign w:val="center"/>
          </w:tcPr>
          <w:p w:rsidR="00876AC9" w:rsidRDefault="00876AC9" w:rsidP="00876AC9">
            <w:pPr>
              <w:jc w:val="center"/>
            </w:pPr>
            <w:r>
              <w:rPr>
                <w:color w:val="000000"/>
                <w:sz w:val="24"/>
              </w:rPr>
              <w:t>美国证券交易所</w:t>
            </w:r>
          </w:p>
        </w:tc>
        <w:tc>
          <w:tcPr>
            <w:tcW w:w="975" w:type="dxa"/>
            <w:vAlign w:val="center"/>
          </w:tcPr>
          <w:p w:rsidR="00876AC9" w:rsidRDefault="00876AC9" w:rsidP="00876AC9">
            <w:pPr>
              <w:jc w:val="center"/>
            </w:pPr>
            <w:r>
              <w:rPr>
                <w:color w:val="000000"/>
                <w:sz w:val="24"/>
              </w:rPr>
              <w:t>美国</w:t>
            </w:r>
          </w:p>
        </w:tc>
        <w:tc>
          <w:tcPr>
            <w:tcW w:w="1175" w:type="dxa"/>
            <w:vAlign w:val="center"/>
          </w:tcPr>
          <w:p w:rsidR="00876AC9" w:rsidRDefault="00876AC9" w:rsidP="00876AC9">
            <w:pPr>
              <w:jc w:val="right"/>
            </w:pPr>
            <w:r>
              <w:rPr>
                <w:color w:val="000000"/>
                <w:sz w:val="24"/>
              </w:rPr>
              <w:t>5,069</w:t>
            </w:r>
          </w:p>
        </w:tc>
        <w:tc>
          <w:tcPr>
            <w:tcW w:w="975" w:type="dxa"/>
            <w:vAlign w:val="center"/>
          </w:tcPr>
          <w:p w:rsidR="00876AC9" w:rsidRDefault="00876AC9" w:rsidP="00876AC9">
            <w:pPr>
              <w:jc w:val="right"/>
            </w:pPr>
            <w:r>
              <w:rPr>
                <w:color w:val="000000"/>
                <w:sz w:val="24"/>
              </w:rPr>
              <w:t>2,358,938.85</w:t>
            </w:r>
          </w:p>
        </w:tc>
        <w:tc>
          <w:tcPr>
            <w:tcW w:w="1175" w:type="dxa"/>
            <w:vAlign w:val="center"/>
          </w:tcPr>
          <w:p w:rsidR="00876AC9" w:rsidRDefault="00876AC9" w:rsidP="00876AC9">
            <w:pPr>
              <w:jc w:val="right"/>
            </w:pPr>
            <w:r>
              <w:rPr>
                <w:color w:val="000000"/>
                <w:sz w:val="24"/>
              </w:rPr>
              <w:t>1.95</w:t>
            </w:r>
          </w:p>
        </w:tc>
      </w:tr>
      <w:tr w:rsidR="00876AC9">
        <w:trPr>
          <w:jc w:val="center"/>
        </w:trPr>
        <w:tc>
          <w:tcPr>
            <w:tcW w:w="1243" w:type="dxa"/>
            <w:vAlign w:val="center"/>
          </w:tcPr>
          <w:p w:rsidR="00876AC9" w:rsidRDefault="00876AC9" w:rsidP="00876AC9">
            <w:pPr>
              <w:jc w:val="center"/>
            </w:pPr>
            <w:r>
              <w:rPr>
                <w:color w:val="000000"/>
                <w:sz w:val="24"/>
              </w:rPr>
              <w:t>7</w:t>
            </w:r>
          </w:p>
        </w:tc>
        <w:tc>
          <w:tcPr>
            <w:tcW w:w="971" w:type="dxa"/>
            <w:vAlign w:val="center"/>
          </w:tcPr>
          <w:p w:rsidR="00876AC9" w:rsidRDefault="00876AC9" w:rsidP="00876AC9">
            <w:pPr>
              <w:jc w:val="center"/>
            </w:pPr>
            <w:r>
              <w:rPr>
                <w:color w:val="000000"/>
                <w:sz w:val="24"/>
              </w:rPr>
              <w:t>Comcast Corporation</w:t>
            </w:r>
          </w:p>
        </w:tc>
        <w:tc>
          <w:tcPr>
            <w:tcW w:w="993" w:type="dxa"/>
            <w:vAlign w:val="center"/>
          </w:tcPr>
          <w:p w:rsidR="00876AC9" w:rsidRPr="00105EC0" w:rsidRDefault="00876AC9" w:rsidP="00876AC9">
            <w:pPr>
              <w:jc w:val="center"/>
              <w:rPr>
                <w:rFonts w:ascii="宋体" w:hAnsi="宋体"/>
                <w:color w:val="000000"/>
                <w:sz w:val="24"/>
              </w:rPr>
            </w:pPr>
            <w:r w:rsidRPr="00105EC0">
              <w:rPr>
                <w:rFonts w:ascii="宋体" w:hAnsi="宋体" w:hint="eastAsia"/>
                <w:color w:val="000000"/>
                <w:sz w:val="24"/>
              </w:rPr>
              <w:t>康卡斯特公司</w:t>
            </w:r>
          </w:p>
        </w:tc>
        <w:tc>
          <w:tcPr>
            <w:tcW w:w="725" w:type="dxa"/>
            <w:vAlign w:val="center"/>
          </w:tcPr>
          <w:p w:rsidR="00876AC9" w:rsidRDefault="00876AC9" w:rsidP="00876AC9">
            <w:pPr>
              <w:jc w:val="center"/>
            </w:pPr>
            <w:r>
              <w:rPr>
                <w:color w:val="000000"/>
                <w:sz w:val="24"/>
              </w:rPr>
              <w:t>CMCSA US</w:t>
            </w:r>
          </w:p>
        </w:tc>
        <w:tc>
          <w:tcPr>
            <w:tcW w:w="747" w:type="dxa"/>
            <w:vAlign w:val="center"/>
          </w:tcPr>
          <w:p w:rsidR="00876AC9" w:rsidRDefault="00876AC9" w:rsidP="00876AC9">
            <w:pPr>
              <w:jc w:val="center"/>
            </w:pPr>
            <w:r>
              <w:rPr>
                <w:color w:val="000000"/>
                <w:sz w:val="24"/>
              </w:rPr>
              <w:t>美国证券交易所</w:t>
            </w:r>
          </w:p>
        </w:tc>
        <w:tc>
          <w:tcPr>
            <w:tcW w:w="975" w:type="dxa"/>
            <w:vAlign w:val="center"/>
          </w:tcPr>
          <w:p w:rsidR="00876AC9" w:rsidRDefault="00876AC9" w:rsidP="00876AC9">
            <w:pPr>
              <w:jc w:val="center"/>
            </w:pPr>
            <w:r>
              <w:rPr>
                <w:color w:val="000000"/>
                <w:sz w:val="24"/>
              </w:rPr>
              <w:t>美国</w:t>
            </w:r>
          </w:p>
        </w:tc>
        <w:tc>
          <w:tcPr>
            <w:tcW w:w="1175" w:type="dxa"/>
            <w:vAlign w:val="center"/>
          </w:tcPr>
          <w:p w:rsidR="00876AC9" w:rsidRDefault="00876AC9" w:rsidP="00876AC9">
            <w:pPr>
              <w:jc w:val="right"/>
            </w:pPr>
            <w:r>
              <w:rPr>
                <w:color w:val="000000"/>
                <w:sz w:val="24"/>
              </w:rPr>
              <w:t>8,087</w:t>
            </w:r>
          </w:p>
        </w:tc>
        <w:tc>
          <w:tcPr>
            <w:tcW w:w="975" w:type="dxa"/>
            <w:vAlign w:val="center"/>
          </w:tcPr>
          <w:p w:rsidR="00876AC9" w:rsidRDefault="00876AC9" w:rsidP="00876AC9">
            <w:pPr>
              <w:jc w:val="right"/>
            </w:pPr>
            <w:r>
              <w:rPr>
                <w:color w:val="000000"/>
                <w:sz w:val="24"/>
              </w:rPr>
              <w:t>2,116,325.12</w:t>
            </w:r>
          </w:p>
        </w:tc>
        <w:tc>
          <w:tcPr>
            <w:tcW w:w="1175" w:type="dxa"/>
            <w:vAlign w:val="center"/>
          </w:tcPr>
          <w:p w:rsidR="00876AC9" w:rsidRDefault="00876AC9" w:rsidP="00876AC9">
            <w:pPr>
              <w:jc w:val="right"/>
            </w:pPr>
            <w:r>
              <w:rPr>
                <w:color w:val="000000"/>
                <w:sz w:val="24"/>
              </w:rPr>
              <w:t>1.75</w:t>
            </w:r>
          </w:p>
        </w:tc>
      </w:tr>
      <w:tr w:rsidR="00876AC9">
        <w:trPr>
          <w:jc w:val="center"/>
        </w:trPr>
        <w:tc>
          <w:tcPr>
            <w:tcW w:w="1243" w:type="dxa"/>
            <w:vAlign w:val="center"/>
          </w:tcPr>
          <w:p w:rsidR="00876AC9" w:rsidRDefault="00876AC9" w:rsidP="00876AC9">
            <w:pPr>
              <w:jc w:val="center"/>
            </w:pPr>
            <w:r>
              <w:rPr>
                <w:color w:val="000000"/>
                <w:sz w:val="24"/>
              </w:rPr>
              <w:t>8</w:t>
            </w:r>
          </w:p>
        </w:tc>
        <w:tc>
          <w:tcPr>
            <w:tcW w:w="971" w:type="dxa"/>
            <w:vAlign w:val="center"/>
          </w:tcPr>
          <w:p w:rsidR="00876AC9" w:rsidRDefault="00876AC9" w:rsidP="00876AC9">
            <w:pPr>
              <w:jc w:val="center"/>
            </w:pPr>
            <w:r>
              <w:rPr>
                <w:color w:val="000000"/>
                <w:sz w:val="24"/>
              </w:rPr>
              <w:t xml:space="preserve">Visa </w:t>
            </w:r>
            <w:proofErr w:type="spellStart"/>
            <w:r>
              <w:rPr>
                <w:color w:val="000000"/>
                <w:sz w:val="24"/>
              </w:rPr>
              <w:t>Inc</w:t>
            </w:r>
            <w:proofErr w:type="spellEnd"/>
          </w:p>
        </w:tc>
        <w:tc>
          <w:tcPr>
            <w:tcW w:w="993" w:type="dxa"/>
            <w:vAlign w:val="center"/>
          </w:tcPr>
          <w:p w:rsidR="00876AC9" w:rsidRPr="00105EC0" w:rsidRDefault="00876AC9" w:rsidP="00876AC9">
            <w:pPr>
              <w:jc w:val="center"/>
              <w:rPr>
                <w:rFonts w:ascii="宋体" w:hAnsi="宋体"/>
                <w:color w:val="000000"/>
                <w:sz w:val="24"/>
              </w:rPr>
            </w:pPr>
            <w:r w:rsidRPr="00105EC0">
              <w:rPr>
                <w:rFonts w:ascii="宋体" w:hAnsi="宋体" w:hint="eastAsia"/>
                <w:color w:val="000000"/>
                <w:sz w:val="24"/>
              </w:rPr>
              <w:t>维</w:t>
            </w:r>
            <w:proofErr w:type="gramStart"/>
            <w:r w:rsidRPr="00105EC0">
              <w:rPr>
                <w:rFonts w:ascii="宋体" w:hAnsi="宋体" w:hint="eastAsia"/>
                <w:color w:val="000000"/>
                <w:sz w:val="24"/>
              </w:rPr>
              <w:t>萨</w:t>
            </w:r>
            <w:proofErr w:type="gramEnd"/>
            <w:r w:rsidRPr="00105EC0">
              <w:rPr>
                <w:rFonts w:ascii="宋体" w:hAnsi="宋体" w:hint="eastAsia"/>
                <w:color w:val="000000"/>
                <w:sz w:val="24"/>
              </w:rPr>
              <w:t>公司</w:t>
            </w:r>
          </w:p>
        </w:tc>
        <w:tc>
          <w:tcPr>
            <w:tcW w:w="725" w:type="dxa"/>
            <w:vAlign w:val="center"/>
          </w:tcPr>
          <w:p w:rsidR="00876AC9" w:rsidRDefault="00876AC9" w:rsidP="00876AC9">
            <w:pPr>
              <w:jc w:val="center"/>
            </w:pPr>
            <w:r>
              <w:rPr>
                <w:color w:val="000000"/>
                <w:sz w:val="24"/>
              </w:rPr>
              <w:t>V US</w:t>
            </w:r>
          </w:p>
        </w:tc>
        <w:tc>
          <w:tcPr>
            <w:tcW w:w="747" w:type="dxa"/>
            <w:vAlign w:val="center"/>
          </w:tcPr>
          <w:p w:rsidR="00876AC9" w:rsidRDefault="00876AC9" w:rsidP="00876AC9">
            <w:pPr>
              <w:jc w:val="center"/>
            </w:pPr>
            <w:r>
              <w:rPr>
                <w:color w:val="000000"/>
                <w:sz w:val="24"/>
              </w:rPr>
              <w:t>美国证券交易所</w:t>
            </w:r>
          </w:p>
        </w:tc>
        <w:tc>
          <w:tcPr>
            <w:tcW w:w="975" w:type="dxa"/>
            <w:vAlign w:val="center"/>
          </w:tcPr>
          <w:p w:rsidR="00876AC9" w:rsidRDefault="00876AC9" w:rsidP="00876AC9">
            <w:pPr>
              <w:jc w:val="center"/>
            </w:pPr>
            <w:r>
              <w:rPr>
                <w:color w:val="000000"/>
                <w:sz w:val="24"/>
              </w:rPr>
              <w:t>美国</w:t>
            </w:r>
          </w:p>
        </w:tc>
        <w:tc>
          <w:tcPr>
            <w:tcW w:w="1175" w:type="dxa"/>
            <w:vAlign w:val="center"/>
          </w:tcPr>
          <w:p w:rsidR="00876AC9" w:rsidRDefault="00876AC9" w:rsidP="00876AC9">
            <w:pPr>
              <w:jc w:val="right"/>
            </w:pPr>
            <w:r>
              <w:rPr>
                <w:color w:val="000000"/>
                <w:sz w:val="24"/>
              </w:rPr>
              <w:t>2,799</w:t>
            </w:r>
          </w:p>
        </w:tc>
        <w:tc>
          <w:tcPr>
            <w:tcW w:w="975" w:type="dxa"/>
            <w:vAlign w:val="center"/>
          </w:tcPr>
          <w:p w:rsidR="00876AC9" w:rsidRDefault="00876AC9" w:rsidP="00876AC9">
            <w:pPr>
              <w:jc w:val="right"/>
            </w:pPr>
            <w:r>
              <w:rPr>
                <w:color w:val="000000"/>
                <w:sz w:val="24"/>
              </w:rPr>
              <w:t>2,085,337.53</w:t>
            </w:r>
          </w:p>
        </w:tc>
        <w:tc>
          <w:tcPr>
            <w:tcW w:w="1175" w:type="dxa"/>
            <w:vAlign w:val="center"/>
          </w:tcPr>
          <w:p w:rsidR="00876AC9" w:rsidRDefault="00876AC9" w:rsidP="00876AC9">
            <w:pPr>
              <w:jc w:val="right"/>
            </w:pPr>
            <w:r>
              <w:rPr>
                <w:color w:val="000000"/>
                <w:sz w:val="24"/>
              </w:rPr>
              <w:t>1.72</w:t>
            </w:r>
          </w:p>
        </w:tc>
      </w:tr>
      <w:tr w:rsidR="00876AC9">
        <w:trPr>
          <w:jc w:val="center"/>
        </w:trPr>
        <w:tc>
          <w:tcPr>
            <w:tcW w:w="1243" w:type="dxa"/>
            <w:vAlign w:val="center"/>
          </w:tcPr>
          <w:p w:rsidR="00876AC9" w:rsidRDefault="00876AC9" w:rsidP="00876AC9">
            <w:pPr>
              <w:jc w:val="center"/>
            </w:pPr>
            <w:r>
              <w:rPr>
                <w:color w:val="000000"/>
                <w:sz w:val="24"/>
              </w:rPr>
              <w:t>9</w:t>
            </w:r>
          </w:p>
        </w:tc>
        <w:tc>
          <w:tcPr>
            <w:tcW w:w="971" w:type="dxa"/>
            <w:vAlign w:val="center"/>
          </w:tcPr>
          <w:p w:rsidR="00876AC9" w:rsidRDefault="00876AC9" w:rsidP="00876AC9">
            <w:pPr>
              <w:jc w:val="center"/>
            </w:pPr>
            <w:r>
              <w:rPr>
                <w:color w:val="000000"/>
                <w:sz w:val="24"/>
              </w:rPr>
              <w:t xml:space="preserve">Ping An Insurance (Group) Company Of </w:t>
            </w:r>
            <w:proofErr w:type="spellStart"/>
            <w:r>
              <w:rPr>
                <w:color w:val="000000"/>
                <w:sz w:val="24"/>
              </w:rPr>
              <w:t>China,Ltd</w:t>
            </w:r>
            <w:proofErr w:type="spellEnd"/>
            <w:r>
              <w:rPr>
                <w:color w:val="000000"/>
                <w:sz w:val="24"/>
              </w:rPr>
              <w:t>.</w:t>
            </w:r>
          </w:p>
        </w:tc>
        <w:tc>
          <w:tcPr>
            <w:tcW w:w="993" w:type="dxa"/>
            <w:vAlign w:val="center"/>
          </w:tcPr>
          <w:p w:rsidR="00876AC9" w:rsidRPr="00105EC0" w:rsidRDefault="00876AC9" w:rsidP="00876AC9">
            <w:pPr>
              <w:jc w:val="center"/>
              <w:rPr>
                <w:rFonts w:ascii="宋体" w:hAnsi="宋体"/>
                <w:color w:val="000000"/>
                <w:sz w:val="24"/>
              </w:rPr>
            </w:pPr>
            <w:r w:rsidRPr="00105EC0">
              <w:rPr>
                <w:rFonts w:ascii="宋体" w:hAnsi="宋体" w:hint="eastAsia"/>
                <w:color w:val="000000"/>
                <w:sz w:val="24"/>
              </w:rPr>
              <w:t>中国平安保险</w:t>
            </w:r>
            <w:r w:rsidRPr="00105EC0">
              <w:rPr>
                <w:rFonts w:ascii="宋体" w:hAnsi="宋体"/>
                <w:color w:val="000000"/>
                <w:sz w:val="24"/>
              </w:rPr>
              <w:t>(</w:t>
            </w:r>
            <w:r w:rsidRPr="00105EC0">
              <w:rPr>
                <w:rFonts w:ascii="宋体" w:hAnsi="宋体" w:hint="eastAsia"/>
                <w:color w:val="000000"/>
                <w:sz w:val="24"/>
              </w:rPr>
              <w:t>集团</w:t>
            </w:r>
            <w:r w:rsidRPr="00105EC0">
              <w:rPr>
                <w:rFonts w:ascii="宋体" w:hAnsi="宋体"/>
                <w:color w:val="000000"/>
                <w:sz w:val="24"/>
              </w:rPr>
              <w:t>)</w:t>
            </w:r>
            <w:r w:rsidRPr="00105EC0">
              <w:rPr>
                <w:rFonts w:ascii="宋体" w:hAnsi="宋体" w:hint="eastAsia"/>
                <w:color w:val="000000"/>
                <w:sz w:val="24"/>
              </w:rPr>
              <w:t>股份有限公司</w:t>
            </w:r>
          </w:p>
        </w:tc>
        <w:tc>
          <w:tcPr>
            <w:tcW w:w="725" w:type="dxa"/>
            <w:vAlign w:val="center"/>
          </w:tcPr>
          <w:p w:rsidR="00876AC9" w:rsidRDefault="00876AC9" w:rsidP="00876AC9">
            <w:pPr>
              <w:jc w:val="center"/>
            </w:pPr>
            <w:r>
              <w:rPr>
                <w:color w:val="000000"/>
                <w:sz w:val="24"/>
              </w:rPr>
              <w:t>2318 HK</w:t>
            </w:r>
          </w:p>
        </w:tc>
        <w:tc>
          <w:tcPr>
            <w:tcW w:w="747" w:type="dxa"/>
            <w:vAlign w:val="center"/>
          </w:tcPr>
          <w:p w:rsidR="00876AC9" w:rsidRDefault="00876AC9" w:rsidP="00876AC9">
            <w:pPr>
              <w:jc w:val="center"/>
            </w:pPr>
            <w:r>
              <w:rPr>
                <w:color w:val="000000"/>
                <w:sz w:val="24"/>
              </w:rPr>
              <w:t>香港证券交易所</w:t>
            </w:r>
          </w:p>
        </w:tc>
        <w:tc>
          <w:tcPr>
            <w:tcW w:w="975" w:type="dxa"/>
            <w:vAlign w:val="center"/>
          </w:tcPr>
          <w:p w:rsidR="00876AC9" w:rsidRDefault="00876AC9" w:rsidP="00876AC9">
            <w:pPr>
              <w:jc w:val="center"/>
            </w:pPr>
            <w:r>
              <w:rPr>
                <w:color w:val="000000"/>
                <w:sz w:val="24"/>
              </w:rPr>
              <w:t>香港</w:t>
            </w:r>
          </w:p>
        </w:tc>
        <w:tc>
          <w:tcPr>
            <w:tcW w:w="1175" w:type="dxa"/>
            <w:vAlign w:val="center"/>
          </w:tcPr>
          <w:p w:rsidR="00876AC9" w:rsidRDefault="00876AC9" w:rsidP="00876AC9">
            <w:pPr>
              <w:jc w:val="right"/>
            </w:pPr>
            <w:r>
              <w:rPr>
                <w:color w:val="000000"/>
                <w:sz w:val="24"/>
              </w:rPr>
              <w:t>30,000</w:t>
            </w:r>
          </w:p>
        </w:tc>
        <w:tc>
          <w:tcPr>
            <w:tcW w:w="975" w:type="dxa"/>
            <w:vAlign w:val="center"/>
          </w:tcPr>
          <w:p w:rsidR="00876AC9" w:rsidRDefault="00876AC9" w:rsidP="00876AC9">
            <w:pPr>
              <w:jc w:val="right"/>
            </w:pPr>
            <w:r>
              <w:rPr>
                <w:color w:val="000000"/>
                <w:sz w:val="24"/>
              </w:rPr>
              <w:t>2,039,903.80</w:t>
            </w:r>
          </w:p>
        </w:tc>
        <w:tc>
          <w:tcPr>
            <w:tcW w:w="1175" w:type="dxa"/>
            <w:vAlign w:val="center"/>
          </w:tcPr>
          <w:p w:rsidR="00876AC9" w:rsidRDefault="00876AC9" w:rsidP="00876AC9">
            <w:pPr>
              <w:jc w:val="right"/>
            </w:pPr>
            <w:r>
              <w:rPr>
                <w:color w:val="000000"/>
                <w:sz w:val="24"/>
              </w:rPr>
              <w:t>1.68</w:t>
            </w:r>
          </w:p>
        </w:tc>
      </w:tr>
      <w:tr w:rsidR="00876AC9">
        <w:trPr>
          <w:jc w:val="center"/>
        </w:trPr>
        <w:tc>
          <w:tcPr>
            <w:tcW w:w="1243" w:type="dxa"/>
            <w:vAlign w:val="center"/>
          </w:tcPr>
          <w:p w:rsidR="00876AC9" w:rsidRDefault="00876AC9" w:rsidP="00876AC9">
            <w:pPr>
              <w:jc w:val="center"/>
            </w:pPr>
            <w:r>
              <w:rPr>
                <w:color w:val="000000"/>
                <w:sz w:val="24"/>
              </w:rPr>
              <w:t>10</w:t>
            </w:r>
          </w:p>
        </w:tc>
        <w:tc>
          <w:tcPr>
            <w:tcW w:w="971" w:type="dxa"/>
            <w:vAlign w:val="center"/>
          </w:tcPr>
          <w:p w:rsidR="00876AC9" w:rsidRDefault="00876AC9" w:rsidP="00876AC9">
            <w:pPr>
              <w:jc w:val="center"/>
            </w:pPr>
            <w:r>
              <w:rPr>
                <w:color w:val="000000"/>
                <w:sz w:val="24"/>
              </w:rPr>
              <w:t xml:space="preserve">Citigroup </w:t>
            </w:r>
            <w:proofErr w:type="spellStart"/>
            <w:r>
              <w:rPr>
                <w:color w:val="000000"/>
                <w:sz w:val="24"/>
              </w:rPr>
              <w:t>Inc</w:t>
            </w:r>
            <w:proofErr w:type="spellEnd"/>
          </w:p>
        </w:tc>
        <w:tc>
          <w:tcPr>
            <w:tcW w:w="993" w:type="dxa"/>
            <w:vAlign w:val="center"/>
          </w:tcPr>
          <w:p w:rsidR="00876AC9" w:rsidRPr="00105EC0" w:rsidRDefault="00876AC9" w:rsidP="00876AC9">
            <w:pPr>
              <w:jc w:val="center"/>
              <w:rPr>
                <w:rFonts w:ascii="宋体" w:hAnsi="宋体"/>
                <w:color w:val="000000"/>
                <w:sz w:val="24"/>
              </w:rPr>
            </w:pPr>
            <w:r w:rsidRPr="00105EC0">
              <w:rPr>
                <w:rFonts w:ascii="宋体" w:hAnsi="宋体" w:hint="eastAsia"/>
                <w:color w:val="000000"/>
                <w:sz w:val="24"/>
              </w:rPr>
              <w:t>花旗集团</w:t>
            </w:r>
          </w:p>
        </w:tc>
        <w:tc>
          <w:tcPr>
            <w:tcW w:w="725" w:type="dxa"/>
            <w:vAlign w:val="center"/>
          </w:tcPr>
          <w:p w:rsidR="00876AC9" w:rsidRDefault="00876AC9" w:rsidP="00876AC9">
            <w:pPr>
              <w:jc w:val="center"/>
            </w:pPr>
            <w:r>
              <w:rPr>
                <w:color w:val="000000"/>
                <w:sz w:val="24"/>
              </w:rPr>
              <w:t>C US</w:t>
            </w:r>
          </w:p>
        </w:tc>
        <w:tc>
          <w:tcPr>
            <w:tcW w:w="747" w:type="dxa"/>
            <w:vAlign w:val="center"/>
          </w:tcPr>
          <w:p w:rsidR="00876AC9" w:rsidRDefault="00876AC9" w:rsidP="00876AC9">
            <w:pPr>
              <w:jc w:val="center"/>
            </w:pPr>
            <w:r>
              <w:rPr>
                <w:color w:val="000000"/>
                <w:sz w:val="24"/>
              </w:rPr>
              <w:t>美国证券交易所</w:t>
            </w:r>
          </w:p>
        </w:tc>
        <w:tc>
          <w:tcPr>
            <w:tcW w:w="975" w:type="dxa"/>
            <w:vAlign w:val="center"/>
          </w:tcPr>
          <w:p w:rsidR="00876AC9" w:rsidRDefault="00876AC9" w:rsidP="00876AC9">
            <w:pPr>
              <w:jc w:val="center"/>
            </w:pPr>
            <w:r>
              <w:rPr>
                <w:color w:val="000000"/>
                <w:sz w:val="24"/>
              </w:rPr>
              <w:t>美国</w:t>
            </w:r>
          </w:p>
        </w:tc>
        <w:tc>
          <w:tcPr>
            <w:tcW w:w="1175" w:type="dxa"/>
            <w:vAlign w:val="center"/>
          </w:tcPr>
          <w:p w:rsidR="00876AC9" w:rsidRDefault="00876AC9" w:rsidP="00876AC9">
            <w:pPr>
              <w:jc w:val="right"/>
            </w:pPr>
            <w:r>
              <w:rPr>
                <w:color w:val="000000"/>
                <w:sz w:val="24"/>
              </w:rPr>
              <w:t>4,178</w:t>
            </w:r>
          </w:p>
        </w:tc>
        <w:tc>
          <w:tcPr>
            <w:tcW w:w="975" w:type="dxa"/>
            <w:vAlign w:val="center"/>
          </w:tcPr>
          <w:p w:rsidR="00876AC9" w:rsidRDefault="00876AC9" w:rsidP="00876AC9">
            <w:pPr>
              <w:jc w:val="right"/>
            </w:pPr>
            <w:r>
              <w:rPr>
                <w:color w:val="000000"/>
                <w:sz w:val="24"/>
              </w:rPr>
              <w:t>2,031,384.64</w:t>
            </w:r>
          </w:p>
        </w:tc>
        <w:tc>
          <w:tcPr>
            <w:tcW w:w="1175" w:type="dxa"/>
            <w:vAlign w:val="center"/>
          </w:tcPr>
          <w:p w:rsidR="00876AC9" w:rsidRDefault="00876AC9" w:rsidP="00876AC9">
            <w:pPr>
              <w:jc w:val="right"/>
            </w:pPr>
            <w:r>
              <w:rPr>
                <w:color w:val="000000"/>
                <w:sz w:val="24"/>
              </w:rPr>
              <w:t>1.68</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99,252.08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929.46</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309,327.37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409,508.91</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lastRenderedPageBreak/>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65,542,269.53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3,574,650.22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4,497,216.92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64,619,702.83</w:t>
            </w:r>
          </w:p>
        </w:tc>
      </w:tr>
    </w:tbl>
    <w:p w:rsidR="004E4EB3" w:rsidRDefault="002A0C6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26,054,355.51</w:t>
      </w:r>
      <w:r w:rsidRPr="008640AE">
        <w:rPr>
          <w:color w:val="000000"/>
          <w:sz w:val="24"/>
        </w:rPr>
        <w:t>份，占本基金期末总份额的</w:t>
      </w:r>
      <w:r w:rsidRPr="008640AE">
        <w:rPr>
          <w:color w:val="000000"/>
          <w:sz w:val="24"/>
        </w:rPr>
        <w:t>40.32%</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ED3DCF" w:rsidRDefault="00ED3DCF" w:rsidP="00ED3DC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ED3DCF" w:rsidRDefault="00ED3DCF" w:rsidP="00ED3DCF">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3DCF" w:rsidTr="00ED3DCF">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w="993" w:type="dxa"/>
            <w:vMerge/>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E4EB3">
        <w:tc>
          <w:tcPr>
            <w:tcW w:w="992" w:type="dxa"/>
            <w:vMerge w:val="restart"/>
          </w:tcPr>
          <w:p w:rsidR="004E4EB3" w:rsidRDefault="004E4EB3"/>
          <w:p w:rsidR="004E4EB3" w:rsidRDefault="002A0C69">
            <w:r>
              <w:rPr>
                <w:rFonts w:ascii="宋体" w:hAnsi="宋体" w:hint="eastAsia"/>
                <w:bCs/>
                <w:color w:val="000000"/>
                <w:kern w:val="0"/>
                <w:szCs w:val="21"/>
              </w:rPr>
              <w:t>机构</w:t>
            </w:r>
          </w:p>
        </w:tc>
        <w:tc>
          <w:tcPr>
            <w:tcW w:w="991" w:type="dxa"/>
            <w:vAlign w:val="center"/>
          </w:tcPr>
          <w:p w:rsidR="004E4EB3" w:rsidRDefault="002A0C69">
            <w:pPr>
              <w:jc w:val="center"/>
            </w:pPr>
            <w:r>
              <w:rPr>
                <w:rFonts w:ascii="宋体" w:hAnsi="宋体" w:hint="eastAsia"/>
                <w:color w:val="000000"/>
                <w:kern w:val="0"/>
                <w:szCs w:val="21"/>
              </w:rPr>
              <w:t>1</w:t>
            </w:r>
          </w:p>
        </w:tc>
        <w:tc>
          <w:tcPr>
            <w:tcW w:w="1843" w:type="dxa"/>
            <w:vAlign w:val="center"/>
          </w:tcPr>
          <w:p w:rsidR="004E4EB3" w:rsidRDefault="002A0C69">
            <w:pPr>
              <w:jc w:val="center"/>
            </w:pPr>
            <w:r>
              <w:rPr>
                <w:rFonts w:ascii="宋体" w:hAnsi="宋体" w:hint="eastAsia"/>
                <w:color w:val="000000"/>
                <w:kern w:val="0"/>
                <w:szCs w:val="21"/>
              </w:rPr>
              <w:t>2017/10/1-2017/12/31</w:t>
            </w:r>
          </w:p>
        </w:tc>
        <w:tc>
          <w:tcPr>
            <w:tcW w:w="851" w:type="dxa"/>
            <w:vAlign w:val="center"/>
          </w:tcPr>
          <w:p w:rsidR="004E4EB3" w:rsidRDefault="002A0C69">
            <w:pPr>
              <w:jc w:val="center"/>
            </w:pPr>
            <w:r>
              <w:rPr>
                <w:rFonts w:ascii="宋体" w:hAnsi="宋体" w:hint="eastAsia"/>
                <w:color w:val="000000"/>
                <w:kern w:val="0"/>
                <w:szCs w:val="21"/>
              </w:rPr>
              <w:t>26,054,355.51</w:t>
            </w:r>
          </w:p>
        </w:tc>
        <w:tc>
          <w:tcPr>
            <w:tcW w:w="850" w:type="dxa"/>
            <w:vAlign w:val="center"/>
          </w:tcPr>
          <w:p w:rsidR="004E4EB3" w:rsidRDefault="002A0C69">
            <w:pPr>
              <w:jc w:val="center"/>
            </w:pPr>
            <w:r>
              <w:rPr>
                <w:rFonts w:ascii="宋体" w:hAnsi="宋体" w:hint="eastAsia"/>
                <w:color w:val="000000"/>
                <w:kern w:val="0"/>
                <w:szCs w:val="21"/>
              </w:rPr>
              <w:t>-</w:t>
            </w:r>
          </w:p>
        </w:tc>
        <w:tc>
          <w:tcPr>
            <w:tcW w:w="1134" w:type="dxa"/>
            <w:vAlign w:val="center"/>
          </w:tcPr>
          <w:p w:rsidR="004E4EB3" w:rsidRDefault="002A0C69">
            <w:pPr>
              <w:jc w:val="center"/>
            </w:pPr>
            <w:r>
              <w:rPr>
                <w:rFonts w:ascii="宋体" w:hAnsi="宋体" w:hint="eastAsia"/>
                <w:color w:val="000000"/>
                <w:kern w:val="0"/>
                <w:szCs w:val="21"/>
              </w:rPr>
              <w:t>-</w:t>
            </w:r>
          </w:p>
        </w:tc>
        <w:tc>
          <w:tcPr>
            <w:tcW w:w="1419" w:type="dxa"/>
            <w:vAlign w:val="center"/>
          </w:tcPr>
          <w:p w:rsidR="004E4EB3" w:rsidRDefault="002A0C69">
            <w:pPr>
              <w:jc w:val="center"/>
            </w:pPr>
            <w:r>
              <w:rPr>
                <w:rFonts w:ascii="宋体" w:hAnsi="宋体" w:hint="eastAsia"/>
                <w:color w:val="000000"/>
                <w:kern w:val="0"/>
                <w:szCs w:val="21"/>
              </w:rPr>
              <w:t>26,054,355.51</w:t>
            </w:r>
          </w:p>
        </w:tc>
        <w:tc>
          <w:tcPr>
            <w:tcW w:w="1130" w:type="dxa"/>
            <w:vAlign w:val="center"/>
          </w:tcPr>
          <w:p w:rsidR="004E4EB3" w:rsidRDefault="002A0C69" w:rsidP="002A0C69">
            <w:pPr>
              <w:jc w:val="center"/>
            </w:pPr>
            <w:r>
              <w:rPr>
                <w:rFonts w:ascii="宋体" w:hAnsi="宋体" w:hint="eastAsia"/>
                <w:color w:val="000000"/>
                <w:kern w:val="0"/>
                <w:szCs w:val="21"/>
              </w:rPr>
              <w:t>40.3</w:t>
            </w:r>
            <w:r>
              <w:rPr>
                <w:rFonts w:ascii="宋体" w:hAnsi="宋体"/>
                <w:color w:val="000000"/>
                <w:kern w:val="0"/>
                <w:szCs w:val="21"/>
              </w:rPr>
              <w:t>2</w:t>
            </w:r>
            <w:r>
              <w:rPr>
                <w:rFonts w:ascii="宋体" w:hAnsi="宋体" w:hint="eastAsia"/>
                <w:color w:val="000000"/>
                <w:kern w:val="0"/>
                <w:szCs w:val="21"/>
              </w:rPr>
              <w:t>%</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4E4EB3" w:rsidRDefault="002A0C69">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4E4EB3" w:rsidRDefault="002A0C69">
      <w:pPr>
        <w:spacing w:before="29" w:line="288" w:lineRule="auto"/>
        <w:ind w:firstLineChars="200" w:firstLine="480"/>
        <w:rPr>
          <w:color w:val="000000"/>
          <w:sz w:val="24"/>
        </w:rPr>
      </w:pPr>
      <w:r>
        <w:rPr>
          <w:color w:val="000000"/>
          <w:sz w:val="24"/>
        </w:rPr>
        <w:lastRenderedPageBreak/>
        <w:t>2</w:t>
      </w:r>
      <w:r>
        <w:rPr>
          <w:color w:val="000000"/>
          <w:sz w:val="24"/>
        </w:rPr>
        <w:t>、《交银施罗德环球精选价值证券投资基金基金合同》；</w:t>
      </w:r>
    </w:p>
    <w:p w:rsidR="004E4EB3" w:rsidRDefault="002A0C69">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4E4EB3" w:rsidRDefault="002A0C69">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4E4EB3" w:rsidRDefault="002A0C69">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4E4EB3" w:rsidRDefault="002A0C6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E4EB3" w:rsidRDefault="002A0C6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4E4EB3" w:rsidRDefault="002A0C6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6E5" w:rsidRDefault="004D16E5">
      <w:r>
        <w:separator/>
      </w:r>
    </w:p>
  </w:endnote>
  <w:endnote w:type="continuationSeparator" w:id="0">
    <w:p w:rsidR="004D16E5" w:rsidRDefault="004D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0C31D4">
      <w:rPr>
        <w:kern w:val="0"/>
        <w:szCs w:val="21"/>
      </w:rPr>
      <w:fldChar w:fldCharType="begin"/>
    </w:r>
    <w:r>
      <w:rPr>
        <w:kern w:val="0"/>
        <w:szCs w:val="21"/>
      </w:rPr>
      <w:instrText xml:space="preserve"> PAGE </w:instrText>
    </w:r>
    <w:r w:rsidR="000C31D4">
      <w:rPr>
        <w:kern w:val="0"/>
        <w:szCs w:val="21"/>
      </w:rPr>
      <w:fldChar w:fldCharType="separate"/>
    </w:r>
    <w:r w:rsidR="003F3E2B">
      <w:rPr>
        <w:noProof/>
        <w:kern w:val="0"/>
        <w:szCs w:val="21"/>
      </w:rPr>
      <w:t>13</w:t>
    </w:r>
    <w:r w:rsidR="000C31D4">
      <w:rPr>
        <w:kern w:val="0"/>
        <w:szCs w:val="21"/>
      </w:rPr>
      <w:fldChar w:fldCharType="end"/>
    </w:r>
    <w:proofErr w:type="gramStart"/>
    <w:r>
      <w:rPr>
        <w:rFonts w:hint="eastAsia"/>
        <w:kern w:val="0"/>
        <w:szCs w:val="21"/>
      </w:rPr>
      <w:t>页共</w:t>
    </w:r>
    <w:proofErr w:type="gramEnd"/>
    <w:r w:rsidR="000C31D4">
      <w:rPr>
        <w:kern w:val="0"/>
        <w:szCs w:val="21"/>
      </w:rPr>
      <w:fldChar w:fldCharType="begin"/>
    </w:r>
    <w:r>
      <w:rPr>
        <w:kern w:val="0"/>
        <w:szCs w:val="21"/>
      </w:rPr>
      <w:instrText xml:space="preserve"> NUMPAGES </w:instrText>
    </w:r>
    <w:r w:rsidR="000C31D4">
      <w:rPr>
        <w:kern w:val="0"/>
        <w:szCs w:val="21"/>
      </w:rPr>
      <w:fldChar w:fldCharType="separate"/>
    </w:r>
    <w:r w:rsidR="003F3E2B">
      <w:rPr>
        <w:noProof/>
        <w:kern w:val="0"/>
        <w:szCs w:val="21"/>
      </w:rPr>
      <w:t>13</w:t>
    </w:r>
    <w:r w:rsidR="000C31D4">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0C31D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6E5" w:rsidRDefault="004D16E5">
      <w:r>
        <w:separator/>
      </w:r>
    </w:p>
  </w:footnote>
  <w:footnote w:type="continuationSeparator" w:id="0">
    <w:p w:rsidR="004D16E5" w:rsidRDefault="004D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5EC0"/>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0C69"/>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3E2B"/>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16E5"/>
    <w:rsid w:val="004D3971"/>
    <w:rsid w:val="004D3D96"/>
    <w:rsid w:val="004D650F"/>
    <w:rsid w:val="004E2133"/>
    <w:rsid w:val="004E3D41"/>
    <w:rsid w:val="004E4EB3"/>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55CE"/>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6E0E"/>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6AC9"/>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78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6302"/>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137"/>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3771B4D-F688-4479-B313-7846D2E0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 w:type="paragraph" w:styleId="af9">
    <w:name w:val="Revision"/>
    <w:hidden/>
    <w:uiPriority w:val="99"/>
    <w:semiHidden/>
    <w:rsid w:val="00756E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109</TotalTime>
  <Pages>13</Pages>
  <Words>1156</Words>
  <Characters>6590</Characters>
  <Application>Microsoft Office Word</Application>
  <DocSecurity>0</DocSecurity>
  <Lines>54</Lines>
  <Paragraphs>15</Paragraphs>
  <ScaleCrop>false</ScaleCrop>
  <Company>TRT. Ltd. Co.</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245</cp:revision>
  <cp:lastPrinted>2007-07-19T00:46:00Z</cp:lastPrinted>
  <dcterms:created xsi:type="dcterms:W3CDTF">2013-08-01T05:26:00Z</dcterms:created>
  <dcterms:modified xsi:type="dcterms:W3CDTF">2018-01-18T06:41:00Z</dcterms:modified>
</cp:coreProperties>
</file>