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E21A1" w14:textId="77777777" w:rsidR="00636D9F" w:rsidRDefault="00E6252A" w:rsidP="00E6252A">
      <w:pPr>
        <w:widowControl/>
        <w:spacing w:line="360" w:lineRule="auto"/>
        <w:ind w:firstLineChars="200" w:firstLine="602"/>
        <w:jc w:val="center"/>
      </w:pPr>
      <w:r w:rsidRPr="00E6252A">
        <w:rPr>
          <w:rFonts w:ascii="Arial" w:eastAsia="宋体" w:hAnsi="Arial" w:cs="Arial" w:hint="eastAsia"/>
          <w:b/>
          <w:bCs/>
          <w:kern w:val="0"/>
          <w:sz w:val="30"/>
          <w:szCs w:val="30"/>
        </w:rPr>
        <w:t>交银施罗德基金管理有限公司关于旗下基金调整流通受限股票估值方法的公告</w:t>
      </w:r>
    </w:p>
    <w:p w14:paraId="040CE01B" w14:textId="77777777" w:rsidR="00E6252A" w:rsidRDefault="00E6252A" w:rsidP="00E6252A">
      <w:pPr>
        <w:widowControl/>
        <w:spacing w:line="360" w:lineRule="auto"/>
        <w:ind w:firstLineChars="200" w:firstLine="420"/>
        <w:jc w:val="center"/>
      </w:pPr>
    </w:p>
    <w:p w14:paraId="7CFE0B46" w14:textId="588488B4" w:rsidR="00E6252A" w:rsidRDefault="00E6252A" w:rsidP="00E6252A">
      <w:pPr>
        <w:widowControl/>
        <w:spacing w:line="360" w:lineRule="auto"/>
        <w:ind w:firstLineChars="200" w:firstLine="480"/>
        <w:rPr>
          <w:rFonts w:ascii="宋体" w:eastAsia="宋体" w:hAnsi="宋体" w:cs="宋体"/>
          <w:kern w:val="0"/>
          <w:sz w:val="24"/>
          <w:szCs w:val="21"/>
        </w:rPr>
      </w:pPr>
      <w:r w:rsidRPr="00E6252A">
        <w:rPr>
          <w:rFonts w:ascii="宋体" w:eastAsia="宋体" w:hAnsi="宋体" w:cs="宋体"/>
          <w:kern w:val="0"/>
          <w:sz w:val="24"/>
          <w:szCs w:val="21"/>
        </w:rPr>
        <w:t>为确保证券投资基金估值的合理性和公允性，根据</w:t>
      </w:r>
      <w:r w:rsidR="00DD51FB">
        <w:rPr>
          <w:rFonts w:ascii="宋体" w:eastAsia="宋体" w:hAnsi="宋体" w:cs="宋体" w:hint="eastAsia"/>
          <w:kern w:val="0"/>
          <w:sz w:val="24"/>
          <w:szCs w:val="21"/>
        </w:rPr>
        <w:t>中国证券投资</w:t>
      </w:r>
      <w:r w:rsidR="00DD51FB">
        <w:rPr>
          <w:rFonts w:ascii="宋体" w:eastAsia="宋体" w:hAnsi="宋体" w:cs="宋体"/>
          <w:kern w:val="0"/>
          <w:sz w:val="24"/>
          <w:szCs w:val="21"/>
        </w:rPr>
        <w:t>基金业协会发布的</w:t>
      </w:r>
      <w:r w:rsidRPr="00E6252A">
        <w:rPr>
          <w:rFonts w:ascii="宋体" w:eastAsia="宋体" w:hAnsi="宋体" w:cs="宋体"/>
          <w:kern w:val="0"/>
          <w:sz w:val="24"/>
          <w:szCs w:val="21"/>
        </w:rPr>
        <w:t>《证券投资基金投资流通受限股票估值指引(试行)》(以下简称</w:t>
      </w:r>
      <w:r>
        <w:rPr>
          <w:rFonts w:ascii="宋体" w:eastAsia="宋体" w:hAnsi="宋体" w:cs="宋体"/>
          <w:kern w:val="0"/>
          <w:sz w:val="24"/>
          <w:szCs w:val="21"/>
        </w:rPr>
        <w:t>“</w:t>
      </w:r>
      <w:r w:rsidRPr="00E6252A">
        <w:rPr>
          <w:rFonts w:ascii="宋体" w:eastAsia="宋体" w:hAnsi="宋体" w:cs="宋体"/>
          <w:kern w:val="0"/>
          <w:sz w:val="24"/>
          <w:szCs w:val="21"/>
        </w:rPr>
        <w:t>估值指引</w:t>
      </w:r>
      <w:r>
        <w:rPr>
          <w:rFonts w:ascii="宋体" w:eastAsia="宋体" w:hAnsi="宋体" w:cs="宋体"/>
          <w:kern w:val="0"/>
          <w:sz w:val="24"/>
          <w:szCs w:val="21"/>
        </w:rPr>
        <w:t>”</w:t>
      </w:r>
      <w:r w:rsidRPr="00E6252A">
        <w:rPr>
          <w:rFonts w:ascii="宋体" w:eastAsia="宋体" w:hAnsi="宋体" w:cs="宋体"/>
          <w:kern w:val="0"/>
          <w:sz w:val="24"/>
          <w:szCs w:val="21"/>
        </w:rPr>
        <w:t>)，经与相关</w:t>
      </w:r>
      <w:r>
        <w:rPr>
          <w:rFonts w:ascii="宋体" w:eastAsia="宋体" w:hAnsi="宋体" w:cs="宋体" w:hint="eastAsia"/>
          <w:kern w:val="0"/>
          <w:sz w:val="24"/>
          <w:szCs w:val="21"/>
        </w:rPr>
        <w:t>基金托管人</w:t>
      </w:r>
      <w:r w:rsidRPr="00E6252A">
        <w:rPr>
          <w:rFonts w:ascii="宋体" w:eastAsia="宋体" w:hAnsi="宋体" w:cs="宋体"/>
          <w:kern w:val="0"/>
          <w:sz w:val="24"/>
          <w:szCs w:val="21"/>
        </w:rPr>
        <w:t>、会计师事务所协商一致，自2017年</w:t>
      </w:r>
      <w:r w:rsidR="00FD423E">
        <w:rPr>
          <w:rFonts w:ascii="宋体" w:eastAsia="宋体" w:hAnsi="宋体" w:cs="宋体" w:hint="eastAsia"/>
          <w:kern w:val="0"/>
          <w:sz w:val="24"/>
          <w:szCs w:val="21"/>
        </w:rPr>
        <w:t>11</w:t>
      </w:r>
      <w:r w:rsidRPr="00E6252A">
        <w:rPr>
          <w:rFonts w:ascii="宋体" w:eastAsia="宋体" w:hAnsi="宋体" w:cs="宋体"/>
          <w:kern w:val="0"/>
          <w:sz w:val="24"/>
          <w:szCs w:val="21"/>
        </w:rPr>
        <w:t>月</w:t>
      </w:r>
      <w:r w:rsidR="00FD423E">
        <w:rPr>
          <w:rFonts w:ascii="宋体" w:eastAsia="宋体" w:hAnsi="宋体" w:cs="宋体" w:hint="eastAsia"/>
          <w:kern w:val="0"/>
          <w:sz w:val="24"/>
          <w:szCs w:val="21"/>
        </w:rPr>
        <w:t>15</w:t>
      </w:r>
      <w:r w:rsidRPr="00E6252A">
        <w:rPr>
          <w:rFonts w:ascii="宋体" w:eastAsia="宋体" w:hAnsi="宋体" w:cs="宋体"/>
          <w:kern w:val="0"/>
          <w:sz w:val="24"/>
          <w:szCs w:val="21"/>
        </w:rPr>
        <w:t>日起，</w:t>
      </w:r>
      <w:r w:rsidRPr="005E3B30">
        <w:rPr>
          <w:rFonts w:ascii="宋体" w:hAnsi="宋体"/>
          <w:sz w:val="24"/>
        </w:rPr>
        <w:t>交银施罗德基金管理有限公司（以下简称</w:t>
      </w:r>
      <w:r w:rsidRPr="005E3B30">
        <w:rPr>
          <w:rFonts w:ascii="宋体" w:hAnsi="宋体" w:hint="eastAsia"/>
          <w:sz w:val="24"/>
        </w:rPr>
        <w:t>“</w:t>
      </w:r>
      <w:r w:rsidRPr="005E3B30">
        <w:rPr>
          <w:rFonts w:ascii="宋体" w:hAnsi="宋体"/>
          <w:sz w:val="24"/>
        </w:rPr>
        <w:t>本基金管理人</w:t>
      </w:r>
      <w:r w:rsidRPr="005E3B30">
        <w:rPr>
          <w:rFonts w:ascii="宋体" w:hAnsi="宋体" w:hint="eastAsia"/>
          <w:sz w:val="24"/>
        </w:rPr>
        <w:t>”</w:t>
      </w:r>
      <w:r w:rsidRPr="005E3B30">
        <w:rPr>
          <w:rFonts w:ascii="宋体" w:hAnsi="宋体"/>
          <w:sz w:val="24"/>
        </w:rPr>
        <w:t>）</w:t>
      </w:r>
      <w:r w:rsidRPr="00E6252A">
        <w:rPr>
          <w:rFonts w:ascii="宋体" w:eastAsia="宋体" w:hAnsi="宋体" w:cs="宋体"/>
          <w:kern w:val="0"/>
          <w:sz w:val="24"/>
          <w:szCs w:val="21"/>
        </w:rPr>
        <w:t>对旗下</w:t>
      </w:r>
      <w:r>
        <w:rPr>
          <w:rFonts w:ascii="宋体" w:eastAsia="宋体" w:hAnsi="宋体" w:cs="宋体" w:hint="eastAsia"/>
          <w:kern w:val="0"/>
          <w:sz w:val="24"/>
          <w:szCs w:val="21"/>
        </w:rPr>
        <w:t>管理</w:t>
      </w:r>
      <w:r>
        <w:rPr>
          <w:rFonts w:ascii="宋体" w:eastAsia="宋体" w:hAnsi="宋体" w:cs="宋体"/>
          <w:kern w:val="0"/>
          <w:sz w:val="24"/>
          <w:szCs w:val="21"/>
        </w:rPr>
        <w:t>的</w:t>
      </w:r>
      <w:r w:rsidRPr="00E6252A">
        <w:rPr>
          <w:rFonts w:ascii="宋体" w:eastAsia="宋体" w:hAnsi="宋体" w:cs="宋体"/>
          <w:kern w:val="0"/>
          <w:sz w:val="24"/>
          <w:szCs w:val="21"/>
        </w:rPr>
        <w:t>基金持有的流通受限股票的估值方法进行调整，参考估值指引进行估值。敬请投资者予以关注。</w:t>
      </w:r>
    </w:p>
    <w:p w14:paraId="390387B9" w14:textId="77777777" w:rsidR="00E6252A" w:rsidRDefault="00E6252A" w:rsidP="00E6252A">
      <w:pPr>
        <w:widowControl/>
        <w:spacing w:line="360" w:lineRule="auto"/>
        <w:ind w:firstLineChars="200" w:firstLine="480"/>
        <w:rPr>
          <w:rFonts w:ascii="宋体" w:eastAsia="宋体" w:hAnsi="宋体" w:cs="宋体"/>
          <w:kern w:val="0"/>
          <w:sz w:val="24"/>
          <w:szCs w:val="21"/>
        </w:rPr>
      </w:pPr>
    </w:p>
    <w:p w14:paraId="577A9175" w14:textId="77777777" w:rsidR="00E6252A" w:rsidRDefault="00E6252A" w:rsidP="00E6252A">
      <w:pPr>
        <w:widowControl/>
        <w:spacing w:line="360" w:lineRule="auto"/>
        <w:ind w:firstLineChars="200" w:firstLine="480"/>
        <w:rPr>
          <w:rFonts w:ascii="宋体" w:eastAsia="宋体" w:hAnsi="宋体" w:cs="宋体"/>
          <w:kern w:val="0"/>
          <w:sz w:val="24"/>
          <w:szCs w:val="21"/>
        </w:rPr>
      </w:pPr>
      <w:r w:rsidRPr="00E6252A">
        <w:rPr>
          <w:rFonts w:ascii="宋体" w:eastAsia="宋体" w:hAnsi="宋体" w:cs="宋体"/>
          <w:kern w:val="0"/>
          <w:sz w:val="24"/>
          <w:szCs w:val="21"/>
        </w:rPr>
        <w:t>重要提示</w:t>
      </w:r>
      <w:r>
        <w:rPr>
          <w:rFonts w:ascii="宋体" w:eastAsia="宋体" w:hAnsi="宋体" w:cs="宋体" w:hint="eastAsia"/>
          <w:kern w:val="0"/>
          <w:sz w:val="24"/>
          <w:szCs w:val="21"/>
        </w:rPr>
        <w:t>：</w:t>
      </w:r>
      <w:r w:rsidRPr="00E6252A">
        <w:rPr>
          <w:rFonts w:ascii="宋体" w:eastAsia="宋体" w:hAnsi="宋体" w:cs="宋体"/>
          <w:kern w:val="0"/>
          <w:sz w:val="24"/>
          <w:szCs w:val="21"/>
        </w:rPr>
        <w:t>基金估值方法调整当日可能会对基金份额净值产生一定影响</w:t>
      </w:r>
      <w:r>
        <w:rPr>
          <w:rFonts w:ascii="宋体" w:eastAsia="宋体" w:hAnsi="宋体" w:cs="宋体" w:hint="eastAsia"/>
          <w:kern w:val="0"/>
          <w:sz w:val="24"/>
          <w:szCs w:val="21"/>
        </w:rPr>
        <w:t>，</w:t>
      </w:r>
      <w:r w:rsidRPr="00E6252A">
        <w:rPr>
          <w:rFonts w:ascii="宋体" w:eastAsia="宋体" w:hAnsi="宋体" w:cs="宋体"/>
          <w:kern w:val="0"/>
          <w:sz w:val="24"/>
          <w:szCs w:val="21"/>
        </w:rPr>
        <w:t>上市基金估值方法调整后</w:t>
      </w:r>
      <w:r>
        <w:rPr>
          <w:rFonts w:ascii="宋体" w:eastAsia="宋体" w:hAnsi="宋体" w:cs="宋体" w:hint="eastAsia"/>
          <w:kern w:val="0"/>
          <w:sz w:val="24"/>
          <w:szCs w:val="21"/>
        </w:rPr>
        <w:t>，</w:t>
      </w:r>
      <w:r w:rsidRPr="00E6252A">
        <w:rPr>
          <w:rFonts w:ascii="宋体" w:eastAsia="宋体" w:hAnsi="宋体" w:cs="宋体"/>
          <w:kern w:val="0"/>
          <w:sz w:val="24"/>
          <w:szCs w:val="21"/>
        </w:rPr>
        <w:t>基金交易价格与基金份额净值之间折溢价比例可能发生一定变化</w:t>
      </w:r>
      <w:r>
        <w:rPr>
          <w:rFonts w:ascii="宋体" w:eastAsia="宋体" w:hAnsi="宋体" w:cs="宋体" w:hint="eastAsia"/>
          <w:kern w:val="0"/>
          <w:sz w:val="24"/>
          <w:szCs w:val="21"/>
        </w:rPr>
        <w:t>，</w:t>
      </w:r>
      <w:r w:rsidRPr="00E6252A">
        <w:rPr>
          <w:rFonts w:ascii="宋体" w:eastAsia="宋体" w:hAnsi="宋体" w:cs="宋体"/>
          <w:kern w:val="0"/>
          <w:sz w:val="24"/>
          <w:szCs w:val="21"/>
        </w:rPr>
        <w:t>敬请投资者关注投资风险并审慎作出投资决策。</w:t>
      </w:r>
    </w:p>
    <w:p w14:paraId="142B19C3" w14:textId="77777777" w:rsidR="00E6252A" w:rsidRDefault="00E6252A" w:rsidP="00E6252A">
      <w:pPr>
        <w:spacing w:line="360" w:lineRule="auto"/>
        <w:ind w:firstLineChars="200" w:firstLine="480"/>
        <w:outlineLvl w:val="2"/>
        <w:rPr>
          <w:rFonts w:ascii="Times New Roman" w:hAnsi="Times New Roman" w:cs="Times New Roman"/>
          <w:sz w:val="24"/>
        </w:rPr>
      </w:pPr>
      <w:r w:rsidRPr="00E21E94">
        <w:rPr>
          <w:rFonts w:ascii="Times New Roman" w:hAnsi="Times New Roman" w:cs="Times New Roman"/>
          <w:sz w:val="24"/>
        </w:rPr>
        <w:t>如有疑问</w:t>
      </w:r>
      <w:r>
        <w:rPr>
          <w:rFonts w:ascii="Times New Roman" w:hAnsi="Times New Roman" w:cs="Times New Roman" w:hint="eastAsia"/>
          <w:sz w:val="24"/>
        </w:rPr>
        <w:t>，</w:t>
      </w:r>
      <w:r w:rsidRPr="00E21E94">
        <w:rPr>
          <w:rFonts w:ascii="Times New Roman" w:hAnsi="Times New Roman" w:cs="Times New Roman"/>
          <w:sz w:val="24"/>
        </w:rPr>
        <w:t>请拨打客户服务热线：</w:t>
      </w:r>
      <w:r w:rsidRPr="00E21E94">
        <w:rPr>
          <w:rFonts w:ascii="Times New Roman" w:hAnsi="Times New Roman" w:cs="Times New Roman"/>
          <w:sz w:val="24"/>
        </w:rPr>
        <w:t>400-700-5000</w:t>
      </w:r>
      <w:r w:rsidRPr="00E21E94">
        <w:rPr>
          <w:rFonts w:ascii="Times New Roman" w:hAnsi="Times New Roman" w:cs="Times New Roman"/>
          <w:sz w:val="24"/>
        </w:rPr>
        <w:t>（免长途话费），</w:t>
      </w:r>
      <w:r w:rsidRPr="00E21E94">
        <w:rPr>
          <w:rFonts w:ascii="Times New Roman" w:hAnsi="Times New Roman" w:cs="Times New Roman"/>
          <w:sz w:val="24"/>
        </w:rPr>
        <w:t>021-61055000,</w:t>
      </w:r>
      <w:r w:rsidRPr="00E21E94">
        <w:rPr>
          <w:rFonts w:ascii="Times New Roman" w:hAnsi="Times New Roman" w:cs="Times New Roman"/>
          <w:sz w:val="24"/>
        </w:rPr>
        <w:t>或登陆本基金管理人网站</w:t>
      </w:r>
      <w:r w:rsidRPr="00E21E94">
        <w:rPr>
          <w:rFonts w:ascii="Times New Roman" w:hAnsi="Times New Roman" w:cs="Times New Roman"/>
          <w:sz w:val="24"/>
        </w:rPr>
        <w:t>www.fund001.com</w:t>
      </w:r>
      <w:r w:rsidRPr="00E21E94">
        <w:rPr>
          <w:rFonts w:ascii="Times New Roman" w:hAnsi="Times New Roman" w:cs="Times New Roman"/>
          <w:sz w:val="24"/>
        </w:rPr>
        <w:t>，</w:t>
      </w:r>
      <w:r w:rsidRPr="00E21E94">
        <w:rPr>
          <w:rFonts w:ascii="Times New Roman" w:hAnsi="Times New Roman" w:cs="Times New Roman"/>
          <w:sz w:val="24"/>
        </w:rPr>
        <w:t>www.bocomschroder.com</w:t>
      </w:r>
      <w:r w:rsidRPr="00E21E94">
        <w:rPr>
          <w:rFonts w:ascii="Times New Roman" w:hAnsi="Times New Roman" w:cs="Times New Roman"/>
          <w:sz w:val="24"/>
        </w:rPr>
        <w:t>获取相关信息。</w:t>
      </w:r>
    </w:p>
    <w:p w14:paraId="548802AA" w14:textId="77777777" w:rsidR="00E6252A" w:rsidRPr="00545ED1" w:rsidRDefault="00E6252A" w:rsidP="00E6252A">
      <w:pPr>
        <w:spacing w:line="360" w:lineRule="auto"/>
        <w:ind w:firstLineChars="200" w:firstLine="480"/>
        <w:rPr>
          <w:rFonts w:ascii="宋体" w:hAnsi="宋体"/>
          <w:sz w:val="24"/>
        </w:rPr>
      </w:pPr>
      <w:r w:rsidRPr="00E21E94">
        <w:rPr>
          <w:rFonts w:ascii="Times New Roman" w:hAnsi="Times New Roman" w:cs="Times New Roman"/>
          <w:sz w:val="24"/>
        </w:rPr>
        <w:t>风险提示：本基金管理人承诺以诚实信用、勤勉</w:t>
      </w:r>
      <w:r w:rsidRPr="00F26B91">
        <w:rPr>
          <w:rFonts w:ascii="宋体" w:hAnsi="宋体" w:hint="eastAsia"/>
          <w:sz w:val="24"/>
        </w:rPr>
        <w:t>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DB0FC6" w14:textId="77777777" w:rsidR="00E6252A" w:rsidRPr="00E6252A" w:rsidRDefault="00E6252A" w:rsidP="00E6252A">
      <w:pPr>
        <w:spacing w:line="360" w:lineRule="auto"/>
        <w:ind w:firstLineChars="200" w:firstLine="480"/>
        <w:outlineLvl w:val="2"/>
        <w:rPr>
          <w:rFonts w:ascii="Times New Roman" w:hAnsi="Times New Roman" w:cs="Times New Roman"/>
          <w:sz w:val="24"/>
        </w:rPr>
      </w:pPr>
    </w:p>
    <w:p w14:paraId="6EF8D480" w14:textId="77777777" w:rsidR="00E6252A" w:rsidRDefault="00E6252A" w:rsidP="00E6252A">
      <w:pPr>
        <w:widowControl/>
        <w:spacing w:line="360" w:lineRule="auto"/>
        <w:ind w:firstLineChars="200" w:firstLine="480"/>
        <w:rPr>
          <w:rFonts w:ascii="宋体" w:eastAsia="宋体" w:hAnsi="宋体" w:cs="宋体"/>
          <w:kern w:val="0"/>
          <w:sz w:val="24"/>
          <w:szCs w:val="21"/>
        </w:rPr>
      </w:pPr>
      <w:r w:rsidRPr="00E6252A">
        <w:rPr>
          <w:rFonts w:ascii="宋体" w:eastAsia="宋体" w:hAnsi="宋体" w:cs="宋体"/>
          <w:kern w:val="0"/>
          <w:sz w:val="24"/>
          <w:szCs w:val="21"/>
        </w:rPr>
        <w:t>特此公告。</w:t>
      </w:r>
    </w:p>
    <w:p w14:paraId="5AFD2DD5" w14:textId="77777777" w:rsidR="00E6252A" w:rsidRDefault="00E6252A" w:rsidP="00E6252A">
      <w:pPr>
        <w:spacing w:line="360" w:lineRule="auto"/>
        <w:ind w:firstLineChars="200" w:firstLine="480"/>
        <w:outlineLvl w:val="2"/>
        <w:rPr>
          <w:rFonts w:ascii="Times New Roman" w:hAnsi="Times New Roman" w:cs="Times New Roman"/>
          <w:sz w:val="24"/>
        </w:rPr>
      </w:pPr>
    </w:p>
    <w:p w14:paraId="3DD42902" w14:textId="77777777" w:rsidR="00E6252A" w:rsidRDefault="00E6252A" w:rsidP="00E6252A">
      <w:pPr>
        <w:spacing w:line="360" w:lineRule="auto"/>
        <w:ind w:firstLineChars="200" w:firstLine="480"/>
        <w:outlineLvl w:val="2"/>
        <w:rPr>
          <w:rFonts w:ascii="Times New Roman" w:hAnsi="Times New Roman" w:cs="Times New Roman"/>
          <w:sz w:val="24"/>
        </w:rPr>
      </w:pPr>
    </w:p>
    <w:p w14:paraId="0F360965" w14:textId="77777777" w:rsidR="00E6252A" w:rsidRDefault="00E6252A" w:rsidP="00E6252A">
      <w:pPr>
        <w:spacing w:line="360" w:lineRule="auto"/>
        <w:ind w:firstLineChars="200" w:firstLine="480"/>
        <w:jc w:val="right"/>
        <w:rPr>
          <w:rFonts w:ascii="Arial"/>
          <w:sz w:val="24"/>
        </w:rPr>
      </w:pPr>
      <w:r>
        <w:rPr>
          <w:rFonts w:ascii="Arial" w:hint="eastAsia"/>
          <w:sz w:val="24"/>
        </w:rPr>
        <w:t>交银施罗德基金管理有限公司</w:t>
      </w:r>
    </w:p>
    <w:p w14:paraId="27132F1A" w14:textId="5F59D27C" w:rsidR="00E6252A" w:rsidRDefault="00E6252A" w:rsidP="00E6252A">
      <w:pPr>
        <w:spacing w:line="360" w:lineRule="auto"/>
        <w:ind w:firstLineChars="200" w:firstLine="480"/>
        <w:jc w:val="right"/>
        <w:rPr>
          <w:sz w:val="24"/>
        </w:rPr>
      </w:pPr>
      <w:r w:rsidRPr="00F70CBB">
        <w:rPr>
          <w:sz w:val="24"/>
        </w:rPr>
        <w:t>二〇</w:t>
      </w:r>
      <w:r w:rsidRPr="00F70CBB">
        <w:rPr>
          <w:rFonts w:hint="eastAsia"/>
          <w:sz w:val="24"/>
        </w:rPr>
        <w:t>一</w:t>
      </w:r>
      <w:r>
        <w:rPr>
          <w:rFonts w:hint="eastAsia"/>
          <w:sz w:val="24"/>
        </w:rPr>
        <w:t>七</w:t>
      </w:r>
      <w:r w:rsidRPr="00F70CBB">
        <w:rPr>
          <w:sz w:val="24"/>
        </w:rPr>
        <w:t>年</w:t>
      </w:r>
      <w:r w:rsidR="00DD64CC">
        <w:rPr>
          <w:rFonts w:hint="eastAsia"/>
          <w:color w:val="2B2B2B"/>
          <w:sz w:val="24"/>
        </w:rPr>
        <w:t>十一</w:t>
      </w:r>
      <w:r w:rsidRPr="00F70CBB">
        <w:rPr>
          <w:sz w:val="24"/>
        </w:rPr>
        <w:t>月</w:t>
      </w:r>
      <w:r w:rsidR="00DD64CC">
        <w:rPr>
          <w:rFonts w:hint="eastAsia"/>
          <w:sz w:val="24"/>
        </w:rPr>
        <w:t>十四</w:t>
      </w:r>
      <w:r>
        <w:rPr>
          <w:rFonts w:hint="eastAsia"/>
          <w:sz w:val="24"/>
        </w:rPr>
        <w:t>日</w:t>
      </w:r>
    </w:p>
    <w:p w14:paraId="2602AFE5" w14:textId="77777777" w:rsidR="00E6252A" w:rsidRPr="00E6252A" w:rsidRDefault="00E6252A" w:rsidP="00E6252A">
      <w:pPr>
        <w:widowControl/>
        <w:spacing w:line="360" w:lineRule="auto"/>
        <w:ind w:firstLineChars="200" w:firstLine="480"/>
        <w:rPr>
          <w:rFonts w:ascii="宋体" w:eastAsia="宋体" w:hAnsi="宋体" w:cs="宋体"/>
          <w:kern w:val="0"/>
          <w:sz w:val="24"/>
          <w:szCs w:val="21"/>
        </w:rPr>
      </w:pPr>
      <w:bookmarkStart w:id="0" w:name="_GoBack"/>
      <w:bookmarkEnd w:id="0"/>
    </w:p>
    <w:sectPr w:rsidR="00E6252A" w:rsidRPr="00E625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2A4CE" w14:textId="77777777" w:rsidR="00D84A69" w:rsidRDefault="00D84A69" w:rsidP="00EE656E">
      <w:r>
        <w:separator/>
      </w:r>
    </w:p>
  </w:endnote>
  <w:endnote w:type="continuationSeparator" w:id="0">
    <w:p w14:paraId="135BCCC3" w14:textId="77777777" w:rsidR="00D84A69" w:rsidRDefault="00D84A69" w:rsidP="00EE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F85CC" w14:textId="77777777" w:rsidR="00D84A69" w:rsidRDefault="00D84A69" w:rsidP="00EE656E">
      <w:r>
        <w:separator/>
      </w:r>
    </w:p>
  </w:footnote>
  <w:footnote w:type="continuationSeparator" w:id="0">
    <w:p w14:paraId="6538890A" w14:textId="77777777" w:rsidR="00D84A69" w:rsidRDefault="00D84A69" w:rsidP="00EE6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D53E1"/>
    <w:multiLevelType w:val="hybridMultilevel"/>
    <w:tmpl w:val="1BB68A66"/>
    <w:lvl w:ilvl="0" w:tplc="504CD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48"/>
    <w:rsid w:val="000B6BD4"/>
    <w:rsid w:val="003446B3"/>
    <w:rsid w:val="00636D9F"/>
    <w:rsid w:val="006621D8"/>
    <w:rsid w:val="00667216"/>
    <w:rsid w:val="008F5223"/>
    <w:rsid w:val="00A30CD0"/>
    <w:rsid w:val="00D1013A"/>
    <w:rsid w:val="00D84A69"/>
    <w:rsid w:val="00DD51FB"/>
    <w:rsid w:val="00DD64CC"/>
    <w:rsid w:val="00E001F5"/>
    <w:rsid w:val="00E6252A"/>
    <w:rsid w:val="00EA0D06"/>
    <w:rsid w:val="00EE656E"/>
    <w:rsid w:val="00F27E48"/>
    <w:rsid w:val="00F31EDD"/>
    <w:rsid w:val="00FD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B6880"/>
  <w15:chartTrackingRefBased/>
  <w15:docId w15:val="{59F4FA08-F1A4-4DDA-9FD8-32788EB5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252A"/>
    <w:rPr>
      <w:sz w:val="21"/>
      <w:szCs w:val="21"/>
    </w:rPr>
  </w:style>
  <w:style w:type="paragraph" w:styleId="a4">
    <w:name w:val="annotation text"/>
    <w:basedOn w:val="a"/>
    <w:link w:val="Char"/>
    <w:uiPriority w:val="99"/>
    <w:semiHidden/>
    <w:unhideWhenUsed/>
    <w:rsid w:val="00E6252A"/>
    <w:pPr>
      <w:jc w:val="left"/>
    </w:pPr>
  </w:style>
  <w:style w:type="character" w:customStyle="1" w:styleId="Char">
    <w:name w:val="批注文字 Char"/>
    <w:basedOn w:val="a0"/>
    <w:link w:val="a4"/>
    <w:uiPriority w:val="99"/>
    <w:semiHidden/>
    <w:rsid w:val="00E6252A"/>
  </w:style>
  <w:style w:type="paragraph" w:styleId="a5">
    <w:name w:val="annotation subject"/>
    <w:basedOn w:val="a4"/>
    <w:next w:val="a4"/>
    <w:link w:val="Char0"/>
    <w:uiPriority w:val="99"/>
    <w:semiHidden/>
    <w:unhideWhenUsed/>
    <w:rsid w:val="00E6252A"/>
    <w:rPr>
      <w:b/>
      <w:bCs/>
    </w:rPr>
  </w:style>
  <w:style w:type="character" w:customStyle="1" w:styleId="Char0">
    <w:name w:val="批注主题 Char"/>
    <w:basedOn w:val="Char"/>
    <w:link w:val="a5"/>
    <w:uiPriority w:val="99"/>
    <w:semiHidden/>
    <w:rsid w:val="00E6252A"/>
    <w:rPr>
      <w:b/>
      <w:bCs/>
    </w:rPr>
  </w:style>
  <w:style w:type="paragraph" w:styleId="a6">
    <w:name w:val="Balloon Text"/>
    <w:basedOn w:val="a"/>
    <w:link w:val="Char1"/>
    <w:uiPriority w:val="99"/>
    <w:semiHidden/>
    <w:unhideWhenUsed/>
    <w:rsid w:val="00E6252A"/>
    <w:rPr>
      <w:sz w:val="18"/>
      <w:szCs w:val="18"/>
    </w:rPr>
  </w:style>
  <w:style w:type="character" w:customStyle="1" w:styleId="Char1">
    <w:name w:val="批注框文本 Char"/>
    <w:basedOn w:val="a0"/>
    <w:link w:val="a6"/>
    <w:uiPriority w:val="99"/>
    <w:semiHidden/>
    <w:rsid w:val="00E6252A"/>
    <w:rPr>
      <w:sz w:val="18"/>
      <w:szCs w:val="18"/>
    </w:rPr>
  </w:style>
  <w:style w:type="paragraph" w:styleId="a7">
    <w:name w:val="header"/>
    <w:basedOn w:val="a"/>
    <w:link w:val="Char2"/>
    <w:uiPriority w:val="99"/>
    <w:unhideWhenUsed/>
    <w:rsid w:val="00EE656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E656E"/>
    <w:rPr>
      <w:sz w:val="18"/>
      <w:szCs w:val="18"/>
    </w:rPr>
  </w:style>
  <w:style w:type="paragraph" w:styleId="a8">
    <w:name w:val="footer"/>
    <w:basedOn w:val="a"/>
    <w:link w:val="Char3"/>
    <w:uiPriority w:val="99"/>
    <w:unhideWhenUsed/>
    <w:rsid w:val="00EE656E"/>
    <w:pPr>
      <w:tabs>
        <w:tab w:val="center" w:pos="4153"/>
        <w:tab w:val="right" w:pos="8306"/>
      </w:tabs>
      <w:snapToGrid w:val="0"/>
      <w:jc w:val="left"/>
    </w:pPr>
    <w:rPr>
      <w:sz w:val="18"/>
      <w:szCs w:val="18"/>
    </w:rPr>
  </w:style>
  <w:style w:type="character" w:customStyle="1" w:styleId="Char3">
    <w:name w:val="页脚 Char"/>
    <w:basedOn w:val="a0"/>
    <w:link w:val="a8"/>
    <w:uiPriority w:val="99"/>
    <w:rsid w:val="00EE6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许帆</dc:creator>
  <cp:keywords/>
  <dc:description/>
  <cp:lastModifiedBy>汪亚中</cp:lastModifiedBy>
  <cp:revision>4</cp:revision>
  <dcterms:created xsi:type="dcterms:W3CDTF">2017-11-13T07:58:00Z</dcterms:created>
  <dcterms:modified xsi:type="dcterms:W3CDTF">2017-11-13T08:00:00Z</dcterms:modified>
</cp:coreProperties>
</file>