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二〇一七年十月二十五日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735D08">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DC5521" w:rsidRDefault="005D420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858,480,047.79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37220" w:rsidRPr="008640AE" w:rsidTr="00537220">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537220" w:rsidRPr="008640AE" w:rsidTr="0053722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42,268,288.22</w:t>
            </w:r>
          </w:p>
        </w:tc>
      </w:tr>
      <w:tr w:rsidR="00537220" w:rsidRPr="008640AE" w:rsidTr="0053722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171,203,608.49</w:t>
            </w:r>
          </w:p>
        </w:tc>
      </w:tr>
      <w:tr w:rsidR="00537220" w:rsidRPr="008640AE" w:rsidTr="0053722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0.1812</w:t>
            </w:r>
          </w:p>
        </w:tc>
      </w:tr>
      <w:tr w:rsidR="00537220" w:rsidRPr="008640AE" w:rsidTr="0053722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1,184,576,356.05</w:t>
            </w:r>
          </w:p>
        </w:tc>
      </w:tr>
      <w:tr w:rsidR="00537220" w:rsidRPr="008640AE" w:rsidTr="00537220">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1.380</w:t>
            </w:r>
          </w:p>
        </w:tc>
      </w:tr>
    </w:tbl>
    <w:p w:rsidR="00DC5521" w:rsidRDefault="005D42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DC5521">
        <w:trPr>
          <w:jc w:val="center"/>
        </w:trPr>
        <w:tc>
          <w:tcPr>
            <w:tcW w:w="1701" w:type="dxa"/>
            <w:vAlign w:val="center"/>
          </w:tcPr>
          <w:p w:rsidR="00DC5521" w:rsidRDefault="005D4207">
            <w:pPr>
              <w:jc w:val="left"/>
            </w:pPr>
            <w:r>
              <w:rPr>
                <w:color w:val="000000"/>
                <w:sz w:val="24"/>
              </w:rPr>
              <w:t>过去三个月</w:t>
            </w:r>
          </w:p>
        </w:tc>
        <w:tc>
          <w:tcPr>
            <w:tcW w:w="1194" w:type="dxa"/>
            <w:vAlign w:val="center"/>
          </w:tcPr>
          <w:p w:rsidR="00DC5521" w:rsidRDefault="005D4207">
            <w:pPr>
              <w:jc w:val="right"/>
            </w:pPr>
            <w:r>
              <w:rPr>
                <w:color w:val="000000"/>
                <w:sz w:val="24"/>
              </w:rPr>
              <w:t>14.90%</w:t>
            </w:r>
          </w:p>
        </w:tc>
        <w:tc>
          <w:tcPr>
            <w:tcW w:w="1194" w:type="dxa"/>
            <w:vAlign w:val="center"/>
          </w:tcPr>
          <w:p w:rsidR="00DC5521" w:rsidRDefault="005D4207">
            <w:pPr>
              <w:jc w:val="right"/>
            </w:pPr>
            <w:r>
              <w:rPr>
                <w:color w:val="000000"/>
                <w:sz w:val="24"/>
              </w:rPr>
              <w:t>1.15%</w:t>
            </w:r>
          </w:p>
        </w:tc>
        <w:tc>
          <w:tcPr>
            <w:tcW w:w="1194" w:type="dxa"/>
            <w:vAlign w:val="center"/>
          </w:tcPr>
          <w:p w:rsidR="00DC5521" w:rsidRDefault="005D4207">
            <w:pPr>
              <w:jc w:val="right"/>
            </w:pPr>
            <w:r>
              <w:rPr>
                <w:color w:val="000000"/>
                <w:sz w:val="24"/>
              </w:rPr>
              <w:t>17.53%</w:t>
            </w:r>
          </w:p>
        </w:tc>
        <w:tc>
          <w:tcPr>
            <w:tcW w:w="1343" w:type="dxa"/>
            <w:vAlign w:val="center"/>
          </w:tcPr>
          <w:p w:rsidR="00DC5521" w:rsidRDefault="005D4207">
            <w:pPr>
              <w:jc w:val="right"/>
            </w:pPr>
            <w:r>
              <w:rPr>
                <w:color w:val="000000"/>
                <w:sz w:val="24"/>
              </w:rPr>
              <w:t>1.08%</w:t>
            </w:r>
          </w:p>
        </w:tc>
        <w:tc>
          <w:tcPr>
            <w:tcW w:w="1194" w:type="dxa"/>
            <w:vAlign w:val="center"/>
          </w:tcPr>
          <w:p w:rsidR="00DC5521" w:rsidRDefault="005D4207">
            <w:pPr>
              <w:jc w:val="right"/>
            </w:pPr>
            <w:r>
              <w:rPr>
                <w:color w:val="000000"/>
                <w:sz w:val="24"/>
              </w:rPr>
              <w:t>-2.63%</w:t>
            </w:r>
          </w:p>
        </w:tc>
        <w:tc>
          <w:tcPr>
            <w:tcW w:w="1048" w:type="dxa"/>
            <w:vAlign w:val="center"/>
          </w:tcPr>
          <w:p w:rsidR="00DC5521" w:rsidRDefault="005D4207">
            <w:pPr>
              <w:jc w:val="right"/>
            </w:pPr>
            <w:r>
              <w:rPr>
                <w:color w:val="000000"/>
                <w:sz w:val="24"/>
              </w:rPr>
              <w:t>0.07%</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DC5521">
        <w:trPr>
          <w:jc w:val="center"/>
        </w:trPr>
        <w:tc>
          <w:tcPr>
            <w:tcW w:w="846" w:type="dxa"/>
            <w:vAlign w:val="center"/>
          </w:tcPr>
          <w:p w:rsidR="00DC5521" w:rsidRDefault="005D4207">
            <w:pPr>
              <w:jc w:val="center"/>
            </w:pPr>
            <w:r>
              <w:rPr>
                <w:color w:val="000000"/>
                <w:sz w:val="24"/>
              </w:rPr>
              <w:t>蔡铮</w:t>
            </w:r>
          </w:p>
        </w:tc>
        <w:tc>
          <w:tcPr>
            <w:tcW w:w="845" w:type="dxa"/>
            <w:vAlign w:val="center"/>
          </w:tcPr>
          <w:p w:rsidR="00DC5521" w:rsidRDefault="005D420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w:t>
            </w:r>
            <w:r w:rsidR="00537220" w:rsidRPr="00537220">
              <w:rPr>
                <w:rFonts w:hint="eastAsia"/>
                <w:color w:val="000000"/>
                <w:sz w:val="24"/>
              </w:rPr>
              <w:t>公司量化投资副总监兼多元资产管理副总</w:t>
            </w:r>
            <w:r w:rsidR="00537220" w:rsidRPr="00537220">
              <w:rPr>
                <w:rFonts w:hint="eastAsia"/>
                <w:color w:val="000000"/>
                <w:sz w:val="24"/>
              </w:rPr>
              <w:lastRenderedPageBreak/>
              <w:t>监</w:t>
            </w:r>
          </w:p>
        </w:tc>
        <w:tc>
          <w:tcPr>
            <w:tcW w:w="1549" w:type="dxa"/>
            <w:vAlign w:val="center"/>
          </w:tcPr>
          <w:p w:rsidR="00DC5521" w:rsidRDefault="005D4207">
            <w:pPr>
              <w:jc w:val="center"/>
            </w:pPr>
            <w:r>
              <w:rPr>
                <w:color w:val="000000"/>
                <w:sz w:val="24"/>
              </w:rPr>
              <w:lastRenderedPageBreak/>
              <w:t>2015-05-27</w:t>
            </w:r>
          </w:p>
        </w:tc>
        <w:tc>
          <w:tcPr>
            <w:tcW w:w="1548" w:type="dxa"/>
            <w:vAlign w:val="center"/>
          </w:tcPr>
          <w:p w:rsidR="00DC5521" w:rsidRDefault="005D4207">
            <w:pPr>
              <w:jc w:val="center"/>
            </w:pPr>
            <w:r>
              <w:rPr>
                <w:color w:val="000000"/>
                <w:sz w:val="24"/>
              </w:rPr>
              <w:t>-</w:t>
            </w:r>
          </w:p>
        </w:tc>
        <w:tc>
          <w:tcPr>
            <w:tcW w:w="1407" w:type="dxa"/>
            <w:vAlign w:val="center"/>
          </w:tcPr>
          <w:p w:rsidR="00DC5521" w:rsidRDefault="005D4207">
            <w:pPr>
              <w:jc w:val="center"/>
            </w:pPr>
            <w:r>
              <w:rPr>
                <w:color w:val="000000"/>
                <w:sz w:val="24"/>
              </w:rPr>
              <w:t>8</w:t>
            </w:r>
            <w:r>
              <w:rPr>
                <w:color w:val="000000"/>
                <w:sz w:val="24"/>
              </w:rPr>
              <w:t>年</w:t>
            </w:r>
          </w:p>
        </w:tc>
        <w:tc>
          <w:tcPr>
            <w:tcW w:w="2673" w:type="dxa"/>
            <w:vAlign w:val="center"/>
          </w:tcPr>
          <w:p w:rsidR="00DC5521" w:rsidRDefault="005D4207" w:rsidP="00F3288A">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sidR="00F3288A">
              <w:rPr>
                <w:rFonts w:hint="eastAsia"/>
                <w:color w:val="000000"/>
                <w:sz w:val="24"/>
              </w:rPr>
              <w:t>、</w:t>
            </w:r>
            <w:r w:rsidR="00F3288A" w:rsidRPr="00F3288A">
              <w:rPr>
                <w:rFonts w:hint="eastAsia"/>
                <w:color w:val="000000"/>
                <w:sz w:val="24"/>
              </w:rPr>
              <w:t>量化投资部副总经理</w:t>
            </w:r>
            <w:r>
              <w:rPr>
                <w:color w:val="000000"/>
                <w:sz w:val="24"/>
              </w:rPr>
              <w:t>。</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DC5521" w:rsidRDefault="005D42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5521" w:rsidRDefault="005D42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5521" w:rsidRDefault="005D42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DC5521" w:rsidRDefault="005D4207">
      <w:pPr>
        <w:spacing w:before="29" w:line="288" w:lineRule="auto"/>
        <w:ind w:firstLineChars="200" w:firstLine="480"/>
        <w:rPr>
          <w:color w:val="000000"/>
          <w:sz w:val="24"/>
        </w:rPr>
      </w:pPr>
      <w:r>
        <w:rPr>
          <w:color w:val="000000"/>
          <w:sz w:val="24"/>
        </w:rPr>
        <w:t>2017</w:t>
      </w:r>
      <w:r>
        <w:rPr>
          <w:color w:val="000000"/>
          <w:sz w:val="24"/>
        </w:rPr>
        <w:t>年三季度国内经济的复苏趋势较为明显，金融去杠杆暂告段落，人民币有一</w:t>
      </w:r>
      <w:r>
        <w:rPr>
          <w:color w:val="000000"/>
          <w:sz w:val="24"/>
        </w:rPr>
        <w:lastRenderedPageBreak/>
        <w:t>定幅度升值并带动外需走强。全球主要经济体也呈现较好增长，海外主要资本市场均有一定上扬，美股及纳斯达克表现出震荡向上走势，港股受到腾讯及大金融板块的推动也震荡上行。作为跟踪中证海外中国互联网指数的指数基金，三季度基金净值走势总体上行。</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的海外市场，欧洲市场有诸多不确定性因素，美国明确缩表进程，经济大概率呈现逐步复苏、震荡回暖的趋势。港股方面，因其估值优势和中国企业基本面改善，加上南下资金及海外资金持续流入，可能相对更为乐观。我们对于海外市场总体持有谨慎乐观的态度，并认为可能有一定的结构性机会。</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1.380</w:t>
      </w:r>
      <w:r w:rsidRPr="008640AE">
        <w:rPr>
          <w:color w:val="000000"/>
          <w:sz w:val="24"/>
        </w:rPr>
        <w:t>元，本报告期份额净值增长率为</w:t>
      </w:r>
      <w:r w:rsidRPr="008640AE">
        <w:rPr>
          <w:color w:val="000000"/>
          <w:sz w:val="24"/>
        </w:rPr>
        <w:t>14.90%</w:t>
      </w:r>
      <w:r w:rsidRPr="008640AE">
        <w:rPr>
          <w:color w:val="000000"/>
          <w:sz w:val="24"/>
        </w:rPr>
        <w:t>，同期业绩比较基准增长率为</w:t>
      </w:r>
      <w:r w:rsidRPr="008640AE">
        <w:rPr>
          <w:color w:val="000000"/>
          <w:sz w:val="24"/>
        </w:rPr>
        <w:t>17.53%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1,136,922,037.44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93.96</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304,593,610.42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25.17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832,328,427.02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68.79</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58,709,529.25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4.85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14,336,655.37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1,209,968,222.06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DC5521">
        <w:trPr>
          <w:jc w:val="center"/>
        </w:trPr>
        <w:tc>
          <w:tcPr>
            <w:tcW w:w="2484" w:type="dxa"/>
            <w:vAlign w:val="center"/>
          </w:tcPr>
          <w:p w:rsidR="00DC5521" w:rsidRDefault="005D4207">
            <w:pPr>
              <w:jc w:val="left"/>
            </w:pPr>
            <w:r>
              <w:rPr>
                <w:color w:val="000000"/>
                <w:sz w:val="24"/>
              </w:rPr>
              <w:t>美国</w:t>
            </w:r>
          </w:p>
        </w:tc>
        <w:tc>
          <w:tcPr>
            <w:tcW w:w="3214" w:type="dxa"/>
            <w:vAlign w:val="center"/>
          </w:tcPr>
          <w:p w:rsidR="00DC5521" w:rsidRDefault="005D4207">
            <w:pPr>
              <w:jc w:val="right"/>
            </w:pPr>
            <w:r>
              <w:rPr>
                <w:color w:val="000000"/>
                <w:sz w:val="24"/>
              </w:rPr>
              <w:t>908,160,676.43</w:t>
            </w:r>
          </w:p>
        </w:tc>
        <w:tc>
          <w:tcPr>
            <w:tcW w:w="3170" w:type="dxa"/>
            <w:vAlign w:val="center"/>
          </w:tcPr>
          <w:p w:rsidR="00DC5521" w:rsidRDefault="005D4207">
            <w:pPr>
              <w:jc w:val="right"/>
            </w:pPr>
            <w:r>
              <w:rPr>
                <w:color w:val="000000"/>
                <w:sz w:val="24"/>
              </w:rPr>
              <w:t>76.67</w:t>
            </w:r>
          </w:p>
        </w:tc>
      </w:tr>
      <w:tr w:rsidR="00DC5521">
        <w:trPr>
          <w:jc w:val="center"/>
        </w:trPr>
        <w:tc>
          <w:tcPr>
            <w:tcW w:w="2484" w:type="dxa"/>
            <w:vAlign w:val="center"/>
          </w:tcPr>
          <w:p w:rsidR="00DC5521" w:rsidRDefault="005D4207">
            <w:pPr>
              <w:jc w:val="left"/>
            </w:pPr>
            <w:r>
              <w:rPr>
                <w:color w:val="000000"/>
                <w:sz w:val="24"/>
              </w:rPr>
              <w:t>香港</w:t>
            </w:r>
          </w:p>
        </w:tc>
        <w:tc>
          <w:tcPr>
            <w:tcW w:w="3214" w:type="dxa"/>
            <w:vAlign w:val="center"/>
          </w:tcPr>
          <w:p w:rsidR="00DC5521" w:rsidRDefault="005D4207">
            <w:pPr>
              <w:jc w:val="right"/>
            </w:pPr>
            <w:r>
              <w:rPr>
                <w:color w:val="000000"/>
                <w:sz w:val="24"/>
              </w:rPr>
              <w:t>228,761,361.01</w:t>
            </w:r>
          </w:p>
        </w:tc>
        <w:tc>
          <w:tcPr>
            <w:tcW w:w="3170" w:type="dxa"/>
            <w:vAlign w:val="center"/>
          </w:tcPr>
          <w:p w:rsidR="00DC5521" w:rsidRDefault="005D4207">
            <w:pPr>
              <w:jc w:val="right"/>
            </w:pPr>
            <w:r>
              <w:rPr>
                <w:color w:val="000000"/>
                <w:sz w:val="24"/>
              </w:rPr>
              <w:t>19.31</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1,136,922,037.44</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95.98</w:t>
            </w:r>
          </w:p>
        </w:tc>
      </w:tr>
    </w:tbl>
    <w:p w:rsidR="00DC5521" w:rsidRDefault="005D42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DC5521">
        <w:tc>
          <w:tcPr>
            <w:tcW w:w="2787" w:type="dxa"/>
            <w:vAlign w:val="center"/>
          </w:tcPr>
          <w:p w:rsidR="00DC5521" w:rsidRDefault="005D4207">
            <w:pPr>
              <w:jc w:val="left"/>
            </w:pPr>
            <w:r>
              <w:rPr>
                <w:color w:val="000000"/>
                <w:sz w:val="24"/>
              </w:rPr>
              <w:t>信息技术</w:t>
            </w:r>
          </w:p>
        </w:tc>
        <w:tc>
          <w:tcPr>
            <w:tcW w:w="2976" w:type="dxa"/>
            <w:vAlign w:val="center"/>
          </w:tcPr>
          <w:p w:rsidR="00DC5521" w:rsidRDefault="005D4207">
            <w:pPr>
              <w:jc w:val="right"/>
            </w:pPr>
            <w:r>
              <w:rPr>
                <w:color w:val="000000"/>
                <w:sz w:val="24"/>
              </w:rPr>
              <w:t>842,413,326.93</w:t>
            </w:r>
          </w:p>
        </w:tc>
        <w:tc>
          <w:tcPr>
            <w:tcW w:w="3261" w:type="dxa"/>
            <w:vAlign w:val="center"/>
          </w:tcPr>
          <w:p w:rsidR="00DC5521" w:rsidRDefault="005D4207">
            <w:pPr>
              <w:jc w:val="right"/>
            </w:pPr>
            <w:r>
              <w:rPr>
                <w:color w:val="000000"/>
                <w:sz w:val="24"/>
              </w:rPr>
              <w:t>71.12</w:t>
            </w:r>
          </w:p>
        </w:tc>
      </w:tr>
      <w:tr w:rsidR="00DC5521">
        <w:tc>
          <w:tcPr>
            <w:tcW w:w="2787" w:type="dxa"/>
            <w:vAlign w:val="center"/>
          </w:tcPr>
          <w:p w:rsidR="00DC5521" w:rsidRDefault="005D4207">
            <w:pPr>
              <w:jc w:val="left"/>
            </w:pPr>
            <w:r>
              <w:rPr>
                <w:color w:val="000000"/>
                <w:sz w:val="24"/>
              </w:rPr>
              <w:t>非必需消费品</w:t>
            </w:r>
          </w:p>
        </w:tc>
        <w:tc>
          <w:tcPr>
            <w:tcW w:w="2976" w:type="dxa"/>
            <w:vAlign w:val="center"/>
          </w:tcPr>
          <w:p w:rsidR="00DC5521" w:rsidRDefault="005D4207">
            <w:pPr>
              <w:jc w:val="right"/>
            </w:pPr>
            <w:r>
              <w:rPr>
                <w:color w:val="000000"/>
                <w:sz w:val="24"/>
              </w:rPr>
              <w:t>266,775,698.51</w:t>
            </w:r>
          </w:p>
        </w:tc>
        <w:tc>
          <w:tcPr>
            <w:tcW w:w="3261" w:type="dxa"/>
            <w:vAlign w:val="center"/>
          </w:tcPr>
          <w:p w:rsidR="00DC5521" w:rsidRDefault="005D4207">
            <w:pPr>
              <w:jc w:val="right"/>
            </w:pPr>
            <w:r>
              <w:rPr>
                <w:color w:val="000000"/>
                <w:sz w:val="24"/>
              </w:rPr>
              <w:t>22.52</w:t>
            </w:r>
          </w:p>
        </w:tc>
      </w:tr>
      <w:tr w:rsidR="00DC5521">
        <w:tc>
          <w:tcPr>
            <w:tcW w:w="2787" w:type="dxa"/>
            <w:vAlign w:val="center"/>
          </w:tcPr>
          <w:p w:rsidR="00DC5521" w:rsidRDefault="005D4207">
            <w:pPr>
              <w:jc w:val="left"/>
            </w:pPr>
            <w:r>
              <w:rPr>
                <w:color w:val="000000"/>
                <w:sz w:val="24"/>
              </w:rPr>
              <w:t>工业</w:t>
            </w:r>
          </w:p>
        </w:tc>
        <w:tc>
          <w:tcPr>
            <w:tcW w:w="2976" w:type="dxa"/>
            <w:vAlign w:val="center"/>
          </w:tcPr>
          <w:p w:rsidR="00DC5521" w:rsidRDefault="005D4207">
            <w:pPr>
              <w:jc w:val="right"/>
            </w:pPr>
            <w:r>
              <w:rPr>
                <w:color w:val="000000"/>
                <w:sz w:val="24"/>
              </w:rPr>
              <w:t>27,733,012.00</w:t>
            </w:r>
          </w:p>
        </w:tc>
        <w:tc>
          <w:tcPr>
            <w:tcW w:w="3261" w:type="dxa"/>
            <w:vAlign w:val="center"/>
          </w:tcPr>
          <w:p w:rsidR="00DC5521" w:rsidRDefault="005D4207">
            <w:pPr>
              <w:jc w:val="right"/>
            </w:pPr>
            <w:r>
              <w:rPr>
                <w:color w:val="000000"/>
                <w:sz w:val="24"/>
              </w:rPr>
              <w:t>2.34</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1,136,922,037.44</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95.98</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475"/>
        <w:gridCol w:w="1730"/>
        <w:gridCol w:w="1009"/>
        <w:gridCol w:w="982"/>
        <w:gridCol w:w="649"/>
        <w:gridCol w:w="715"/>
        <w:gridCol w:w="998"/>
        <w:gridCol w:w="1716"/>
        <w:gridCol w:w="953"/>
      </w:tblGrid>
      <w:tr w:rsidR="006A77B5" w:rsidRPr="00DB2E09" w:rsidTr="003131C3">
        <w:tc>
          <w:tcPr>
            <w:tcW w:w="510"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w:t>
            </w:r>
            <w:r w:rsidRPr="00DB2E09">
              <w:rPr>
                <w:rFonts w:hint="eastAsia"/>
                <w:color w:val="000000"/>
                <w:kern w:val="0"/>
                <w:sz w:val="24"/>
              </w:rPr>
              <w:lastRenderedPageBreak/>
              <w:t>号</w:t>
            </w:r>
          </w:p>
        </w:tc>
        <w:tc>
          <w:tcPr>
            <w:tcW w:w="1704"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公司名称（英</w:t>
            </w:r>
            <w:r w:rsidRPr="00DB2E09">
              <w:rPr>
                <w:rFonts w:hint="eastAsia"/>
                <w:color w:val="000000"/>
                <w:kern w:val="0"/>
                <w:sz w:val="24"/>
              </w:rPr>
              <w:lastRenderedPageBreak/>
              <w:t>文）</w:t>
            </w:r>
          </w:p>
        </w:tc>
        <w:tc>
          <w:tcPr>
            <w:tcW w:w="97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公司名</w:t>
            </w:r>
            <w:r w:rsidRPr="00DB2E09">
              <w:rPr>
                <w:rFonts w:hint="eastAsia"/>
                <w:color w:val="000000"/>
                <w:kern w:val="0"/>
                <w:sz w:val="24"/>
              </w:rPr>
              <w:lastRenderedPageBreak/>
              <w:t>称（中文）</w:t>
            </w:r>
          </w:p>
        </w:tc>
        <w:tc>
          <w:tcPr>
            <w:tcW w:w="97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证券代</w:t>
            </w:r>
            <w:r w:rsidRPr="00DB2E09">
              <w:rPr>
                <w:rFonts w:hint="eastAsia"/>
                <w:color w:val="000000"/>
                <w:kern w:val="0"/>
                <w:sz w:val="24"/>
              </w:rPr>
              <w:lastRenderedPageBreak/>
              <w:t>码</w:t>
            </w:r>
          </w:p>
        </w:tc>
        <w:tc>
          <w:tcPr>
            <w:tcW w:w="629"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所</w:t>
            </w:r>
            <w:r w:rsidRPr="00DB2E09">
              <w:rPr>
                <w:rFonts w:hint="eastAsia"/>
                <w:color w:val="000000"/>
                <w:kern w:val="0"/>
                <w:sz w:val="24"/>
              </w:rPr>
              <w:lastRenderedPageBreak/>
              <w:t>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739"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所属</w:t>
            </w:r>
            <w:r w:rsidRPr="00DB2E09">
              <w:rPr>
                <w:rFonts w:hint="eastAsia"/>
                <w:color w:val="000000"/>
                <w:kern w:val="0"/>
                <w:sz w:val="24"/>
              </w:rPr>
              <w:lastRenderedPageBreak/>
              <w:t>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0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（股）</w:t>
            </w:r>
          </w:p>
        </w:tc>
        <w:tc>
          <w:tcPr>
            <w:tcW w:w="17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公允价值（人</w:t>
            </w:r>
            <w:r w:rsidRPr="00DB2E09">
              <w:rPr>
                <w:rFonts w:hint="eastAsia"/>
                <w:color w:val="000000"/>
                <w:kern w:val="0"/>
                <w:sz w:val="24"/>
              </w:rPr>
              <w:lastRenderedPageBreak/>
              <w:t>民币元）</w:t>
            </w:r>
          </w:p>
        </w:tc>
        <w:tc>
          <w:tcPr>
            <w:tcW w:w="96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lastRenderedPageBreak/>
              <w:t>占基金</w:t>
            </w:r>
            <w:r w:rsidRPr="00DB2E09">
              <w:rPr>
                <w:rFonts w:hint="eastAsia"/>
                <w:color w:val="000000"/>
                <w:kern w:val="0"/>
                <w:sz w:val="24"/>
              </w:rPr>
              <w:lastRenderedPageBreak/>
              <w:t>资产净值比例（％）</w:t>
            </w:r>
          </w:p>
        </w:tc>
      </w:tr>
      <w:tr w:rsidR="00DC5521">
        <w:tc>
          <w:tcPr>
            <w:tcW w:w="0" w:type="auto"/>
            <w:vAlign w:val="center"/>
          </w:tcPr>
          <w:p w:rsidR="00DC5521" w:rsidRDefault="005D4207">
            <w:pPr>
              <w:jc w:val="center"/>
            </w:pPr>
            <w:r>
              <w:rPr>
                <w:color w:val="000000"/>
                <w:sz w:val="24"/>
              </w:rPr>
              <w:lastRenderedPageBreak/>
              <w:t>1</w:t>
            </w:r>
          </w:p>
        </w:tc>
        <w:tc>
          <w:tcPr>
            <w:tcW w:w="0" w:type="auto"/>
            <w:vAlign w:val="center"/>
          </w:tcPr>
          <w:p w:rsidR="00DC5521" w:rsidRDefault="005D4207">
            <w:pPr>
              <w:jc w:val="center"/>
            </w:pPr>
            <w:r>
              <w:rPr>
                <w:color w:val="000000"/>
                <w:sz w:val="24"/>
              </w:rPr>
              <w:t>Alibaba Group Holding Limited</w:t>
            </w:r>
          </w:p>
        </w:tc>
        <w:tc>
          <w:tcPr>
            <w:tcW w:w="0" w:type="auto"/>
            <w:vAlign w:val="center"/>
          </w:tcPr>
          <w:p w:rsidR="00DC5521" w:rsidRDefault="005D4207">
            <w:pPr>
              <w:jc w:val="center"/>
            </w:pPr>
            <w:r>
              <w:rPr>
                <w:color w:val="000000"/>
                <w:sz w:val="24"/>
              </w:rPr>
              <w:t>阿里巴巴集团控股有限公司</w:t>
            </w:r>
          </w:p>
        </w:tc>
        <w:tc>
          <w:tcPr>
            <w:tcW w:w="0" w:type="auto"/>
            <w:vAlign w:val="center"/>
          </w:tcPr>
          <w:p w:rsidR="00DC5521" w:rsidRDefault="005D4207">
            <w:pPr>
              <w:jc w:val="center"/>
            </w:pPr>
            <w:r>
              <w:rPr>
                <w:color w:val="000000"/>
                <w:sz w:val="24"/>
              </w:rPr>
              <w:t>BABA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105,049</w:t>
            </w:r>
          </w:p>
        </w:tc>
        <w:tc>
          <w:tcPr>
            <w:tcW w:w="0" w:type="auto"/>
            <w:vAlign w:val="center"/>
          </w:tcPr>
          <w:p w:rsidR="00DC5521" w:rsidRDefault="005D4207">
            <w:pPr>
              <w:jc w:val="right"/>
            </w:pPr>
            <w:r>
              <w:rPr>
                <w:color w:val="000000"/>
                <w:sz w:val="24"/>
              </w:rPr>
              <w:t>120,413,361.59</w:t>
            </w:r>
          </w:p>
        </w:tc>
        <w:tc>
          <w:tcPr>
            <w:tcW w:w="0" w:type="auto"/>
            <w:vAlign w:val="center"/>
          </w:tcPr>
          <w:p w:rsidR="00DC5521" w:rsidRDefault="005D4207">
            <w:pPr>
              <w:jc w:val="right"/>
            </w:pPr>
            <w:r>
              <w:rPr>
                <w:color w:val="000000"/>
                <w:sz w:val="24"/>
              </w:rPr>
              <w:t>10.17</w:t>
            </w:r>
          </w:p>
        </w:tc>
      </w:tr>
      <w:tr w:rsidR="00DC5521">
        <w:tc>
          <w:tcPr>
            <w:tcW w:w="0" w:type="auto"/>
            <w:vAlign w:val="center"/>
          </w:tcPr>
          <w:p w:rsidR="00DC5521" w:rsidRDefault="005D4207">
            <w:pPr>
              <w:jc w:val="center"/>
            </w:pPr>
            <w:r>
              <w:rPr>
                <w:color w:val="000000"/>
                <w:sz w:val="24"/>
              </w:rPr>
              <w:t>2</w:t>
            </w:r>
          </w:p>
        </w:tc>
        <w:tc>
          <w:tcPr>
            <w:tcW w:w="0" w:type="auto"/>
            <w:vAlign w:val="center"/>
          </w:tcPr>
          <w:p w:rsidR="00DC5521" w:rsidRDefault="005D4207">
            <w:pPr>
              <w:jc w:val="center"/>
            </w:pPr>
            <w:r>
              <w:rPr>
                <w:color w:val="000000"/>
                <w:sz w:val="24"/>
              </w:rPr>
              <w:t>Tencent Holdings Limited</w:t>
            </w:r>
          </w:p>
        </w:tc>
        <w:tc>
          <w:tcPr>
            <w:tcW w:w="0" w:type="auto"/>
            <w:vAlign w:val="center"/>
          </w:tcPr>
          <w:p w:rsidR="00DC5521" w:rsidRDefault="005D4207">
            <w:pPr>
              <w:jc w:val="center"/>
            </w:pPr>
            <w:r>
              <w:rPr>
                <w:color w:val="000000"/>
                <w:sz w:val="24"/>
              </w:rPr>
              <w:t>腾讯控股有限公司</w:t>
            </w:r>
          </w:p>
        </w:tc>
        <w:tc>
          <w:tcPr>
            <w:tcW w:w="0" w:type="auto"/>
            <w:vAlign w:val="center"/>
          </w:tcPr>
          <w:p w:rsidR="00DC5521" w:rsidRDefault="005D4207">
            <w:pPr>
              <w:jc w:val="center"/>
            </w:pPr>
            <w:r>
              <w:rPr>
                <w:color w:val="000000"/>
                <w:sz w:val="24"/>
              </w:rPr>
              <w:t>700 HK</w:t>
            </w:r>
          </w:p>
        </w:tc>
        <w:tc>
          <w:tcPr>
            <w:tcW w:w="0" w:type="auto"/>
            <w:vAlign w:val="center"/>
          </w:tcPr>
          <w:p w:rsidR="00DC5521" w:rsidRDefault="005D4207">
            <w:pPr>
              <w:jc w:val="center"/>
            </w:pPr>
            <w:r>
              <w:rPr>
                <w:color w:val="000000"/>
                <w:sz w:val="24"/>
              </w:rPr>
              <w:t>香港证券交易所</w:t>
            </w:r>
          </w:p>
        </w:tc>
        <w:tc>
          <w:tcPr>
            <w:tcW w:w="0" w:type="auto"/>
            <w:vAlign w:val="center"/>
          </w:tcPr>
          <w:p w:rsidR="00DC5521" w:rsidRDefault="005D4207">
            <w:pPr>
              <w:jc w:val="center"/>
            </w:pPr>
            <w:r>
              <w:rPr>
                <w:color w:val="000000"/>
                <w:sz w:val="24"/>
              </w:rPr>
              <w:t>香港</w:t>
            </w:r>
          </w:p>
        </w:tc>
        <w:tc>
          <w:tcPr>
            <w:tcW w:w="0" w:type="auto"/>
            <w:vAlign w:val="center"/>
          </w:tcPr>
          <w:p w:rsidR="00DC5521" w:rsidRDefault="005D4207">
            <w:pPr>
              <w:jc w:val="right"/>
            </w:pPr>
            <w:r>
              <w:rPr>
                <w:color w:val="000000"/>
                <w:sz w:val="24"/>
              </w:rPr>
              <w:t>420,400</w:t>
            </w:r>
          </w:p>
        </w:tc>
        <w:tc>
          <w:tcPr>
            <w:tcW w:w="0" w:type="auto"/>
            <w:vAlign w:val="center"/>
          </w:tcPr>
          <w:p w:rsidR="00DC5521" w:rsidRDefault="005D4207">
            <w:pPr>
              <w:jc w:val="right"/>
            </w:pPr>
            <w:r>
              <w:rPr>
                <w:color w:val="000000"/>
                <w:sz w:val="24"/>
              </w:rPr>
              <w:t>120,107,839.79</w:t>
            </w:r>
          </w:p>
        </w:tc>
        <w:tc>
          <w:tcPr>
            <w:tcW w:w="0" w:type="auto"/>
            <w:vAlign w:val="center"/>
          </w:tcPr>
          <w:p w:rsidR="00DC5521" w:rsidRDefault="005D4207">
            <w:pPr>
              <w:jc w:val="right"/>
            </w:pPr>
            <w:r>
              <w:rPr>
                <w:color w:val="000000"/>
                <w:sz w:val="24"/>
              </w:rPr>
              <w:t>10.14</w:t>
            </w:r>
          </w:p>
        </w:tc>
      </w:tr>
      <w:tr w:rsidR="00DC5521">
        <w:tc>
          <w:tcPr>
            <w:tcW w:w="0" w:type="auto"/>
            <w:vAlign w:val="center"/>
          </w:tcPr>
          <w:p w:rsidR="00DC5521" w:rsidRDefault="005D4207">
            <w:pPr>
              <w:jc w:val="center"/>
            </w:pPr>
            <w:r>
              <w:rPr>
                <w:color w:val="000000"/>
                <w:sz w:val="24"/>
              </w:rPr>
              <w:t>3</w:t>
            </w:r>
          </w:p>
        </w:tc>
        <w:tc>
          <w:tcPr>
            <w:tcW w:w="0" w:type="auto"/>
            <w:vAlign w:val="center"/>
          </w:tcPr>
          <w:p w:rsidR="00DC5521" w:rsidRDefault="005D4207">
            <w:pPr>
              <w:jc w:val="center"/>
            </w:pPr>
            <w:r>
              <w:rPr>
                <w:color w:val="000000"/>
                <w:sz w:val="24"/>
              </w:rPr>
              <w:t>Baidu Inc.</w:t>
            </w:r>
          </w:p>
        </w:tc>
        <w:tc>
          <w:tcPr>
            <w:tcW w:w="0" w:type="auto"/>
            <w:vAlign w:val="center"/>
          </w:tcPr>
          <w:p w:rsidR="00DC5521" w:rsidRDefault="005D4207">
            <w:pPr>
              <w:jc w:val="center"/>
            </w:pPr>
            <w:r>
              <w:rPr>
                <w:color w:val="000000"/>
                <w:sz w:val="24"/>
              </w:rPr>
              <w:t>百度股份有限公司</w:t>
            </w:r>
          </w:p>
        </w:tc>
        <w:tc>
          <w:tcPr>
            <w:tcW w:w="0" w:type="auto"/>
            <w:vAlign w:val="center"/>
          </w:tcPr>
          <w:p w:rsidR="00DC5521" w:rsidRDefault="005D4207">
            <w:pPr>
              <w:jc w:val="center"/>
            </w:pPr>
            <w:r>
              <w:rPr>
                <w:color w:val="000000"/>
                <w:sz w:val="24"/>
              </w:rPr>
              <w:t>BIDU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62,500</w:t>
            </w:r>
          </w:p>
        </w:tc>
        <w:tc>
          <w:tcPr>
            <w:tcW w:w="0" w:type="auto"/>
            <w:vAlign w:val="center"/>
          </w:tcPr>
          <w:p w:rsidR="00DC5521" w:rsidRDefault="005D4207">
            <w:pPr>
              <w:jc w:val="right"/>
            </w:pPr>
            <w:r>
              <w:rPr>
                <w:color w:val="000000"/>
                <w:sz w:val="24"/>
              </w:rPr>
              <w:t>102,743,360.06</w:t>
            </w:r>
          </w:p>
        </w:tc>
        <w:tc>
          <w:tcPr>
            <w:tcW w:w="0" w:type="auto"/>
            <w:vAlign w:val="center"/>
          </w:tcPr>
          <w:p w:rsidR="00DC5521" w:rsidRDefault="005D4207">
            <w:pPr>
              <w:jc w:val="right"/>
            </w:pPr>
            <w:r>
              <w:rPr>
                <w:color w:val="000000"/>
                <w:sz w:val="24"/>
              </w:rPr>
              <w:t>8.67</w:t>
            </w:r>
          </w:p>
        </w:tc>
      </w:tr>
      <w:tr w:rsidR="00DC5521">
        <w:tc>
          <w:tcPr>
            <w:tcW w:w="0" w:type="auto"/>
            <w:vAlign w:val="center"/>
          </w:tcPr>
          <w:p w:rsidR="00DC5521" w:rsidRDefault="005D4207">
            <w:pPr>
              <w:jc w:val="center"/>
            </w:pPr>
            <w:r>
              <w:rPr>
                <w:color w:val="000000"/>
                <w:sz w:val="24"/>
              </w:rPr>
              <w:t>4</w:t>
            </w:r>
          </w:p>
        </w:tc>
        <w:tc>
          <w:tcPr>
            <w:tcW w:w="0" w:type="auto"/>
            <w:vAlign w:val="center"/>
          </w:tcPr>
          <w:p w:rsidR="00DC5521" w:rsidRDefault="005D4207">
            <w:pPr>
              <w:jc w:val="center"/>
            </w:pPr>
            <w:r>
              <w:rPr>
                <w:color w:val="000000"/>
                <w:sz w:val="24"/>
              </w:rPr>
              <w:t>Jd.Com Inc.</w:t>
            </w:r>
          </w:p>
        </w:tc>
        <w:tc>
          <w:tcPr>
            <w:tcW w:w="0" w:type="auto"/>
            <w:vAlign w:val="center"/>
          </w:tcPr>
          <w:p w:rsidR="00DC5521" w:rsidRDefault="005D4207">
            <w:pPr>
              <w:jc w:val="center"/>
            </w:pPr>
            <w:r>
              <w:rPr>
                <w:color w:val="000000"/>
                <w:sz w:val="24"/>
              </w:rPr>
              <w:t>京东集团</w:t>
            </w:r>
          </w:p>
        </w:tc>
        <w:tc>
          <w:tcPr>
            <w:tcW w:w="0" w:type="auto"/>
            <w:vAlign w:val="center"/>
          </w:tcPr>
          <w:p w:rsidR="00DC5521" w:rsidRDefault="005D4207">
            <w:pPr>
              <w:jc w:val="center"/>
            </w:pPr>
            <w:r>
              <w:rPr>
                <w:color w:val="000000"/>
                <w:sz w:val="24"/>
              </w:rPr>
              <w:t>JD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254,083</w:t>
            </w:r>
          </w:p>
        </w:tc>
        <w:tc>
          <w:tcPr>
            <w:tcW w:w="0" w:type="auto"/>
            <w:vAlign w:val="center"/>
          </w:tcPr>
          <w:p w:rsidR="00DC5521" w:rsidRDefault="005D4207">
            <w:pPr>
              <w:jc w:val="right"/>
            </w:pPr>
            <w:r>
              <w:rPr>
                <w:color w:val="000000"/>
                <w:sz w:val="24"/>
              </w:rPr>
              <w:t>64,417,556.28</w:t>
            </w:r>
          </w:p>
        </w:tc>
        <w:tc>
          <w:tcPr>
            <w:tcW w:w="0" w:type="auto"/>
            <w:vAlign w:val="center"/>
          </w:tcPr>
          <w:p w:rsidR="00DC5521" w:rsidRDefault="005D4207">
            <w:pPr>
              <w:jc w:val="right"/>
            </w:pPr>
            <w:r>
              <w:rPr>
                <w:color w:val="000000"/>
                <w:sz w:val="24"/>
              </w:rPr>
              <w:t>5.44</w:t>
            </w:r>
          </w:p>
        </w:tc>
      </w:tr>
      <w:tr w:rsidR="00DC5521">
        <w:tc>
          <w:tcPr>
            <w:tcW w:w="0" w:type="auto"/>
            <w:vAlign w:val="center"/>
          </w:tcPr>
          <w:p w:rsidR="00DC5521" w:rsidRDefault="005D4207">
            <w:pPr>
              <w:jc w:val="center"/>
            </w:pPr>
            <w:r>
              <w:rPr>
                <w:color w:val="000000"/>
                <w:sz w:val="24"/>
              </w:rPr>
              <w:t>5</w:t>
            </w:r>
          </w:p>
        </w:tc>
        <w:tc>
          <w:tcPr>
            <w:tcW w:w="0" w:type="auto"/>
            <w:vAlign w:val="center"/>
          </w:tcPr>
          <w:p w:rsidR="00DC5521" w:rsidRDefault="005D4207">
            <w:pPr>
              <w:jc w:val="center"/>
            </w:pPr>
            <w:r>
              <w:rPr>
                <w:color w:val="000000"/>
                <w:sz w:val="24"/>
              </w:rPr>
              <w:t>TAL Education Group</w:t>
            </w:r>
          </w:p>
        </w:tc>
        <w:tc>
          <w:tcPr>
            <w:tcW w:w="0" w:type="auto"/>
            <w:vAlign w:val="center"/>
          </w:tcPr>
          <w:p w:rsidR="00DC5521" w:rsidRDefault="005D4207">
            <w:pPr>
              <w:jc w:val="center"/>
            </w:pPr>
            <w:r>
              <w:rPr>
                <w:color w:val="000000"/>
                <w:sz w:val="24"/>
              </w:rPr>
              <w:t>好未来教育集团</w:t>
            </w:r>
          </w:p>
        </w:tc>
        <w:tc>
          <w:tcPr>
            <w:tcW w:w="0" w:type="auto"/>
            <w:vAlign w:val="center"/>
          </w:tcPr>
          <w:p w:rsidR="00DC5521" w:rsidRDefault="005D4207">
            <w:pPr>
              <w:jc w:val="center"/>
            </w:pPr>
            <w:r>
              <w:rPr>
                <w:color w:val="000000"/>
                <w:sz w:val="24"/>
              </w:rPr>
              <w:t>TAL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279,925</w:t>
            </w:r>
          </w:p>
        </w:tc>
        <w:tc>
          <w:tcPr>
            <w:tcW w:w="0" w:type="auto"/>
            <w:vAlign w:val="center"/>
          </w:tcPr>
          <w:p w:rsidR="00DC5521" w:rsidRDefault="005D4207">
            <w:pPr>
              <w:jc w:val="right"/>
            </w:pPr>
            <w:r>
              <w:rPr>
                <w:color w:val="000000"/>
                <w:sz w:val="24"/>
              </w:rPr>
              <w:t>62,627,591.98</w:t>
            </w:r>
          </w:p>
        </w:tc>
        <w:tc>
          <w:tcPr>
            <w:tcW w:w="0" w:type="auto"/>
            <w:vAlign w:val="center"/>
          </w:tcPr>
          <w:p w:rsidR="00DC5521" w:rsidRDefault="005D4207">
            <w:pPr>
              <w:jc w:val="right"/>
            </w:pPr>
            <w:r>
              <w:rPr>
                <w:color w:val="000000"/>
                <w:sz w:val="24"/>
              </w:rPr>
              <w:t>5.29</w:t>
            </w:r>
          </w:p>
        </w:tc>
      </w:tr>
      <w:tr w:rsidR="00DC5521">
        <w:tc>
          <w:tcPr>
            <w:tcW w:w="0" w:type="auto"/>
            <w:vAlign w:val="center"/>
          </w:tcPr>
          <w:p w:rsidR="00DC5521" w:rsidRDefault="005D4207">
            <w:pPr>
              <w:jc w:val="center"/>
            </w:pPr>
            <w:r>
              <w:rPr>
                <w:color w:val="000000"/>
                <w:sz w:val="24"/>
              </w:rPr>
              <w:t>6</w:t>
            </w:r>
          </w:p>
        </w:tc>
        <w:tc>
          <w:tcPr>
            <w:tcW w:w="0" w:type="auto"/>
            <w:vAlign w:val="center"/>
          </w:tcPr>
          <w:p w:rsidR="00DC5521" w:rsidRDefault="005D4207">
            <w:pPr>
              <w:jc w:val="center"/>
            </w:pPr>
            <w:r>
              <w:rPr>
                <w:color w:val="000000"/>
                <w:sz w:val="24"/>
              </w:rPr>
              <w:t>58.Com Inc.</w:t>
            </w:r>
          </w:p>
        </w:tc>
        <w:tc>
          <w:tcPr>
            <w:tcW w:w="0" w:type="auto"/>
            <w:vAlign w:val="center"/>
          </w:tcPr>
          <w:p w:rsidR="00DC5521" w:rsidRDefault="005D4207">
            <w:pPr>
              <w:jc w:val="center"/>
            </w:pPr>
            <w:r>
              <w:rPr>
                <w:color w:val="000000"/>
                <w:sz w:val="24"/>
              </w:rPr>
              <w:t>58</w:t>
            </w:r>
            <w:r>
              <w:rPr>
                <w:color w:val="000000"/>
                <w:sz w:val="24"/>
              </w:rPr>
              <w:t>同城网</w:t>
            </w:r>
          </w:p>
        </w:tc>
        <w:tc>
          <w:tcPr>
            <w:tcW w:w="0" w:type="auto"/>
            <w:vAlign w:val="center"/>
          </w:tcPr>
          <w:p w:rsidR="00DC5521" w:rsidRDefault="005D4207">
            <w:pPr>
              <w:jc w:val="center"/>
            </w:pPr>
            <w:r>
              <w:rPr>
                <w:color w:val="000000"/>
                <w:sz w:val="24"/>
              </w:rPr>
              <w:t>WUBA US</w:t>
            </w:r>
          </w:p>
        </w:tc>
        <w:tc>
          <w:tcPr>
            <w:tcW w:w="0" w:type="auto"/>
            <w:vAlign w:val="center"/>
          </w:tcPr>
          <w:p w:rsidR="00DC5521" w:rsidRDefault="005D4207">
            <w:pPr>
              <w:jc w:val="center"/>
            </w:pPr>
            <w:r>
              <w:rPr>
                <w:color w:val="000000"/>
                <w:sz w:val="24"/>
              </w:rPr>
              <w:t>美国证</w:t>
            </w:r>
            <w:r>
              <w:rPr>
                <w:color w:val="000000"/>
                <w:sz w:val="24"/>
              </w:rPr>
              <w:lastRenderedPageBreak/>
              <w:t>券交易所</w:t>
            </w:r>
          </w:p>
        </w:tc>
        <w:tc>
          <w:tcPr>
            <w:tcW w:w="0" w:type="auto"/>
            <w:vAlign w:val="center"/>
          </w:tcPr>
          <w:p w:rsidR="00DC5521" w:rsidRDefault="005D4207">
            <w:pPr>
              <w:jc w:val="center"/>
            </w:pPr>
            <w:r>
              <w:rPr>
                <w:color w:val="000000"/>
                <w:sz w:val="24"/>
              </w:rPr>
              <w:lastRenderedPageBreak/>
              <w:t>美国</w:t>
            </w:r>
          </w:p>
        </w:tc>
        <w:tc>
          <w:tcPr>
            <w:tcW w:w="0" w:type="auto"/>
            <w:vAlign w:val="center"/>
          </w:tcPr>
          <w:p w:rsidR="00DC5521" w:rsidRDefault="005D4207">
            <w:pPr>
              <w:jc w:val="right"/>
            </w:pPr>
            <w:r>
              <w:rPr>
                <w:color w:val="000000"/>
                <w:sz w:val="24"/>
              </w:rPr>
              <w:t>136,665</w:t>
            </w:r>
          </w:p>
        </w:tc>
        <w:tc>
          <w:tcPr>
            <w:tcW w:w="0" w:type="auto"/>
            <w:vAlign w:val="center"/>
          </w:tcPr>
          <w:p w:rsidR="00DC5521" w:rsidRDefault="005D4207">
            <w:pPr>
              <w:jc w:val="right"/>
            </w:pPr>
            <w:r>
              <w:rPr>
                <w:color w:val="000000"/>
                <w:sz w:val="24"/>
              </w:rPr>
              <w:t>57,269,996.60</w:t>
            </w:r>
          </w:p>
        </w:tc>
        <w:tc>
          <w:tcPr>
            <w:tcW w:w="0" w:type="auto"/>
            <w:vAlign w:val="center"/>
          </w:tcPr>
          <w:p w:rsidR="00DC5521" w:rsidRDefault="005D4207">
            <w:pPr>
              <w:jc w:val="right"/>
            </w:pPr>
            <w:r>
              <w:rPr>
                <w:color w:val="000000"/>
                <w:sz w:val="24"/>
              </w:rPr>
              <w:t>4.83</w:t>
            </w:r>
          </w:p>
        </w:tc>
      </w:tr>
      <w:tr w:rsidR="00DC5521">
        <w:tc>
          <w:tcPr>
            <w:tcW w:w="0" w:type="auto"/>
            <w:vAlign w:val="center"/>
          </w:tcPr>
          <w:p w:rsidR="00DC5521" w:rsidRDefault="005D4207">
            <w:pPr>
              <w:jc w:val="center"/>
            </w:pPr>
            <w:r>
              <w:rPr>
                <w:color w:val="000000"/>
                <w:sz w:val="24"/>
              </w:rPr>
              <w:t>7</w:t>
            </w:r>
          </w:p>
        </w:tc>
        <w:tc>
          <w:tcPr>
            <w:tcW w:w="0" w:type="auto"/>
            <w:vAlign w:val="center"/>
          </w:tcPr>
          <w:p w:rsidR="00DC5521" w:rsidRDefault="005D4207">
            <w:pPr>
              <w:jc w:val="center"/>
            </w:pPr>
            <w:r>
              <w:rPr>
                <w:color w:val="000000"/>
                <w:sz w:val="24"/>
              </w:rPr>
              <w:t>Autohome Inc.</w:t>
            </w:r>
          </w:p>
        </w:tc>
        <w:tc>
          <w:tcPr>
            <w:tcW w:w="0" w:type="auto"/>
            <w:vAlign w:val="center"/>
          </w:tcPr>
          <w:p w:rsidR="00DC5521" w:rsidRDefault="005D4207">
            <w:pPr>
              <w:jc w:val="center"/>
            </w:pPr>
            <w:r>
              <w:rPr>
                <w:color w:val="000000"/>
                <w:sz w:val="24"/>
              </w:rPr>
              <w:t>汽车之家</w:t>
            </w:r>
          </w:p>
        </w:tc>
        <w:tc>
          <w:tcPr>
            <w:tcW w:w="0" w:type="auto"/>
            <w:vAlign w:val="center"/>
          </w:tcPr>
          <w:p w:rsidR="00DC5521" w:rsidRDefault="005D4207">
            <w:pPr>
              <w:jc w:val="center"/>
            </w:pPr>
            <w:r>
              <w:rPr>
                <w:color w:val="000000"/>
                <w:sz w:val="24"/>
              </w:rPr>
              <w:t>ATHM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137,152</w:t>
            </w:r>
          </w:p>
        </w:tc>
        <w:tc>
          <w:tcPr>
            <w:tcW w:w="0" w:type="auto"/>
            <w:vAlign w:val="center"/>
          </w:tcPr>
          <w:p w:rsidR="00DC5521" w:rsidRDefault="005D4207">
            <w:pPr>
              <w:jc w:val="right"/>
            </w:pPr>
            <w:r>
              <w:rPr>
                <w:color w:val="000000"/>
                <w:sz w:val="24"/>
              </w:rPr>
              <w:t>54,688,667.66</w:t>
            </w:r>
          </w:p>
        </w:tc>
        <w:tc>
          <w:tcPr>
            <w:tcW w:w="0" w:type="auto"/>
            <w:vAlign w:val="center"/>
          </w:tcPr>
          <w:p w:rsidR="00DC5521" w:rsidRDefault="005D4207">
            <w:pPr>
              <w:jc w:val="right"/>
            </w:pPr>
            <w:r>
              <w:rPr>
                <w:color w:val="000000"/>
                <w:sz w:val="24"/>
              </w:rPr>
              <w:t>4.62</w:t>
            </w:r>
          </w:p>
        </w:tc>
      </w:tr>
      <w:tr w:rsidR="00DC5521">
        <w:tc>
          <w:tcPr>
            <w:tcW w:w="0" w:type="auto"/>
            <w:vAlign w:val="center"/>
          </w:tcPr>
          <w:p w:rsidR="00DC5521" w:rsidRDefault="005D4207">
            <w:pPr>
              <w:jc w:val="center"/>
            </w:pPr>
            <w:r>
              <w:rPr>
                <w:color w:val="000000"/>
                <w:sz w:val="24"/>
              </w:rPr>
              <w:t>8</w:t>
            </w:r>
          </w:p>
        </w:tc>
        <w:tc>
          <w:tcPr>
            <w:tcW w:w="0" w:type="auto"/>
            <w:vAlign w:val="center"/>
          </w:tcPr>
          <w:p w:rsidR="00DC5521" w:rsidRDefault="005D4207">
            <w:pPr>
              <w:jc w:val="center"/>
            </w:pPr>
            <w:r>
              <w:rPr>
                <w:color w:val="000000"/>
                <w:sz w:val="24"/>
              </w:rPr>
              <w:t>Ctrip.Com International, Ltd.</w:t>
            </w:r>
          </w:p>
        </w:tc>
        <w:tc>
          <w:tcPr>
            <w:tcW w:w="0" w:type="auto"/>
            <w:vAlign w:val="center"/>
          </w:tcPr>
          <w:p w:rsidR="00DC5521" w:rsidRDefault="005D4207">
            <w:pPr>
              <w:jc w:val="center"/>
            </w:pPr>
            <w:r>
              <w:rPr>
                <w:color w:val="000000"/>
                <w:sz w:val="24"/>
              </w:rPr>
              <w:t>携程旅行网</w:t>
            </w:r>
          </w:p>
        </w:tc>
        <w:tc>
          <w:tcPr>
            <w:tcW w:w="0" w:type="auto"/>
            <w:vAlign w:val="center"/>
          </w:tcPr>
          <w:p w:rsidR="00DC5521" w:rsidRDefault="005D4207">
            <w:pPr>
              <w:jc w:val="center"/>
            </w:pPr>
            <w:r>
              <w:rPr>
                <w:color w:val="000000"/>
                <w:sz w:val="24"/>
              </w:rPr>
              <w:t>CTRP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154,989</w:t>
            </w:r>
          </w:p>
        </w:tc>
        <w:tc>
          <w:tcPr>
            <w:tcW w:w="0" w:type="auto"/>
            <w:vAlign w:val="center"/>
          </w:tcPr>
          <w:p w:rsidR="00DC5521" w:rsidRDefault="005D4207">
            <w:pPr>
              <w:jc w:val="right"/>
            </w:pPr>
            <w:r>
              <w:rPr>
                <w:color w:val="000000"/>
                <w:sz w:val="24"/>
              </w:rPr>
              <w:t>54,250,816.10</w:t>
            </w:r>
          </w:p>
        </w:tc>
        <w:tc>
          <w:tcPr>
            <w:tcW w:w="0" w:type="auto"/>
            <w:vAlign w:val="center"/>
          </w:tcPr>
          <w:p w:rsidR="00DC5521" w:rsidRDefault="005D4207">
            <w:pPr>
              <w:jc w:val="right"/>
            </w:pPr>
            <w:r>
              <w:rPr>
                <w:color w:val="000000"/>
                <w:sz w:val="24"/>
              </w:rPr>
              <w:t>4.58</w:t>
            </w:r>
          </w:p>
        </w:tc>
      </w:tr>
      <w:tr w:rsidR="003131C3">
        <w:tc>
          <w:tcPr>
            <w:tcW w:w="0" w:type="auto"/>
            <w:vAlign w:val="center"/>
          </w:tcPr>
          <w:p w:rsidR="003131C3" w:rsidRDefault="003131C3" w:rsidP="003131C3">
            <w:pPr>
              <w:jc w:val="center"/>
            </w:pPr>
            <w:r>
              <w:rPr>
                <w:color w:val="000000"/>
                <w:sz w:val="24"/>
              </w:rPr>
              <w:t>9</w:t>
            </w:r>
          </w:p>
        </w:tc>
        <w:tc>
          <w:tcPr>
            <w:tcW w:w="0" w:type="auto"/>
            <w:vAlign w:val="center"/>
          </w:tcPr>
          <w:p w:rsidR="003131C3" w:rsidRPr="003131C3" w:rsidRDefault="003131C3" w:rsidP="003131C3">
            <w:pPr>
              <w:jc w:val="center"/>
              <w:rPr>
                <w:color w:val="000000"/>
                <w:kern w:val="0"/>
                <w:sz w:val="24"/>
              </w:rPr>
            </w:pPr>
            <w:r w:rsidRPr="003131C3">
              <w:rPr>
                <w:color w:val="000000"/>
                <w:sz w:val="24"/>
              </w:rPr>
              <w:t>Weibo Corp</w:t>
            </w:r>
          </w:p>
        </w:tc>
        <w:tc>
          <w:tcPr>
            <w:tcW w:w="0" w:type="auto"/>
            <w:vAlign w:val="center"/>
          </w:tcPr>
          <w:p w:rsidR="003131C3" w:rsidRPr="003131C3" w:rsidRDefault="003131C3" w:rsidP="003131C3">
            <w:pPr>
              <w:jc w:val="center"/>
              <w:rPr>
                <w:color w:val="000000"/>
                <w:sz w:val="24"/>
              </w:rPr>
            </w:pPr>
            <w:r w:rsidRPr="003131C3">
              <w:rPr>
                <w:rFonts w:ascii="宋体" w:hAnsi="宋体" w:hint="eastAsia"/>
                <w:color w:val="000000"/>
                <w:sz w:val="24"/>
              </w:rPr>
              <w:t>新浪微博</w:t>
            </w:r>
          </w:p>
        </w:tc>
        <w:tc>
          <w:tcPr>
            <w:tcW w:w="0" w:type="auto"/>
            <w:vAlign w:val="center"/>
          </w:tcPr>
          <w:p w:rsidR="003131C3" w:rsidRDefault="003131C3" w:rsidP="003131C3">
            <w:pPr>
              <w:jc w:val="center"/>
            </w:pPr>
            <w:r>
              <w:rPr>
                <w:color w:val="000000"/>
                <w:sz w:val="24"/>
              </w:rPr>
              <w:t>WB US</w:t>
            </w:r>
          </w:p>
        </w:tc>
        <w:tc>
          <w:tcPr>
            <w:tcW w:w="0" w:type="auto"/>
            <w:vAlign w:val="center"/>
          </w:tcPr>
          <w:p w:rsidR="003131C3" w:rsidRDefault="003131C3" w:rsidP="003131C3">
            <w:pPr>
              <w:jc w:val="center"/>
            </w:pPr>
            <w:r>
              <w:rPr>
                <w:color w:val="000000"/>
                <w:sz w:val="24"/>
              </w:rPr>
              <w:t>美国证券交易所</w:t>
            </w:r>
          </w:p>
        </w:tc>
        <w:tc>
          <w:tcPr>
            <w:tcW w:w="0" w:type="auto"/>
            <w:vAlign w:val="center"/>
          </w:tcPr>
          <w:p w:rsidR="003131C3" w:rsidRDefault="003131C3" w:rsidP="003131C3">
            <w:pPr>
              <w:jc w:val="center"/>
            </w:pPr>
            <w:r>
              <w:rPr>
                <w:color w:val="000000"/>
                <w:sz w:val="24"/>
              </w:rPr>
              <w:t>美国</w:t>
            </w:r>
          </w:p>
        </w:tc>
        <w:tc>
          <w:tcPr>
            <w:tcW w:w="0" w:type="auto"/>
            <w:vAlign w:val="center"/>
          </w:tcPr>
          <w:p w:rsidR="003131C3" w:rsidRDefault="003131C3" w:rsidP="003131C3">
            <w:pPr>
              <w:jc w:val="right"/>
            </w:pPr>
            <w:r>
              <w:rPr>
                <w:color w:val="000000"/>
                <w:sz w:val="24"/>
              </w:rPr>
              <w:t>77,741</w:t>
            </w:r>
          </w:p>
        </w:tc>
        <w:tc>
          <w:tcPr>
            <w:tcW w:w="0" w:type="auto"/>
            <w:vAlign w:val="center"/>
          </w:tcPr>
          <w:p w:rsidR="003131C3" w:rsidRDefault="003131C3" w:rsidP="003131C3">
            <w:pPr>
              <w:jc w:val="right"/>
            </w:pPr>
            <w:r>
              <w:rPr>
                <w:color w:val="000000"/>
                <w:sz w:val="24"/>
              </w:rPr>
              <w:t>51,04</w:t>
            </w:r>
            <w:bookmarkStart w:id="0" w:name="_GoBack"/>
            <w:bookmarkEnd w:id="0"/>
            <w:r>
              <w:rPr>
                <w:color w:val="000000"/>
                <w:sz w:val="24"/>
              </w:rPr>
              <w:t>9,007.49</w:t>
            </w:r>
          </w:p>
        </w:tc>
        <w:tc>
          <w:tcPr>
            <w:tcW w:w="0" w:type="auto"/>
            <w:vAlign w:val="center"/>
          </w:tcPr>
          <w:p w:rsidR="003131C3" w:rsidRDefault="003131C3" w:rsidP="003131C3">
            <w:pPr>
              <w:jc w:val="right"/>
            </w:pPr>
            <w:r>
              <w:rPr>
                <w:color w:val="000000"/>
                <w:sz w:val="24"/>
              </w:rPr>
              <w:t>4.31</w:t>
            </w:r>
          </w:p>
        </w:tc>
      </w:tr>
      <w:tr w:rsidR="00DC5521">
        <w:tc>
          <w:tcPr>
            <w:tcW w:w="0" w:type="auto"/>
            <w:vAlign w:val="center"/>
          </w:tcPr>
          <w:p w:rsidR="00DC5521" w:rsidRDefault="005D4207">
            <w:pPr>
              <w:jc w:val="center"/>
            </w:pPr>
            <w:r>
              <w:rPr>
                <w:color w:val="000000"/>
                <w:sz w:val="24"/>
              </w:rPr>
              <w:t>10</w:t>
            </w:r>
          </w:p>
        </w:tc>
        <w:tc>
          <w:tcPr>
            <w:tcW w:w="0" w:type="auto"/>
            <w:vAlign w:val="center"/>
          </w:tcPr>
          <w:p w:rsidR="00DC5521" w:rsidRDefault="005D4207">
            <w:pPr>
              <w:jc w:val="center"/>
            </w:pPr>
            <w:r>
              <w:rPr>
                <w:color w:val="000000"/>
                <w:sz w:val="24"/>
              </w:rPr>
              <w:t>SINA Corp</w:t>
            </w:r>
          </w:p>
        </w:tc>
        <w:tc>
          <w:tcPr>
            <w:tcW w:w="0" w:type="auto"/>
            <w:vAlign w:val="center"/>
          </w:tcPr>
          <w:p w:rsidR="00DC5521" w:rsidRDefault="005D4207">
            <w:pPr>
              <w:jc w:val="center"/>
            </w:pPr>
            <w:r>
              <w:rPr>
                <w:color w:val="000000"/>
                <w:sz w:val="24"/>
              </w:rPr>
              <w:t>新浪公司</w:t>
            </w:r>
          </w:p>
        </w:tc>
        <w:tc>
          <w:tcPr>
            <w:tcW w:w="0" w:type="auto"/>
            <w:vAlign w:val="center"/>
          </w:tcPr>
          <w:p w:rsidR="00DC5521" w:rsidRDefault="005D4207">
            <w:pPr>
              <w:jc w:val="center"/>
            </w:pPr>
            <w:r>
              <w:rPr>
                <w:color w:val="000000"/>
                <w:sz w:val="24"/>
              </w:rPr>
              <w:t>SINA US</w:t>
            </w:r>
          </w:p>
        </w:tc>
        <w:tc>
          <w:tcPr>
            <w:tcW w:w="0" w:type="auto"/>
            <w:vAlign w:val="center"/>
          </w:tcPr>
          <w:p w:rsidR="00DC5521" w:rsidRDefault="005D4207">
            <w:pPr>
              <w:jc w:val="center"/>
            </w:pPr>
            <w:r>
              <w:rPr>
                <w:color w:val="000000"/>
                <w:sz w:val="24"/>
              </w:rPr>
              <w:t>美国证券交易所</w:t>
            </w:r>
          </w:p>
        </w:tc>
        <w:tc>
          <w:tcPr>
            <w:tcW w:w="0" w:type="auto"/>
            <w:vAlign w:val="center"/>
          </w:tcPr>
          <w:p w:rsidR="00DC5521" w:rsidRDefault="005D4207">
            <w:pPr>
              <w:jc w:val="center"/>
            </w:pPr>
            <w:r>
              <w:rPr>
                <w:color w:val="000000"/>
                <w:sz w:val="24"/>
              </w:rPr>
              <w:t>美国</w:t>
            </w:r>
          </w:p>
        </w:tc>
        <w:tc>
          <w:tcPr>
            <w:tcW w:w="0" w:type="auto"/>
            <w:vAlign w:val="center"/>
          </w:tcPr>
          <w:p w:rsidR="00DC5521" w:rsidRDefault="005D4207">
            <w:pPr>
              <w:jc w:val="right"/>
            </w:pPr>
            <w:r>
              <w:rPr>
                <w:color w:val="000000"/>
                <w:sz w:val="24"/>
              </w:rPr>
              <w:t>64,092</w:t>
            </w:r>
          </w:p>
        </w:tc>
        <w:tc>
          <w:tcPr>
            <w:tcW w:w="0" w:type="auto"/>
            <w:vAlign w:val="center"/>
          </w:tcPr>
          <w:p w:rsidR="00DC5521" w:rsidRDefault="005D4207">
            <w:pPr>
              <w:jc w:val="right"/>
            </w:pPr>
            <w:r>
              <w:rPr>
                <w:color w:val="000000"/>
                <w:sz w:val="24"/>
              </w:rPr>
              <w:t>48,768,922.13</w:t>
            </w:r>
          </w:p>
        </w:tc>
        <w:tc>
          <w:tcPr>
            <w:tcW w:w="0" w:type="auto"/>
            <w:vAlign w:val="center"/>
          </w:tcPr>
          <w:p w:rsidR="00DC5521" w:rsidRDefault="005D4207">
            <w:pPr>
              <w:jc w:val="right"/>
            </w:pPr>
            <w:r>
              <w:rPr>
                <w:color w:val="000000"/>
                <w:sz w:val="24"/>
              </w:rPr>
              <w:t>4.12</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报告期内本基金投资的前十名证券的发行主体除微博（证券代码：</w:t>
      </w:r>
      <w:r w:rsidR="00521EDE" w:rsidRPr="008640AE">
        <w:rPr>
          <w:color w:val="000000"/>
          <w:sz w:val="24"/>
        </w:rPr>
        <w:t>WB</w:t>
      </w:r>
      <w:r w:rsidR="00521EDE" w:rsidRPr="008640AE">
        <w:rPr>
          <w:color w:val="000000"/>
          <w:sz w:val="24"/>
        </w:rPr>
        <w:t>）、金山软件（证券代码：</w:t>
      </w:r>
      <w:r w:rsidR="00521EDE" w:rsidRPr="008640AE">
        <w:rPr>
          <w:color w:val="000000"/>
          <w:sz w:val="24"/>
        </w:rPr>
        <w:t>3888</w:t>
      </w:r>
      <w:r w:rsidR="00521EDE" w:rsidRPr="008640AE">
        <w:rPr>
          <w:color w:val="000000"/>
          <w:sz w:val="24"/>
        </w:rPr>
        <w:t>）和唯品会（证券代码：</w:t>
      </w:r>
      <w:r w:rsidR="00521EDE" w:rsidRPr="008640AE">
        <w:rPr>
          <w:color w:val="000000"/>
          <w:sz w:val="24"/>
        </w:rPr>
        <w:t>VIPS</w:t>
      </w:r>
      <w:r w:rsidR="00521EDE" w:rsidRPr="008640AE">
        <w:rPr>
          <w:color w:val="000000"/>
          <w:sz w:val="24"/>
        </w:rPr>
        <w:t>）外，未出现被监管部门立案调查，或在报告编制日前一年内受到公开谴责、处罚的情形。</w:t>
      </w:r>
    </w:p>
    <w:p w:rsidR="00DC5521" w:rsidRDefault="005D4207">
      <w:pPr>
        <w:spacing w:before="29" w:line="288" w:lineRule="auto"/>
        <w:rPr>
          <w:color w:val="000000"/>
          <w:sz w:val="24"/>
        </w:rPr>
      </w:pPr>
      <w:r>
        <w:rPr>
          <w:color w:val="000000"/>
          <w:sz w:val="24"/>
        </w:rPr>
        <w:t>报告期内本基金投资的前十名证券之一微博（证券代码：</w:t>
      </w:r>
      <w:r>
        <w:rPr>
          <w:color w:val="000000"/>
          <w:sz w:val="24"/>
        </w:rPr>
        <w:t>WB</w:t>
      </w:r>
      <w:r>
        <w:rPr>
          <w:color w:val="000000"/>
          <w:sz w:val="24"/>
        </w:rPr>
        <w:t>）涉嫌违反《网络安全法》等法律法规，对其平台用户发布的法律法规禁止发布的信息未尽到管理义务。</w:t>
      </w:r>
      <w:r>
        <w:rPr>
          <w:color w:val="000000"/>
          <w:sz w:val="24"/>
        </w:rPr>
        <w:t>2017</w:t>
      </w:r>
      <w:r>
        <w:rPr>
          <w:color w:val="000000"/>
          <w:sz w:val="24"/>
        </w:rPr>
        <w:t>年</w:t>
      </w:r>
      <w:r>
        <w:rPr>
          <w:color w:val="000000"/>
          <w:sz w:val="24"/>
        </w:rPr>
        <w:t>8</w:t>
      </w:r>
      <w:r>
        <w:rPr>
          <w:color w:val="000000"/>
          <w:sz w:val="24"/>
        </w:rPr>
        <w:t>月</w:t>
      </w:r>
      <w:r>
        <w:rPr>
          <w:color w:val="000000"/>
          <w:sz w:val="24"/>
        </w:rPr>
        <w:t>11</w:t>
      </w:r>
      <w:r>
        <w:rPr>
          <w:color w:val="000000"/>
          <w:sz w:val="24"/>
        </w:rPr>
        <w:t>日，国家互联网信息办公室官方网站发布公告称，国家互联网信息办公室决定对微博立案调查。</w:t>
      </w:r>
    </w:p>
    <w:p w:rsidR="00DC5521" w:rsidRDefault="005D4207">
      <w:pPr>
        <w:spacing w:before="29" w:line="288" w:lineRule="auto"/>
        <w:rPr>
          <w:color w:val="000000"/>
          <w:sz w:val="24"/>
        </w:rPr>
      </w:pPr>
      <w:r>
        <w:rPr>
          <w:color w:val="000000"/>
          <w:sz w:val="24"/>
        </w:rPr>
        <w:t>报告期内本基金投资的前十名证券之一金山软件（证券代码：</w:t>
      </w:r>
      <w:r>
        <w:rPr>
          <w:color w:val="000000"/>
          <w:sz w:val="24"/>
        </w:rPr>
        <w:t>3888</w:t>
      </w:r>
      <w:r>
        <w:rPr>
          <w:color w:val="000000"/>
          <w:sz w:val="24"/>
        </w:rPr>
        <w:t>），自</w:t>
      </w:r>
      <w:r>
        <w:rPr>
          <w:color w:val="000000"/>
          <w:sz w:val="24"/>
        </w:rPr>
        <w:t>2014</w:t>
      </w:r>
      <w:r>
        <w:rPr>
          <w:color w:val="000000"/>
          <w:sz w:val="24"/>
        </w:rPr>
        <w:t>年起北京猎豹网络科技有限公司、北京猎豹移动科技有限公司和北京金山安全软件有限公司共同开发和运营的金山毒霸软件在安装、运行和卸载环节，擅自将用户在浏览器中设定的</w:t>
      </w:r>
      <w:r>
        <w:rPr>
          <w:color w:val="000000"/>
          <w:sz w:val="24"/>
        </w:rPr>
        <w:t>2345</w:t>
      </w:r>
      <w:r>
        <w:rPr>
          <w:color w:val="000000"/>
          <w:sz w:val="24"/>
        </w:rPr>
        <w:t>网址导航主页篡改为毒霸网址大全。</w:t>
      </w:r>
      <w:r>
        <w:rPr>
          <w:color w:val="000000"/>
          <w:sz w:val="24"/>
        </w:rPr>
        <w:t>2017</w:t>
      </w:r>
      <w:r>
        <w:rPr>
          <w:color w:val="000000"/>
          <w:sz w:val="24"/>
        </w:rPr>
        <w:t>年</w:t>
      </w:r>
      <w:r>
        <w:rPr>
          <w:color w:val="000000"/>
          <w:sz w:val="24"/>
        </w:rPr>
        <w:t>8</w:t>
      </w:r>
      <w:r>
        <w:rPr>
          <w:color w:val="000000"/>
          <w:sz w:val="24"/>
        </w:rPr>
        <w:t>月</w:t>
      </w:r>
      <w:r>
        <w:rPr>
          <w:color w:val="000000"/>
          <w:sz w:val="24"/>
        </w:rPr>
        <w:t>10</w:t>
      </w:r>
      <w:r>
        <w:rPr>
          <w:color w:val="000000"/>
          <w:sz w:val="24"/>
        </w:rPr>
        <w:t>日，上海市浦东新区人民法院审理后作出一审判决，北京猎豹网络科技有限公司、北京猎豹移动科技有限公司和北京金山安全软件有限公司等三被告立即停止实施不正当竞争行为，并在旗下三个网站上连续</w:t>
      </w:r>
      <w:r>
        <w:rPr>
          <w:color w:val="000000"/>
          <w:sz w:val="24"/>
        </w:rPr>
        <w:t>30</w:t>
      </w:r>
      <w:r>
        <w:rPr>
          <w:color w:val="000000"/>
          <w:sz w:val="24"/>
        </w:rPr>
        <w:t>日刊登声明、消除影响，共同赔偿原告上海二三四五网络科技有限公司经济损失</w:t>
      </w:r>
      <w:r>
        <w:rPr>
          <w:color w:val="000000"/>
          <w:sz w:val="24"/>
        </w:rPr>
        <w:t>300</w:t>
      </w:r>
      <w:r>
        <w:rPr>
          <w:color w:val="000000"/>
          <w:sz w:val="24"/>
        </w:rPr>
        <w:t>万余元。</w:t>
      </w:r>
    </w:p>
    <w:p w:rsidR="00DC5521" w:rsidRDefault="005D4207">
      <w:pPr>
        <w:spacing w:before="29" w:line="288" w:lineRule="auto"/>
        <w:rPr>
          <w:color w:val="000000"/>
          <w:sz w:val="24"/>
        </w:rPr>
      </w:pPr>
      <w:r>
        <w:rPr>
          <w:color w:val="000000"/>
          <w:sz w:val="24"/>
        </w:rPr>
        <w:t>报告期内本基金投资的前十名证券之一唯品会（证券代码：</w:t>
      </w:r>
      <w:r>
        <w:rPr>
          <w:color w:val="000000"/>
          <w:sz w:val="24"/>
        </w:rPr>
        <w:t>VIPS</w:t>
      </w:r>
      <w:r>
        <w:rPr>
          <w:color w:val="000000"/>
          <w:sz w:val="24"/>
        </w:rPr>
        <w:t>）因存在广告违法行为，广州市工商行政管理局根据穗工商处字［</w:t>
      </w:r>
      <w:r>
        <w:rPr>
          <w:color w:val="000000"/>
          <w:sz w:val="24"/>
        </w:rPr>
        <w:t>2017</w:t>
      </w:r>
      <w:r>
        <w:rPr>
          <w:color w:val="000000"/>
          <w:sz w:val="24"/>
        </w:rPr>
        <w:t>］</w:t>
      </w:r>
      <w:r>
        <w:rPr>
          <w:color w:val="000000"/>
          <w:sz w:val="24"/>
        </w:rPr>
        <w:t>101</w:t>
      </w:r>
      <w:r>
        <w:rPr>
          <w:color w:val="000000"/>
          <w:sz w:val="24"/>
        </w:rPr>
        <w:t>号决定书，责令其改正并处以</w:t>
      </w:r>
      <w:r>
        <w:rPr>
          <w:color w:val="000000"/>
          <w:sz w:val="24"/>
        </w:rPr>
        <w:t>33</w:t>
      </w:r>
      <w:r>
        <w:rPr>
          <w:color w:val="000000"/>
          <w:sz w:val="24"/>
        </w:rPr>
        <w:t>万元的罚款。</w:t>
      </w:r>
    </w:p>
    <w:p w:rsidR="00DC5521" w:rsidRDefault="005D4207">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lastRenderedPageBreak/>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13,927,651.18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402,216.30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6,787.89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14,336,655.37</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912,578,025.63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318,935,996.14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373,033,973.98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858,480,047.79</w:t>
            </w:r>
          </w:p>
        </w:tc>
      </w:tr>
    </w:tbl>
    <w:p w:rsidR="00DC5521" w:rsidRDefault="005D42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DC5521" w:rsidRDefault="005D4207">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DC5521" w:rsidRDefault="005D4207">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DC5521" w:rsidRDefault="005D4207">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DC5521" w:rsidRDefault="005D4207">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DC5521" w:rsidRDefault="005D4207">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DC5521" w:rsidRDefault="005D42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41594D">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39" w:rsidRDefault="00A30039">
      <w:r>
        <w:separator/>
      </w:r>
    </w:p>
  </w:endnote>
  <w:endnote w:type="continuationSeparator" w:id="0">
    <w:p w:rsidR="00A30039" w:rsidRDefault="00A3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DC35A7">
      <w:rPr>
        <w:kern w:val="0"/>
        <w:szCs w:val="21"/>
      </w:rPr>
      <w:fldChar w:fldCharType="begin"/>
    </w:r>
    <w:r>
      <w:rPr>
        <w:kern w:val="0"/>
        <w:szCs w:val="21"/>
      </w:rPr>
      <w:instrText xml:space="preserve"> PAGE </w:instrText>
    </w:r>
    <w:r w:rsidR="00DC35A7">
      <w:rPr>
        <w:kern w:val="0"/>
        <w:szCs w:val="21"/>
      </w:rPr>
      <w:fldChar w:fldCharType="separate"/>
    </w:r>
    <w:r w:rsidR="003131C3">
      <w:rPr>
        <w:noProof/>
        <w:kern w:val="0"/>
        <w:szCs w:val="21"/>
      </w:rPr>
      <w:t>10</w:t>
    </w:r>
    <w:r w:rsidR="00DC35A7">
      <w:rPr>
        <w:kern w:val="0"/>
        <w:szCs w:val="21"/>
      </w:rPr>
      <w:fldChar w:fldCharType="end"/>
    </w:r>
    <w:r>
      <w:rPr>
        <w:rFonts w:hint="eastAsia"/>
        <w:kern w:val="0"/>
        <w:szCs w:val="21"/>
      </w:rPr>
      <w:t>页共</w:t>
    </w:r>
    <w:r w:rsidR="00DC35A7">
      <w:rPr>
        <w:kern w:val="0"/>
        <w:szCs w:val="21"/>
      </w:rPr>
      <w:fldChar w:fldCharType="begin"/>
    </w:r>
    <w:r>
      <w:rPr>
        <w:kern w:val="0"/>
        <w:szCs w:val="21"/>
      </w:rPr>
      <w:instrText xml:space="preserve"> NUMPAGES </w:instrText>
    </w:r>
    <w:r w:rsidR="00DC35A7">
      <w:rPr>
        <w:kern w:val="0"/>
        <w:szCs w:val="21"/>
      </w:rPr>
      <w:fldChar w:fldCharType="separate"/>
    </w:r>
    <w:r w:rsidR="003131C3">
      <w:rPr>
        <w:noProof/>
        <w:kern w:val="0"/>
        <w:szCs w:val="21"/>
      </w:rPr>
      <w:t>13</w:t>
    </w:r>
    <w:r w:rsidR="00DC35A7">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DC35A7">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39" w:rsidRDefault="00A30039">
      <w:r>
        <w:separator/>
      </w:r>
    </w:p>
  </w:footnote>
  <w:footnote w:type="continuationSeparator" w:id="0">
    <w:p w:rsidR="00A30039" w:rsidRDefault="00A3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31C3"/>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594D"/>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220"/>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207"/>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4A5B"/>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0039"/>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35A7"/>
    <w:rsid w:val="00DC41E4"/>
    <w:rsid w:val="00DC5521"/>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88A"/>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FA7F3DD-FE76-477D-8272-544C5529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123</TotalTime>
  <Pages>13</Pages>
  <Words>1153</Words>
  <Characters>6573</Characters>
  <Application>Microsoft Office Word</Application>
  <DocSecurity>0</DocSecurity>
  <Lines>54</Lines>
  <Paragraphs>15</Paragraphs>
  <ScaleCrop>false</ScaleCrop>
  <Company>TRT. Ltd. Co.</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303</cp:revision>
  <cp:lastPrinted>2007-07-19T00:46:00Z</cp:lastPrinted>
  <dcterms:created xsi:type="dcterms:W3CDTF">2013-08-01T05:26:00Z</dcterms:created>
  <dcterms:modified xsi:type="dcterms:W3CDTF">2017-10-25T02:34:00Z</dcterms:modified>
</cp:coreProperties>
</file>