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交银施罗德医药创新股票型证券投资基金</w:t>
      </w:r>
    </w:p>
    <w:p w:rsidR="002279D3" w:rsidRPr="0081286B" w:rsidRDefault="002279D3" w:rsidP="00C15CAC">
      <w:pPr>
        <w:spacing w:before="29" w:line="288" w:lineRule="auto"/>
        <w:jc w:val="center"/>
        <w:rPr>
          <w:b/>
          <w:sz w:val="36"/>
          <w:szCs w:val="36"/>
        </w:rPr>
      </w:pPr>
      <w:r w:rsidRPr="0081286B">
        <w:rPr>
          <w:b/>
          <w:sz w:val="36"/>
          <w:szCs w:val="36"/>
        </w:rPr>
        <w:t>2017年第3季度报告</w:t>
      </w:r>
    </w:p>
    <w:p w:rsidR="004061AC" w:rsidRPr="0081286B" w:rsidRDefault="00655CD8" w:rsidP="00C15CAC">
      <w:pPr>
        <w:spacing w:before="29" w:line="288" w:lineRule="auto"/>
        <w:jc w:val="center"/>
        <w:rPr>
          <w:b/>
          <w:sz w:val="36"/>
          <w:szCs w:val="36"/>
        </w:rPr>
      </w:pPr>
      <w:r w:rsidRPr="0081286B">
        <w:rPr>
          <w:b/>
          <w:sz w:val="36"/>
          <w:szCs w:val="36"/>
        </w:rPr>
        <w:t>2017年9月30日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w:t>
      </w:r>
      <w:r w:rsidRPr="0081286B">
        <w:rPr>
          <w:b/>
          <w:color w:val="000000"/>
          <w:sz w:val="24"/>
          <w:szCs w:val="24"/>
        </w:rPr>
        <w:t>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二〇一七年十月二十五日</w:t>
      </w:r>
    </w:p>
    <w:p w:rsidR="004061AC" w:rsidRPr="00414345" w:rsidRDefault="004061AC" w:rsidP="00EE49FE">
      <w:pPr>
        <w:pStyle w:val="1"/>
        <w:spacing w:beforeLines="100" w:after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Chars="200" w:firstLine="48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Chars="200" w:firstLine="480"/>
        <w:rPr>
          <w:color w:val="000000"/>
          <w:sz w:val="24"/>
          <w:szCs w:val="24"/>
        </w:rPr>
      </w:pPr>
      <w:r>
        <w:rPr>
          <w:color w:val="000000"/>
          <w:sz w:val="24"/>
          <w:szCs w:val="24"/>
        </w:rPr>
        <w:t xml:space="preserve">基金托管人中国工商银行股份有限公司根据本基金合同规定，于2017年10月24日复核了本报告中的财务指标、净值表现和投资组合报告等内容，保证复核内容不存在虚假记载、误导性陈述或者重大遗漏。 </w:t>
      </w:r>
    </w:p>
    <w:p>
      <w:pPr>
        <w:spacing w:before="29" w:line="288" w:lineRule="auto"/>
        <w:ind w:firstLineChars="200" w:firstLine="48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Chars="200" w:firstLine="48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本报告期自2017年7月1日起至9月30日止。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E49FE">
      <w:pPr>
        <w:pStyle w:val="1"/>
        <w:spacing w:beforeLines="100" w:after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交银医药创新股票</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004075</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gridSpan w:val="2"/>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004075</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2017年3月23日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747,921,190.10</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本基金将深度挖掘医药创新过程中产业的各类投资机会，精选医药创新主题的优质上市公司，在控制风险并保持基金资产良好的流动性的前提下，谋求基金资产的长期、稳定增值。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研究优势，将严谨、规范化的选股方法与积极主动的投资风格相结合，在经济转型大背景下，深入研究医药创新行业的发展趋势，积极挖掘不同子行业和子行业景气度新变化下的个股投资机会，通过团队对个股深入的基本面研究和细致的实地调研，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85%×中证医药卫生指数收益率+15%×中证综合债券指数收益率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本基金是一只股票型基金，其预期风险与预期收益高于混合型基金、债券型基金和货币市场基金，属于承担较高预期风险、预期收益较高的证券投资基金品种。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E49FE">
      <w:pPr>
        <w:pStyle w:val="1"/>
        <w:spacing w:beforeLines="100" w:after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7"/>
        <w:gridCol w:w="2706"/>
        <w:gridCol w:w="2555"/>
      </w:tblGrid>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w="4962" w:type="dxa"/>
            <w:hMerge w:val="restart"/>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(2017年7月1日-2017年9月30日)</w:t>
            </w:r>
          </w:p>
        </w:tc>
        <w:tc>
          <w:tcPr>
            <w:tcW w:w="2410" w:type="dxa"/>
            <w:hMerge/>
            <w:vAlign w:val="center"/>
          </w:tcPr>
          <w:p w:rsidR="00C21520" w:rsidRPr="00414345" w:rsidRDefault="00C21520" w:rsidP="00C15CAC">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10,817,046.61</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5,819,503.24</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0.0061</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784,516,606.72</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1.0489</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R="004061AC" w:rsidRPr="00414345" w:rsidRDefault="00A5612C"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1.13%</w:t>
            </w:r>
          </w:p>
        </w:tc>
        <w:tc>
          <w:tcPr>
            <w:vAlign w:val="center"/>
          </w:tcPr>
          <w:p>
            <w:pPr>
              <w:jc w:val="center"/>
            </w:pPr>
            <w:r>
              <w:rPr>
                <w:color w:val="000000"/>
                <w:sz w:val="24"/>
                <w:szCs w:val="24"/>
              </w:rPr>
              <w:t>0.53%</w:t>
            </w:r>
          </w:p>
        </w:tc>
        <w:tc>
          <w:tcPr>
            <w:vAlign w:val="center"/>
          </w:tcPr>
          <w:p>
            <w:pPr>
              <w:jc w:val="center"/>
            </w:pPr>
            <w:r>
              <w:rPr>
                <w:color w:val="000000"/>
                <w:sz w:val="24"/>
                <w:szCs w:val="24"/>
              </w:rPr>
              <w:t>-1.31%</w:t>
            </w:r>
          </w:p>
        </w:tc>
        <w:tc>
          <w:tcPr>
            <w:vAlign w:val="center"/>
          </w:tcPr>
          <w:p>
            <w:pPr>
              <w:jc w:val="center"/>
            </w:pPr>
            <w:r>
              <w:rPr>
                <w:color w:val="000000"/>
                <w:sz w:val="24"/>
                <w:szCs w:val="24"/>
              </w:rPr>
              <w:t>0.55%</w:t>
            </w:r>
          </w:p>
        </w:tc>
        <w:tc>
          <w:tcPr>
            <w:vAlign w:val="center"/>
          </w:tcPr>
          <w:p>
            <w:pPr>
              <w:jc w:val="center"/>
            </w:pPr>
            <w:r>
              <w:rPr>
                <w:color w:val="000000"/>
                <w:sz w:val="24"/>
                <w:szCs w:val="24"/>
              </w:rPr>
              <w:t>2.44%</w:t>
            </w:r>
          </w:p>
        </w:tc>
        <w:tc>
          <w:tcPr>
            <w:vAlign w:val="center"/>
          </w:tcPr>
          <w:p>
            <w:pPr>
              <w:jc w:val="center"/>
            </w:pPr>
            <w:r>
              <w:rPr>
                <w:color w:val="000000"/>
                <w:sz w:val="24"/>
                <w:szCs w:val="24"/>
              </w:rPr>
              <w:t>-0.02%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交银施罗德医药创新股票型证券投资基金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2017年3月23日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2017年9月30日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1C79F2"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基金合同生效日为2017年3月23日，基金合同生效日至报告期期末，本基金运作时间未满一年。本基金建仓期为自基金合同生效日起的6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EE49FE">
      <w:pPr>
        <w:pStyle w:val="1"/>
        <w:spacing w:beforeLines="100" w:after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tc>
          <w:tcPr>
            <w:vAlign w:val="center"/>
          </w:tcPr>
          <w:p>
            <w:pPr>
              <w:jc w:val="center"/>
            </w:pPr>
            <w:r>
              <w:rPr>
                <w:color w:val="000000"/>
                <w:sz w:val="24"/>
                <w:szCs w:val="24"/>
              </w:rPr>
              <w:t>盖婷婷</w:t>
            </w:r>
          </w:p>
        </w:tc>
        <w:tc>
          <w:tcPr>
            <w:vAlign w:val="center"/>
          </w:tcPr>
          <w:p>
            <w:pPr>
              <w:jc w:val="center"/>
            </w:pPr>
            <w:r>
              <w:rPr>
                <w:color w:val="000000"/>
                <w:sz w:val="24"/>
                <w:szCs w:val="24"/>
              </w:rPr>
              <w:t>交银消费新驱动股票、交银医药创新股票、交银恒益灵活配置混合的基金经理</w:t>
            </w:r>
          </w:p>
        </w:tc>
        <w:tc>
          <w:tcPr>
            <w:vAlign w:val="center"/>
          </w:tcPr>
          <w:p>
            <w:pPr>
              <w:jc w:val="center"/>
            </w:pPr>
            <w:r>
              <w:rPr>
                <w:color w:val="000000"/>
                <w:sz w:val="24"/>
                <w:szCs w:val="24"/>
              </w:rPr>
              <w:t>2017-03-23</w:t>
            </w:r>
          </w:p>
        </w:tc>
        <w:tc>
          <w:tcPr>
            <w:vAlign w:val="center"/>
          </w:tcPr>
          <w:p>
            <w:pPr>
              <w:jc w:val="center"/>
            </w:pPr>
            <w:r>
              <w:rPr>
                <w:color w:val="000000"/>
                <w:sz w:val="24"/>
                <w:szCs w:val="24"/>
              </w:rPr>
              <w:t>-</w:t>
            </w:r>
          </w:p>
        </w:tc>
        <w:tc>
          <w:tcPr>
            <w:vAlign w:val="center"/>
          </w:tcPr>
          <w:p>
            <w:pPr>
              <w:jc w:val="center"/>
            </w:pPr>
            <w:r>
              <w:rPr>
                <w:color w:val="000000"/>
                <w:sz w:val="24"/>
                <w:szCs w:val="24"/>
              </w:rPr>
              <w:t>11年</w:t>
            </w:r>
          </w:p>
        </w:tc>
        <w:tc>
          <w:tcPr>
            <w:vAlign w:val="center"/>
          </w:tcPr>
          <w:p>
            <w:pPr>
              <w:jc w:val="both"/>
            </w:pPr>
            <w:r>
              <w:rPr>
                <w:color w:val="000000"/>
                <w:sz w:val="24"/>
                <w:szCs w:val="24"/>
              </w:rPr>
              <w:t>盖婷婷女士，上海交通大学硕士。历任信诚基金管理有限公司分析师、研究总监助理。2011年加入交银施罗德基金管理有限公司，历任行业分析师。</w:t>
            </w:r>
          </w:p>
        </w:tc>
      </w:tr>
    </w:tbl>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Chars="200" w:firstLine="480"/>
        <w:rPr>
          <w:color w:val="000000"/>
          <w:sz w:val="24"/>
          <w:szCs w:val="24"/>
        </w:rPr>
      </w:pPr>
      <w:r>
        <w:rPr>
          <w:color w:val="000000"/>
          <w:sz w:val="24"/>
          <w:szCs w:val="24"/>
        </w:rPr>
        <w:t>三季度医药行业先跌后涨，由于大部分医药企业二季度业绩较为平淡，整个三季度医药的整体表现一般。</w:t>
      </w:r>
    </w:p>
    <w:p>
      <w:pPr>
        <w:spacing w:before="29" w:line="288" w:lineRule="auto"/>
        <w:ind w:firstLineChars="200" w:firstLine="480"/>
        <w:rPr>
          <w:color w:val="000000"/>
          <w:sz w:val="24"/>
          <w:szCs w:val="24"/>
        </w:rPr>
      </w:pPr>
      <w:r>
        <w:rPr>
          <w:color w:val="000000"/>
          <w:sz w:val="24"/>
          <w:szCs w:val="24"/>
        </w:rPr>
        <w:t>本基金在三季度完成基金的建仓，配置上仍然延续之前的思路，看好新药研发公司以及为之配套服务的CRO行业，关注两票制带来的医药商业整合机会、仿制药一致性评价的机会和分级诊疗投资机会。</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四季度医药行业也有望有估值切换的行情，随着医药改革的逐渐深入，医药公司的业绩将逐步改善，我们对明年医药的投资机会比较乐观。</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截至2017年9月30日，本基金份额净值为1.0489元，本报告期份额净值增长率为1.13%，同期业绩比较基准增长率为-1.31%。</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EE49FE">
      <w:pPr>
        <w:pStyle w:val="1"/>
        <w:spacing w:beforeLines="100" w:after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lastRenderedPageBreak/>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653,215,576.81</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82.79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653,215,576.81</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82.79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lastRenderedPageBreak/>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135,232,702.75</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17.14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
            </w:r>
            <w:r w:rsidR="00C012F9" w:rsidRPr="00414345">
              <w:rPr>
                <w:color w:val="000000"/>
                <w:sz w:val="24"/>
                <w:szCs w:val="24"/>
              </w:rPr>
              <w:t/>
            </w: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520,691.50</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0.07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
            </w:r>
            <w:r w:rsidR="00C012F9" w:rsidRPr="00414345">
              <w:rPr>
                <w:color w:val="000000"/>
                <w:sz w:val="24"/>
                <w:szCs w:val="24"/>
              </w:rPr>
              <w:t/>
            </w: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788,968,971.06</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
            </w:r>
            <w:r w:rsidRPr="00414345">
              <w:rPr>
                <w:color w:val="000000"/>
                <w:sz w:val="24"/>
                <w:szCs w:val="24"/>
              </w:rPr>
              <w:lastRenderedPageBreak/>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b/>
          <w:color w:val="000000" w:themeColor="text1"/>
          <w:sz w:val="24"/>
        </w:rPr>
        <w:t/>
      </w: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294,202,642.03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37.50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31,093.44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262,086,019.95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r w:rsidRPr="00414345">
              <w:rPr>
                <w:sz w:val="24"/>
                <w:szCs w:val="24"/>
              </w:rPr>
              <w:lastRenderedPageBreak/>
              <w:t>33.41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25,571.91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17,468.03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r w:rsidRPr="00414345">
              <w:rPr>
                <w:sz w:val="24"/>
                <w:szCs w:val="24"/>
              </w:rPr>
              <w:lastRenderedPageBreak/>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96,840,005.40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12.34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12,776.05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653,215,576.81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r w:rsidRPr="00414345">
              <w:rPr>
                <w:sz w:val="24"/>
                <w:szCs w:val="24"/>
              </w:rPr>
              <w:lastRenderedPageBreak/>
              <w:t>83.26</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b/>
          <w:bCs/>
          <w:color w:val="000000" w:themeColor="text1"/>
          <w:kern w:val="0"/>
          <w:sz w:val="24"/>
        </w:rPr>
        <w:t/>
      </w: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300347</w:t>
            </w:r>
          </w:p>
        </w:tc>
        <w:tc>
          <w:tcPr>
            <w:vAlign w:val="center"/>
          </w:tcPr>
          <w:p>
            <w:pPr>
              <w:jc w:val="center"/>
            </w:pPr>
            <w:r>
              <w:rPr>
                <w:color w:val="000000"/>
                <w:sz w:val="24"/>
                <w:szCs w:val="24"/>
              </w:rPr>
              <w:t>泰格医药</w:t>
            </w:r>
          </w:p>
        </w:tc>
        <w:tc>
          <w:tcPr>
            <w:vAlign w:val="center"/>
          </w:tcPr>
          <w:p>
            <w:pPr>
              <w:jc w:val="right"/>
            </w:pPr>
            <w:r>
              <w:rPr>
                <w:color w:val="000000"/>
                <w:sz w:val="24"/>
                <w:szCs w:val="24"/>
              </w:rPr>
              <w:t>2,712,633</w:t>
            </w:r>
          </w:p>
        </w:tc>
        <w:tc>
          <w:tcPr>
            <w:vAlign w:val="center"/>
          </w:tcPr>
          <w:p>
            <w:pPr>
              <w:jc w:val="right"/>
            </w:pPr>
            <w:r>
              <w:rPr>
                <w:color w:val="000000"/>
                <w:sz w:val="24"/>
                <w:szCs w:val="24"/>
              </w:rPr>
              <w:t>78,584,978.01</w:t>
            </w:r>
          </w:p>
        </w:tc>
        <w:tc>
          <w:tcPr>
            <w:vAlign w:val="center"/>
          </w:tcPr>
          <w:p>
            <w:pPr>
              <w:jc w:val="right"/>
            </w:pPr>
            <w:r>
              <w:rPr>
                <w:color w:val="000000"/>
                <w:sz w:val="24"/>
                <w:szCs w:val="24"/>
              </w:rPr>
              <w:t>10.02</w:t>
            </w:r>
          </w:p>
        </w:tc>
      </w:tr>
      <w:tr>
        <w:tc>
          <w:tcPr>
            <w:vAlign w:val="center"/>
          </w:tcPr>
          <w:p>
            <w:pPr>
              <w:jc w:val="center"/>
            </w:pPr>
            <w:r>
              <w:rPr>
                <w:color w:val="000000"/>
                <w:sz w:val="24"/>
                <w:szCs w:val="24"/>
              </w:rPr>
              <w:t>2</w:t>
            </w:r>
          </w:p>
        </w:tc>
        <w:tc>
          <w:tcPr>
            <w:vAlign w:val="center"/>
          </w:tcPr>
          <w:p>
            <w:pPr>
              <w:jc w:val="center"/>
            </w:pPr>
            <w:r>
              <w:rPr>
                <w:color w:val="000000"/>
                <w:sz w:val="24"/>
                <w:szCs w:val="24"/>
              </w:rPr>
              <w:t>601607</w:t>
            </w:r>
          </w:p>
        </w:tc>
        <w:tc>
          <w:tcPr>
            <w:vAlign w:val="center"/>
          </w:tcPr>
          <w:p>
            <w:pPr>
              <w:jc w:val="center"/>
            </w:pPr>
            <w:r>
              <w:rPr>
                <w:color w:val="000000"/>
                <w:sz w:val="24"/>
                <w:szCs w:val="24"/>
              </w:rPr>
              <w:t>上海医药</w:t>
            </w:r>
          </w:p>
        </w:tc>
        <w:tc>
          <w:tcPr>
            <w:vAlign w:val="center"/>
          </w:tcPr>
          <w:p>
            <w:pPr>
              <w:jc w:val="right"/>
            </w:pPr>
            <w:r>
              <w:rPr>
                <w:color w:val="000000"/>
                <w:sz w:val="24"/>
                <w:szCs w:val="24"/>
              </w:rPr>
              <w:t>3,261,274</w:t>
            </w:r>
          </w:p>
        </w:tc>
        <w:tc>
          <w:tcPr>
            <w:vAlign w:val="center"/>
          </w:tcPr>
          <w:p>
            <w:pPr>
              <w:jc w:val="right"/>
            </w:pPr>
            <w:r>
              <w:rPr>
                <w:color w:val="000000"/>
                <w:sz w:val="24"/>
                <w:szCs w:val="24"/>
              </w:rPr>
              <w:t>77,422,644.76</w:t>
            </w:r>
          </w:p>
        </w:tc>
        <w:tc>
          <w:tcPr>
            <w:vAlign w:val="center"/>
          </w:tcPr>
          <w:p>
            <w:pPr>
              <w:jc w:val="right"/>
            </w:pPr>
            <w:r>
              <w:rPr>
                <w:color w:val="000000"/>
                <w:sz w:val="24"/>
                <w:szCs w:val="24"/>
              </w:rPr>
              <w:t>9.87</w:t>
            </w:r>
          </w:p>
        </w:tc>
      </w:tr>
      <w:tr>
        <w:tc>
          <w:tcPr>
            <w:vAlign w:val="center"/>
          </w:tcPr>
          <w:p>
            <w:pPr>
              <w:jc w:val="center"/>
            </w:pPr>
            <w:r>
              <w:rPr>
                <w:color w:val="000000"/>
                <w:sz w:val="24"/>
                <w:szCs w:val="24"/>
              </w:rPr>
              <w:t>3</w:t>
            </w:r>
          </w:p>
        </w:tc>
        <w:tc>
          <w:tcPr>
            <w:vAlign w:val="center"/>
          </w:tcPr>
          <w:p>
            <w:pPr>
              <w:jc w:val="center"/>
            </w:pPr>
            <w:r>
              <w:rPr>
                <w:color w:val="000000"/>
                <w:sz w:val="24"/>
                <w:szCs w:val="24"/>
              </w:rPr>
              <w:t>000423</w:t>
            </w:r>
          </w:p>
        </w:tc>
        <w:tc>
          <w:tcPr>
            <w:vAlign w:val="center"/>
          </w:tcPr>
          <w:p>
            <w:pPr>
              <w:jc w:val="center"/>
            </w:pPr>
            <w:r>
              <w:rPr>
                <w:color w:val="000000"/>
                <w:sz w:val="24"/>
                <w:szCs w:val="24"/>
              </w:rPr>
              <w:t>东阿阿胶</w:t>
            </w:r>
          </w:p>
        </w:tc>
        <w:tc>
          <w:tcPr>
            <w:vAlign w:val="center"/>
          </w:tcPr>
          <w:p>
            <w:pPr>
              <w:jc w:val="right"/>
            </w:pPr>
            <w:r>
              <w:rPr>
                <w:color w:val="000000"/>
                <w:sz w:val="24"/>
                <w:szCs w:val="24"/>
              </w:rPr>
              <w:t>758,215</w:t>
            </w:r>
          </w:p>
        </w:tc>
        <w:tc>
          <w:tcPr>
            <w:vAlign w:val="center"/>
          </w:tcPr>
          <w:p>
            <w:pPr>
              <w:jc w:val="right"/>
            </w:pPr>
            <w:r>
              <w:rPr>
                <w:color w:val="000000"/>
                <w:sz w:val="24"/>
                <w:szCs w:val="24"/>
              </w:rPr>
              <w:t>49,230,899.95</w:t>
            </w:r>
          </w:p>
        </w:tc>
        <w:tc>
          <w:tcPr>
            <w:vAlign w:val="center"/>
          </w:tcPr>
          <w:p>
            <w:pPr>
              <w:jc w:val="right"/>
            </w:pPr>
            <w:r>
              <w:rPr>
                <w:color w:val="000000"/>
                <w:sz w:val="24"/>
                <w:szCs w:val="24"/>
              </w:rPr>
              <w:t>6.28</w:t>
            </w:r>
          </w:p>
        </w:tc>
      </w:tr>
      <w:tr>
        <w:tc>
          <w:tcPr>
            <w:vAlign w:val="center"/>
          </w:tcPr>
          <w:p>
            <w:pPr>
              <w:jc w:val="center"/>
            </w:pPr>
            <w:r>
              <w:rPr>
                <w:color w:val="000000"/>
                <w:sz w:val="24"/>
                <w:szCs w:val="24"/>
              </w:rPr>
              <w:t>4</w:t>
            </w:r>
          </w:p>
        </w:tc>
        <w:tc>
          <w:tcPr>
            <w:vAlign w:val="center"/>
          </w:tcPr>
          <w:p>
            <w:pPr>
              <w:jc w:val="center"/>
            </w:pPr>
            <w:r>
              <w:rPr>
                <w:color w:val="000000"/>
                <w:sz w:val="24"/>
                <w:szCs w:val="24"/>
              </w:rPr>
              <w:t>300003</w:t>
            </w:r>
          </w:p>
        </w:tc>
        <w:tc>
          <w:tcPr>
            <w:vAlign w:val="center"/>
          </w:tcPr>
          <w:p>
            <w:pPr>
              <w:jc w:val="center"/>
            </w:pPr>
            <w:r>
              <w:rPr>
                <w:color w:val="000000"/>
                <w:sz w:val="24"/>
                <w:szCs w:val="24"/>
              </w:rPr>
              <w:t>乐普医疗</w:t>
            </w:r>
          </w:p>
        </w:tc>
        <w:tc>
          <w:tcPr>
            <w:vAlign w:val="center"/>
          </w:tcPr>
          <w:p>
            <w:pPr>
              <w:jc w:val="right"/>
            </w:pPr>
            <w:r>
              <w:rPr>
                <w:color w:val="000000"/>
                <w:sz w:val="24"/>
                <w:szCs w:val="24"/>
              </w:rPr>
              <w:t>2,127,784</w:t>
            </w:r>
          </w:p>
        </w:tc>
        <w:tc>
          <w:tcPr>
            <w:vAlign w:val="center"/>
          </w:tcPr>
          <w:p>
            <w:pPr>
              <w:jc w:val="right"/>
            </w:pPr>
            <w:r>
              <w:rPr>
                <w:color w:val="000000"/>
                <w:sz w:val="24"/>
                <w:szCs w:val="24"/>
              </w:rPr>
              <w:t>45,726,078.16</w:t>
            </w:r>
          </w:p>
        </w:tc>
        <w:tc>
          <w:tcPr>
            <w:vAlign w:val="center"/>
          </w:tcPr>
          <w:p>
            <w:pPr>
              <w:jc w:val="right"/>
            </w:pPr>
            <w:r>
              <w:rPr>
                <w:color w:val="000000"/>
                <w:sz w:val="24"/>
                <w:szCs w:val="24"/>
              </w:rPr>
              <w:t>5.83</w:t>
            </w:r>
          </w:p>
        </w:tc>
      </w:tr>
      <w:tr>
        <w:tc>
          <w:tcPr>
            <w:vAlign w:val="center"/>
          </w:tcPr>
          <w:p>
            <w:pPr>
              <w:jc w:val="center"/>
            </w:pPr>
            <w:r>
              <w:rPr>
                <w:color w:val="000000"/>
                <w:sz w:val="24"/>
                <w:szCs w:val="24"/>
              </w:rPr>
              <w:t>5</w:t>
            </w:r>
          </w:p>
        </w:tc>
        <w:tc>
          <w:tcPr>
            <w:vAlign w:val="center"/>
          </w:tcPr>
          <w:p>
            <w:pPr>
              <w:jc w:val="center"/>
            </w:pPr>
            <w:r>
              <w:rPr>
                <w:color w:val="000000"/>
                <w:sz w:val="24"/>
                <w:szCs w:val="24"/>
              </w:rPr>
              <w:t>600276</w:t>
            </w:r>
          </w:p>
        </w:tc>
        <w:tc>
          <w:tcPr>
            <w:vAlign w:val="center"/>
          </w:tcPr>
          <w:p>
            <w:pPr>
              <w:jc w:val="center"/>
            </w:pPr>
            <w:r>
              <w:rPr>
                <w:color w:val="000000"/>
                <w:sz w:val="24"/>
                <w:szCs w:val="24"/>
              </w:rPr>
              <w:t>恒瑞医药</w:t>
            </w:r>
          </w:p>
        </w:tc>
        <w:tc>
          <w:tcPr>
            <w:vAlign w:val="center"/>
          </w:tcPr>
          <w:p>
            <w:pPr>
              <w:jc w:val="right"/>
            </w:pPr>
            <w:r>
              <w:rPr>
                <w:color w:val="000000"/>
                <w:sz w:val="24"/>
                <w:szCs w:val="24"/>
              </w:rPr>
              <w:t>731,520</w:t>
            </w:r>
          </w:p>
        </w:tc>
        <w:tc>
          <w:tcPr>
            <w:vAlign w:val="center"/>
          </w:tcPr>
          <w:p>
            <w:pPr>
              <w:jc w:val="right"/>
            </w:pPr>
            <w:r>
              <w:rPr>
                <w:color w:val="000000"/>
                <w:sz w:val="24"/>
                <w:szCs w:val="24"/>
              </w:rPr>
              <w:t>43,839,993.60</w:t>
            </w:r>
          </w:p>
        </w:tc>
        <w:tc>
          <w:tcPr>
            <w:vAlign w:val="center"/>
          </w:tcPr>
          <w:p>
            <w:pPr>
              <w:jc w:val="right"/>
            </w:pPr>
            <w:r>
              <w:rPr>
                <w:color w:val="000000"/>
                <w:sz w:val="24"/>
                <w:szCs w:val="24"/>
              </w:rPr>
              <w:t>5.59</w:t>
            </w:r>
          </w:p>
        </w:tc>
      </w:tr>
      <w:tr>
        <w:tc>
          <w:tcPr>
            <w:vAlign w:val="center"/>
          </w:tcPr>
          <w:p>
            <w:pPr>
              <w:jc w:val="center"/>
            </w:pPr>
            <w:r>
              <w:rPr>
                <w:color w:val="000000"/>
                <w:sz w:val="24"/>
                <w:szCs w:val="24"/>
              </w:rPr>
              <w:t>6</w:t>
            </w:r>
          </w:p>
        </w:tc>
        <w:tc>
          <w:tcPr>
            <w:vAlign w:val="center"/>
          </w:tcPr>
          <w:p>
            <w:pPr>
              <w:jc w:val="center"/>
            </w:pPr>
            <w:r>
              <w:rPr>
                <w:color w:val="000000"/>
                <w:sz w:val="24"/>
                <w:szCs w:val="24"/>
              </w:rPr>
              <w:t>000963</w:t>
            </w:r>
          </w:p>
        </w:tc>
        <w:tc>
          <w:tcPr>
            <w:vAlign w:val="center"/>
          </w:tcPr>
          <w:p>
            <w:pPr>
              <w:jc w:val="center"/>
            </w:pPr>
            <w:r>
              <w:rPr>
                <w:color w:val="000000"/>
                <w:sz w:val="24"/>
                <w:szCs w:val="24"/>
              </w:rPr>
              <w:t>华东医药</w:t>
            </w:r>
          </w:p>
        </w:tc>
        <w:tc>
          <w:tcPr>
            <w:vAlign w:val="center"/>
          </w:tcPr>
          <w:p>
            <w:pPr>
              <w:jc w:val="right"/>
            </w:pPr>
            <w:r>
              <w:rPr>
                <w:color w:val="000000"/>
                <w:sz w:val="24"/>
                <w:szCs w:val="24"/>
              </w:rPr>
              <w:t>874,492</w:t>
            </w:r>
          </w:p>
        </w:tc>
        <w:tc>
          <w:tcPr>
            <w:vAlign w:val="center"/>
          </w:tcPr>
          <w:p>
            <w:pPr>
              <w:jc w:val="right"/>
            </w:pPr>
            <w:r>
              <w:rPr>
                <w:color w:val="000000"/>
                <w:sz w:val="24"/>
                <w:szCs w:val="24"/>
              </w:rPr>
              <w:t>42,911,322.44</w:t>
            </w:r>
          </w:p>
        </w:tc>
        <w:tc>
          <w:tcPr>
            <w:vAlign w:val="center"/>
          </w:tcPr>
          <w:p>
            <w:pPr>
              <w:jc w:val="right"/>
            </w:pPr>
            <w:r>
              <w:rPr>
                <w:color w:val="000000"/>
                <w:sz w:val="24"/>
                <w:szCs w:val="24"/>
              </w:rPr>
              <w:t>5.47</w:t>
            </w:r>
          </w:p>
        </w:tc>
      </w:tr>
      <w:tr>
        <w:tc>
          <w:tcPr>
            <w:vAlign w:val="center"/>
          </w:tcPr>
          <w:p>
            <w:pPr>
              <w:jc w:val="center"/>
            </w:pPr>
            <w:r>
              <w:rPr>
                <w:color w:val="000000"/>
                <w:sz w:val="24"/>
                <w:szCs w:val="24"/>
              </w:rPr>
              <w:t>7</w:t>
            </w:r>
          </w:p>
        </w:tc>
        <w:tc>
          <w:tcPr>
            <w:vAlign w:val="center"/>
          </w:tcPr>
          <w:p>
            <w:pPr>
              <w:jc w:val="center"/>
            </w:pPr>
            <w:r>
              <w:rPr>
                <w:color w:val="000000"/>
                <w:sz w:val="24"/>
                <w:szCs w:val="24"/>
              </w:rPr>
              <w:t>603939</w:t>
            </w:r>
          </w:p>
        </w:tc>
        <w:tc>
          <w:tcPr>
            <w:vAlign w:val="center"/>
          </w:tcPr>
          <w:p>
            <w:pPr>
              <w:jc w:val="center"/>
            </w:pPr>
            <w:r>
              <w:rPr>
                <w:color w:val="000000"/>
                <w:sz w:val="24"/>
                <w:szCs w:val="24"/>
              </w:rPr>
              <w:t>益丰药房</w:t>
            </w:r>
          </w:p>
        </w:tc>
        <w:tc>
          <w:tcPr>
            <w:vAlign w:val="center"/>
          </w:tcPr>
          <w:p>
            <w:pPr>
              <w:jc w:val="right"/>
            </w:pPr>
            <w:r>
              <w:rPr>
                <w:color w:val="000000"/>
                <w:sz w:val="24"/>
                <w:szCs w:val="24"/>
              </w:rPr>
              <w:t>1,025,737</w:t>
            </w:r>
          </w:p>
        </w:tc>
        <w:tc>
          <w:tcPr>
            <w:vAlign w:val="center"/>
          </w:tcPr>
          <w:p>
            <w:pPr>
              <w:jc w:val="right"/>
            </w:pPr>
            <w:r>
              <w:rPr>
                <w:color w:val="000000"/>
                <w:sz w:val="24"/>
                <w:szCs w:val="24"/>
              </w:rPr>
              <w:t>36,495,722.46</w:t>
            </w:r>
          </w:p>
        </w:tc>
        <w:tc>
          <w:tcPr>
            <w:vAlign w:val="center"/>
          </w:tcPr>
          <w:p>
            <w:pPr>
              <w:jc w:val="right"/>
            </w:pPr>
            <w:r>
              <w:rPr>
                <w:color w:val="000000"/>
                <w:sz w:val="24"/>
                <w:szCs w:val="24"/>
              </w:rPr>
              <w:t>4.65</w:t>
            </w:r>
          </w:p>
        </w:tc>
      </w:tr>
      <w:tr>
        <w:tc>
          <w:tcPr>
            <w:vAlign w:val="center"/>
          </w:tcPr>
          <w:p>
            <w:pPr>
              <w:jc w:val="center"/>
            </w:pPr>
            <w:r>
              <w:rPr>
                <w:color w:val="000000"/>
                <w:sz w:val="24"/>
                <w:szCs w:val="24"/>
              </w:rPr>
              <w:t>8</w:t>
            </w:r>
          </w:p>
        </w:tc>
        <w:tc>
          <w:tcPr>
            <w:vAlign w:val="center"/>
          </w:tcPr>
          <w:p>
            <w:pPr>
              <w:jc w:val="center"/>
            </w:pPr>
            <w:r>
              <w:rPr>
                <w:color w:val="000000"/>
                <w:sz w:val="24"/>
                <w:szCs w:val="24"/>
              </w:rPr>
              <w:t>603108</w:t>
            </w:r>
          </w:p>
        </w:tc>
        <w:tc>
          <w:tcPr>
            <w:vAlign w:val="center"/>
          </w:tcPr>
          <w:p>
            <w:pPr>
              <w:jc w:val="center"/>
            </w:pPr>
            <w:r>
              <w:rPr>
                <w:color w:val="000000"/>
                <w:sz w:val="24"/>
                <w:szCs w:val="24"/>
              </w:rPr>
              <w:t>润达医疗</w:t>
            </w:r>
          </w:p>
        </w:tc>
        <w:tc>
          <w:tcPr>
            <w:vAlign w:val="center"/>
          </w:tcPr>
          <w:p>
            <w:pPr>
              <w:jc w:val="right"/>
            </w:pPr>
            <w:r>
              <w:rPr>
                <w:color w:val="000000"/>
                <w:sz w:val="24"/>
                <w:szCs w:val="24"/>
              </w:rPr>
              <w:t>2,528,700</w:t>
            </w:r>
          </w:p>
        </w:tc>
        <w:tc>
          <w:tcPr>
            <w:vAlign w:val="center"/>
          </w:tcPr>
          <w:p>
            <w:pPr>
              <w:jc w:val="right"/>
            </w:pPr>
            <w:r>
              <w:rPr>
                <w:color w:val="000000"/>
                <w:sz w:val="24"/>
                <w:szCs w:val="24"/>
              </w:rPr>
              <w:t>35,553,522.00</w:t>
            </w:r>
          </w:p>
        </w:tc>
        <w:tc>
          <w:tcPr>
            <w:vAlign w:val="center"/>
          </w:tcPr>
          <w:p>
            <w:pPr>
              <w:jc w:val="right"/>
            </w:pPr>
            <w:r>
              <w:rPr>
                <w:color w:val="000000"/>
                <w:sz w:val="24"/>
                <w:szCs w:val="24"/>
              </w:rPr>
              <w:t>4.53</w:t>
            </w:r>
          </w:p>
        </w:tc>
      </w:tr>
      <w:tr>
        <w:tc>
          <w:tcPr>
            <w:vAlign w:val="center"/>
          </w:tcPr>
          <w:p>
            <w:pPr>
              <w:jc w:val="center"/>
            </w:pPr>
            <w:r>
              <w:rPr>
                <w:color w:val="000000"/>
                <w:sz w:val="24"/>
                <w:szCs w:val="24"/>
              </w:rPr>
              <w:t>9</w:t>
            </w:r>
          </w:p>
        </w:tc>
        <w:tc>
          <w:tcPr>
            <w:vAlign w:val="center"/>
          </w:tcPr>
          <w:p>
            <w:pPr>
              <w:jc w:val="center"/>
            </w:pPr>
            <w:r>
              <w:rPr>
                <w:color w:val="000000"/>
                <w:sz w:val="24"/>
                <w:szCs w:val="24"/>
              </w:rPr>
              <w:t>603883</w:t>
            </w:r>
          </w:p>
        </w:tc>
        <w:tc>
          <w:tcPr>
            <w:vAlign w:val="center"/>
          </w:tcPr>
          <w:p>
            <w:pPr>
              <w:jc w:val="center"/>
            </w:pPr>
            <w:r>
              <w:rPr>
                <w:color w:val="000000"/>
                <w:sz w:val="24"/>
                <w:szCs w:val="24"/>
              </w:rPr>
              <w:t>老百姓</w:t>
            </w:r>
          </w:p>
        </w:tc>
        <w:tc>
          <w:tcPr>
            <w:vAlign w:val="center"/>
          </w:tcPr>
          <w:p>
            <w:pPr>
              <w:jc w:val="right"/>
            </w:pPr>
            <w:r>
              <w:rPr>
                <w:color w:val="000000"/>
                <w:sz w:val="24"/>
                <w:szCs w:val="24"/>
              </w:rPr>
              <w:t>728,524</w:t>
            </w:r>
          </w:p>
        </w:tc>
        <w:tc>
          <w:tcPr>
            <w:vAlign w:val="center"/>
          </w:tcPr>
          <w:p>
            <w:pPr>
              <w:jc w:val="right"/>
            </w:pPr>
            <w:r>
              <w:rPr>
                <w:color w:val="000000"/>
                <w:sz w:val="24"/>
                <w:szCs w:val="24"/>
              </w:rPr>
              <w:t>35,486,404.04</w:t>
            </w:r>
          </w:p>
        </w:tc>
        <w:tc>
          <w:tcPr>
            <w:vAlign w:val="center"/>
          </w:tcPr>
          <w:p>
            <w:pPr>
              <w:jc w:val="right"/>
            </w:pPr>
            <w:r>
              <w:rPr>
                <w:color w:val="000000"/>
                <w:sz w:val="24"/>
                <w:szCs w:val="24"/>
              </w:rPr>
              <w:t>4.52</w:t>
            </w:r>
          </w:p>
        </w:tc>
      </w:tr>
      <w:tr>
        <w:tc>
          <w:tcPr>
            <w:vAlign w:val="center"/>
          </w:tcPr>
          <w:p>
            <w:pPr>
              <w:jc w:val="center"/>
            </w:pPr>
            <w:r>
              <w:rPr>
                <w:color w:val="000000"/>
                <w:sz w:val="24"/>
                <w:szCs w:val="24"/>
              </w:rPr>
              <w:t>10</w:t>
            </w:r>
          </w:p>
        </w:tc>
        <w:tc>
          <w:tcPr>
            <w:vAlign w:val="center"/>
          </w:tcPr>
          <w:p>
            <w:pPr>
              <w:jc w:val="center"/>
            </w:pPr>
            <w:r>
              <w:rPr>
                <w:color w:val="000000"/>
                <w:sz w:val="24"/>
                <w:szCs w:val="24"/>
              </w:rPr>
              <w:t>600867</w:t>
            </w:r>
          </w:p>
        </w:tc>
        <w:tc>
          <w:tcPr>
            <w:vAlign w:val="center"/>
          </w:tcPr>
          <w:p>
            <w:pPr>
              <w:jc w:val="center"/>
            </w:pPr>
            <w:r>
              <w:rPr>
                <w:color w:val="000000"/>
                <w:sz w:val="24"/>
                <w:szCs w:val="24"/>
              </w:rPr>
              <w:t>通化东宝</w:t>
            </w:r>
          </w:p>
        </w:tc>
        <w:tc>
          <w:tcPr>
            <w:vAlign w:val="center"/>
          </w:tcPr>
          <w:p>
            <w:pPr>
              <w:jc w:val="right"/>
            </w:pPr>
            <w:r>
              <w:rPr>
                <w:color w:val="000000"/>
                <w:sz w:val="24"/>
                <w:szCs w:val="24"/>
              </w:rPr>
              <w:t>1,684,766</w:t>
            </w:r>
          </w:p>
        </w:tc>
        <w:tc>
          <w:tcPr>
            <w:vAlign w:val="center"/>
          </w:tcPr>
          <w:p>
            <w:pPr>
              <w:jc w:val="right"/>
            </w:pPr>
            <w:r>
              <w:rPr>
                <w:color w:val="000000"/>
                <w:sz w:val="24"/>
                <w:szCs w:val="24"/>
              </w:rPr>
              <w:t>32,515,983.80</w:t>
            </w:r>
          </w:p>
        </w:tc>
        <w:tc>
          <w:tcPr>
            <w:vAlign w:val="center"/>
          </w:tcPr>
          <w:p>
            <w:pPr>
              <w:jc w:val="right"/>
            </w:pPr>
            <w:r>
              <w:rPr>
                <w:color w:val="000000"/>
                <w:sz w:val="24"/>
                <w:szCs w:val="24"/>
              </w:rPr>
              <w:t>4.14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CD570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232,758.31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226,549.54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24,822.03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36,561.62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520,691.50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D02347"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8F60F2"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1,188,154,800.98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12,144,435.81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452,378,046.69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747,921,190.10</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ED2620" w:rsidP="00EE49FE">
      <w:pPr>
        <w:pStyle w:val="1"/>
        <w:tabs>
          <w:tab w:val="center" w:pos="4156"/>
          <w:tab w:val="right" w:pos="8312"/>
        </w:tabs>
        <w:spacing w:beforeLines="100" w:after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EE49FE">
      <w:pPr>
        <w:pStyle w:val="1"/>
        <w:spacing w:beforeLines="100" w:after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8</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Chars="200" w:firstLine="480"/>
        <w:rPr>
          <w:color w:val="000000"/>
          <w:sz w:val="24"/>
          <w:szCs w:val="24"/>
        </w:rPr>
      </w:pPr>
      <w:r>
        <w:rPr>
          <w:color w:val="000000"/>
          <w:sz w:val="24"/>
          <w:szCs w:val="24"/>
        </w:rPr>
        <w:t xml:space="preserve">1、中国证监会准予交银施罗德医药创新股票型证券投资基金募集注册的文件； </w:t>
      </w:r>
    </w:p>
    <w:p>
      <w:pPr>
        <w:spacing w:before="29" w:line="288" w:lineRule="auto"/>
        <w:ind w:firstLineChars="200" w:firstLine="480"/>
        <w:rPr>
          <w:color w:val="000000"/>
          <w:sz w:val="24"/>
          <w:szCs w:val="24"/>
        </w:rPr>
      </w:pPr>
      <w:r>
        <w:rPr>
          <w:color w:val="000000"/>
          <w:sz w:val="24"/>
          <w:szCs w:val="24"/>
        </w:rPr>
        <w:t xml:space="preserve">2、《交银施罗德医药创新股票型证券投资基金基金合同》； </w:t>
      </w:r>
    </w:p>
    <w:p>
      <w:pPr>
        <w:spacing w:before="29" w:line="288" w:lineRule="auto"/>
        <w:ind w:firstLineChars="200" w:firstLine="480"/>
        <w:rPr>
          <w:color w:val="000000"/>
          <w:sz w:val="24"/>
          <w:szCs w:val="24"/>
        </w:rPr>
      </w:pPr>
      <w:r>
        <w:rPr>
          <w:color w:val="000000"/>
          <w:sz w:val="24"/>
          <w:szCs w:val="24"/>
        </w:rPr>
        <w:t xml:space="preserve">3、《交银施罗德医药创新股票型证券投资基金招募说明书》； </w:t>
      </w:r>
    </w:p>
    <w:p>
      <w:pPr>
        <w:spacing w:before="29" w:line="288" w:lineRule="auto"/>
        <w:ind w:firstLineChars="200" w:firstLine="480"/>
        <w:rPr>
          <w:color w:val="000000"/>
          <w:sz w:val="24"/>
          <w:szCs w:val="24"/>
        </w:rPr>
      </w:pPr>
      <w:r>
        <w:rPr>
          <w:color w:val="000000"/>
          <w:sz w:val="24"/>
          <w:szCs w:val="24"/>
        </w:rPr>
        <w:t xml:space="preserve">4、《交银施罗德医药创新股票型证券投资基金托管协议》； </w:t>
      </w:r>
    </w:p>
    <w:p>
      <w:pPr>
        <w:spacing w:before="29" w:line="288" w:lineRule="auto"/>
        <w:ind w:firstLineChars="200" w:firstLine="480"/>
        <w:rPr>
          <w:color w:val="000000"/>
          <w:sz w:val="24"/>
          <w:szCs w:val="24"/>
        </w:rPr>
      </w:pPr>
      <w:r>
        <w:rPr>
          <w:color w:val="000000"/>
          <w:sz w:val="24"/>
          <w:szCs w:val="24"/>
        </w:rPr>
        <w:t xml:space="preserve">5、关于申请募集注册交银施罗德医药创新股票型证券投资基金的法律意见书； </w:t>
      </w:r>
    </w:p>
    <w:p>
      <w:pPr>
        <w:spacing w:before="29" w:line="288" w:lineRule="auto"/>
        <w:ind w:firstLineChars="200" w:firstLine="480"/>
        <w:rPr>
          <w:color w:val="000000"/>
          <w:sz w:val="24"/>
          <w:szCs w:val="24"/>
        </w:rPr>
      </w:pPr>
      <w:r>
        <w:rPr>
          <w:color w:val="000000"/>
          <w:sz w:val="24"/>
          <w:szCs w:val="24"/>
        </w:rPr>
        <w:t xml:space="preserve">6、基金管理人业务资格批件、营业执照； </w:t>
      </w:r>
    </w:p>
    <w:p>
      <w:pPr>
        <w:spacing w:before="29" w:line="288" w:lineRule="auto"/>
        <w:ind w:firstLineChars="200" w:firstLine="480"/>
        <w:rPr>
          <w:color w:val="000000"/>
          <w:sz w:val="24"/>
          <w:szCs w:val="24"/>
        </w:rPr>
      </w:pPr>
      <w:r>
        <w:rPr>
          <w:color w:val="000000"/>
          <w:sz w:val="24"/>
          <w:szCs w:val="24"/>
        </w:rPr>
        <w:t xml:space="preserve">7、基金托管人业务资格批件、营业执照；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8、报告期内交银施罗德医药创新股票型证券投资基金在指定报刊上各项公告的原稿。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Chars="200" w:firstLine="480"/>
        <w:rPr>
          <w:color w:val="000000"/>
          <w:sz w:val="24"/>
          <w:szCs w:val="24"/>
        </w:rPr>
      </w:pPr>
      <w:r>
        <w:rPr>
          <w:color w:val="000000"/>
          <w:sz w:val="24"/>
          <w:szCs w:val="24"/>
        </w:rPr>
        <w:t xml:space="preserve">投资者可在办公时间内至基金管理人的办公场所免费查阅备查文件，或者登录基金管理人的网站(www.fund001.com，www.bocomschroder.com)查阅。在支付工本费后，投资者可在合理时间内取得上述文件的复制件或复印件。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A33" w:rsidRDefault="005A0A33" w:rsidP="00876D65">
      <w:r>
        <w:separator/>
      </w:r>
    </w:p>
  </w:endnote>
  <w:endnote w:type="continuationSeparator" w:id="1">
    <w:p w:rsidR="005A0A33" w:rsidRDefault="005A0A33"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EE49FE">
      <w:rPr>
        <w:noProof/>
        <w:kern w:val="0"/>
        <w:szCs w:val="21"/>
      </w:rPr>
      <w:t>1</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EE49FE">
      <w:rPr>
        <w:noProof/>
        <w:kern w:val="0"/>
        <w:szCs w:val="21"/>
      </w:rPr>
      <w:t>15</w:t>
    </w:r>
    <w:r w:rsidR="0052479B">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A33" w:rsidRDefault="005A0A33" w:rsidP="00876D65">
      <w:r>
        <w:separator/>
      </w:r>
    </w:p>
  </w:footnote>
  <w:footnote w:type="continuationSeparator" w:id="1">
    <w:p w:rsidR="005A0A33" w:rsidRDefault="005A0A33" w:rsidP="00876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media/image2.jpeg" Type="http://schemas.openxmlformats.org/officeDocument/2006/relationships/image"/>
<Relationship Id="rId11" Target="fontTable.xml" Type="http://schemas.openxmlformats.org/officeDocument/2006/relationships/fontTable"/>
<Relationship Id="rId12" Target="theme/theme1.xml" Type="http://schemas.openxmlformats.org/officeDocument/2006/relationships/theme"/>
<Relationship Id="rId13" Target="stylesWithEffects.xml" Type="http://schemas.microsoft.com/office/2007/relationships/stylesWithEffects"/>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header1.xml.rels><?xml version="1.0" encoding="UTF-8" standalone="yes"?>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DAE05-B3B4-4DEC-B1E6-C012F8D96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TotalTime>
  <Pages>15</Pages>
  <Words>3756</Words>
  <Characters>21412</Characters>
  <Application>Microsoft Office Word</Application>
  <DocSecurity>0</DocSecurity>
  <Lines>178</Lines>
  <Paragraphs>50</Paragraphs>
  <ScaleCrop>false</ScaleCrop>
  <Company/>
  <LinksUpToDate>false</LinksUpToDate>
  <CharactersWithSpaces>25118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China</cp:lastModifiedBy>
  <dcterms:modified xsi:type="dcterms:W3CDTF">2017-07-10T10:13:00Z</dcterms:modified>
  <cp:revision>565</cp:revision>
</cp:coreProperties>
</file>