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交银施罗德瑞安定期开放灵活配置混合型证券投资基金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2017年第3季度报告</w:t>
      </w:r>
    </w:p>
    <w:p w:rsidR="004061AC" w:rsidRPr="0081286B" w:rsidRDefault="00655CD8" w:rsidP="00C15CAC">
      <w:pPr>
        <w:spacing w:before="29" w:line="288" w:lineRule="auto"/>
        <w:jc w:val="center"/>
        <w:rPr>
          <w:b/>
          <w:sz w:val="36"/>
          <w:szCs w:val="36"/>
        </w:rPr>
      </w:pPr>
      <w:r w:rsidRPr="0081286B">
        <w:rPr>
          <w:b/>
          <w:sz w:val="36"/>
          <w:szCs w:val="36"/>
        </w:rPr>
        <w:t>2017年9月30日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w:t>
      </w:r>
      <w:r w:rsidRPr="0081286B">
        <w:rPr>
          <w:b/>
          <w:color w:val="000000"/>
          <w:sz w:val="24"/>
          <w:szCs w:val="24"/>
        </w:rPr>
        <w:t>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二〇一七年十月二十五日</w:t>
      </w:r>
    </w:p>
    <w:p w:rsidR="004061AC" w:rsidRPr="00414345" w:rsidRDefault="004061AC" w:rsidP="00EE49FE">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Chars="200" w:firstLine="48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szCs w:val="24"/>
        </w:rPr>
      </w:pPr>
      <w:r>
        <w:rPr>
          <w:color w:val="000000"/>
          <w:sz w:val="24"/>
          <w:szCs w:val="24"/>
        </w:rPr>
        <w:t xml:space="preserve">基金托管人招商银行股份有限公司根据本基金合同规定，于2017年10月24日复核了本报告中的财务指标、净值表现和投资组合报告等内容，保证复核内容不存在虚假记载、误导性陈述或者重大遗漏。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Chars="200" w:firstLine="48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本报告期自2017年7月1日起至9月30日止。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交银瑞安定期开放灵活配置混合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004074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gridSpan w:val="2"/>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004074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2017年3月2日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38,902,387.23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50%×沪深300指数收益率+50%×中债综合全价指数收益率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2706"/>
        <w:gridCol w:w="2555"/>
      </w:tblGrid>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w="4962" w:type="dxa"/>
            <w:hMerge w:val="restart"/>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(2017年7月1日-2017年9月30日)</w:t>
            </w:r>
          </w:p>
        </w:tc>
        <w:tc>
          <w:tcPr>
            <w:tcW w:w="2410" w:type="dxa"/>
            <w:hMerge/>
            <w:vAlign w:val="center"/>
          </w:tcPr>
          <w:p w:rsidR="00C21520" w:rsidRPr="00414345" w:rsidRDefault="00C21520" w:rsidP="00C15CAC">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20,229,342.16</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8,165,805.71</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0.0151</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40,286,741.46</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1.0356</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2.03%</w:t>
            </w:r>
          </w:p>
        </w:tc>
        <w:tc>
          <w:tcPr>
            <w:vAlign w:val="center"/>
          </w:tcPr>
          <w:p>
            <w:pPr>
              <w:jc w:val="center"/>
            </w:pPr>
            <w:r>
              <w:rPr>
                <w:color w:val="000000"/>
                <w:sz w:val="24"/>
                <w:szCs w:val="24"/>
              </w:rPr>
              <w:t>0.17%</w:t>
            </w:r>
          </w:p>
        </w:tc>
        <w:tc>
          <w:tcPr>
            <w:vAlign w:val="center"/>
          </w:tcPr>
          <w:p>
            <w:pPr>
              <w:jc w:val="center"/>
            </w:pPr>
            <w:r>
              <w:rPr>
                <w:color w:val="000000"/>
                <w:sz w:val="24"/>
                <w:szCs w:val="24"/>
              </w:rPr>
              <w:t>2.24%</w:t>
            </w:r>
          </w:p>
        </w:tc>
        <w:tc>
          <w:tcPr>
            <w:vAlign w:val="center"/>
          </w:tcPr>
          <w:p>
            <w:pPr>
              <w:jc w:val="center"/>
            </w:pPr>
            <w:r>
              <w:rPr>
                <w:color w:val="000000"/>
                <w:sz w:val="24"/>
                <w:szCs w:val="24"/>
              </w:rPr>
              <w:t>0.29%</w:t>
            </w:r>
          </w:p>
        </w:tc>
        <w:tc>
          <w:tcPr>
            <w:vAlign w:val="center"/>
          </w:tcPr>
          <w:p>
            <w:pPr>
              <w:jc w:val="center"/>
            </w:pPr>
            <w:r>
              <w:rPr>
                <w:color w:val="000000"/>
                <w:sz w:val="24"/>
                <w:szCs w:val="24"/>
              </w:rPr>
              <w:t>-0.21%</w:t>
            </w:r>
          </w:p>
        </w:tc>
        <w:tc>
          <w:tcPr>
            <w:vAlign w:val="center"/>
          </w:tcPr>
          <w:p>
            <w:pPr>
              <w:jc w:val="center"/>
            </w:pPr>
            <w:r>
              <w:rPr>
                <w:color w:val="000000"/>
                <w:sz w:val="24"/>
                <w:szCs w:val="24"/>
              </w:rPr>
              <w:t>-0.12%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交银施罗德瑞安定期开放灵活配置混合型证券投资基金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2017年3月2日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2017年9月30日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1C79F2"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2017年3月2日，基金合同生效日至报告期期末，本基金运作时间未满一年。本基金建仓期为自基金合同生效日起的6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李娜</w:t>
            </w:r>
          </w:p>
        </w:tc>
        <w:tc>
          <w:tcPr>
            <w:vAlign w:val="center"/>
          </w:tcPr>
          <w:p>
            <w:pPr>
              <w:jc w:val="center"/>
            </w:pPr>
            <w:r>
              <w:rPr>
                <w:color w:val="000000"/>
                <w:sz w:val="24"/>
                <w:szCs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vAlign w:val="center"/>
          </w:tcPr>
          <w:p>
            <w:pPr>
              <w:jc w:val="center"/>
            </w:pPr>
            <w:r>
              <w:rPr>
                <w:color w:val="000000"/>
                <w:sz w:val="24"/>
                <w:szCs w:val="24"/>
              </w:rPr>
              <w:t>2017-03-02</w:t>
            </w:r>
          </w:p>
        </w:tc>
        <w:tc>
          <w:tcPr>
            <w:vAlign w:val="center"/>
          </w:tcPr>
          <w:p>
            <w:pPr>
              <w:jc w:val="center"/>
            </w:pPr>
            <w:r>
              <w:rPr>
                <w:color w:val="000000"/>
                <w:sz w:val="24"/>
                <w:szCs w:val="24"/>
              </w:rPr>
              <w:t>-</w:t>
            </w:r>
          </w:p>
        </w:tc>
        <w:tc>
          <w:tcPr>
            <w:vAlign w:val="center"/>
          </w:tcPr>
          <w:p>
            <w:pPr>
              <w:jc w:val="center"/>
            </w:pPr>
            <w:r>
              <w:rPr>
                <w:color w:val="000000"/>
                <w:sz w:val="24"/>
                <w:szCs w:val="24"/>
              </w:rPr>
              <w:t>7年</w:t>
            </w:r>
          </w:p>
        </w:tc>
        <w:tc>
          <w:tcPr>
            <w:vAlign w:val="center"/>
          </w:tcPr>
          <w:p>
            <w:pPr>
              <w:jc w:val="both"/>
            </w:pPr>
            <w:r>
              <w:rPr>
                <w:color w:val="000000"/>
                <w:sz w:val="24"/>
                <w:szCs w:val="24"/>
              </w:rPr>
              <w:t>李娜女士，美国宾夕法尼亚大学应用数学与计算科学硕士。历任国泰基金管理有限公司研究员。2012年加入交银施罗德基金管理有限公司，历任债券分析师、基金经理助理。</w:t>
            </w:r>
          </w:p>
        </w:tc>
      </w:tr>
    </w:tbl>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Chars="200" w:firstLine="480"/>
        <w:rPr>
          <w:color w:val="000000"/>
          <w:sz w:val="24"/>
          <w:szCs w:val="24"/>
        </w:rPr>
      </w:pPr>
      <w:r>
        <w:rPr>
          <w:color w:val="000000"/>
          <w:sz w:val="24"/>
          <w:szCs w:val="24"/>
        </w:rPr>
        <w:t>本报告期内，部分经济增长数据呈现小幅回落，通胀数据温和上升，货币政策保持稳健中性，银行间流动性结构性分层进一步分化，季节性特征凸显，整体资金中枢略微上移。股票市场受中报业绩改善、商品价格上涨等因素的拉动，风险偏好回升，呈现分化上行的走势后略有调整，同期债券收益率上行后亦有回落，其中流动性季节性收紧、大宗商品价格上涨带动通胀预期、经济数据回落的判断有待确认、美联储开启缩表预期等因素成为债券市场收益率变动的主要原因。报告期内，上证综指和创业板指分别上涨4.90%和2.69%，10年期国债收益率上行5BP至3.61%，10年期国开债收益率上行1BP到4.19%。</w:t>
      </w:r>
    </w:p>
    <w:p>
      <w:pPr>
        <w:spacing w:before="29" w:line="288" w:lineRule="auto"/>
        <w:ind w:firstLineChars="200" w:firstLine="480"/>
        <w:rPr>
          <w:color w:val="000000"/>
          <w:sz w:val="24"/>
          <w:szCs w:val="24"/>
        </w:rPr>
      </w:pPr>
      <w:r>
        <w:rPr>
          <w:color w:val="000000"/>
          <w:sz w:val="24"/>
          <w:szCs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基本面下行的预期有待数据的进一步确认，CPI依然不具备大幅上行的风险，宏观经济对债市影响的增强仍需要时间，在货币政策“不松不紧”的基调下，利率或继续处于震荡格局之中，但长端收益率上行空间似有顶，具备一定配置价值。我们将密切关注流动性边际变化、供给侧等改革进展、通胀预期变化、美联储加息及缩表进度等因素对市场的影响。股票方面，力争继续保持稳健、审慎，积极关注一级市场动态。债券方面，保持组合流动性的前提下积极关注交易窗口，把握适中久期，同时特别重视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截至2017年9月30日，本基金份额净值为 1.0356元，本报告期份额净值增长率为2.03%，同期业绩比较基准增长率为2.24%。</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272,667.92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0.67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272,667.92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0.67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19,770,000.00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19,770,000.00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20,078,954.03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48.97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877,968.57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2.14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40,999,590.52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r w:rsidRPr="00414345">
              <w:rPr>
                <w:color w:val="000000"/>
                <w:sz w:val="24"/>
                <w:szCs w:val="24"/>
              </w:rPr>
              <w:lastRenderedPageBreak/>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39,793.60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43,440.95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31,093.44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25,571.91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17,468.03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115,299.99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272,667.92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0.68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603882</w:t>
            </w:r>
          </w:p>
        </w:tc>
        <w:tc>
          <w:tcPr>
            <w:vAlign w:val="center"/>
          </w:tcPr>
          <w:p>
            <w:pPr>
              <w:jc w:val="center"/>
            </w:pPr>
            <w:r>
              <w:rPr>
                <w:color w:val="000000"/>
                <w:sz w:val="24"/>
                <w:szCs w:val="24"/>
              </w:rPr>
              <w:t>金域医学</w:t>
            </w:r>
          </w:p>
        </w:tc>
        <w:tc>
          <w:tcPr>
            <w:vAlign w:val="center"/>
          </w:tcPr>
          <w:p>
            <w:pPr>
              <w:jc w:val="right"/>
            </w:pPr>
            <w:r>
              <w:rPr>
                <w:color w:val="000000"/>
                <w:sz w:val="24"/>
                <w:szCs w:val="24"/>
              </w:rPr>
              <w:t>2,763</w:t>
            </w:r>
          </w:p>
        </w:tc>
        <w:tc>
          <w:tcPr>
            <w:vAlign w:val="center"/>
          </w:tcPr>
          <w:p>
            <w:pPr>
              <w:jc w:val="right"/>
            </w:pPr>
            <w:r>
              <w:rPr>
                <w:color w:val="000000"/>
                <w:sz w:val="24"/>
                <w:szCs w:val="24"/>
              </w:rPr>
              <w:t>115,299.99</w:t>
            </w:r>
          </w:p>
        </w:tc>
        <w:tc>
          <w:tcPr>
            <w:vAlign w:val="center"/>
          </w:tcPr>
          <w:p>
            <w:pPr>
              <w:jc w:val="right"/>
            </w:pPr>
            <w:r>
              <w:rPr>
                <w:color w:val="000000"/>
                <w:sz w:val="24"/>
                <w:szCs w:val="24"/>
              </w:rPr>
              <w:t>0.29</w:t>
            </w:r>
          </w:p>
        </w:tc>
      </w:tr>
      <w:tr>
        <w:tc>
          <w:tcPr>
            <w:vAlign w:val="center"/>
          </w:tcPr>
          <w:p>
            <w:pPr>
              <w:jc w:val="center"/>
            </w:pPr>
            <w:r>
              <w:rPr>
                <w:color w:val="000000"/>
                <w:sz w:val="24"/>
                <w:szCs w:val="24"/>
              </w:rPr>
              <w:t>2</w:t>
            </w:r>
          </w:p>
        </w:tc>
        <w:tc>
          <w:tcPr>
            <w:vAlign w:val="center"/>
          </w:tcPr>
          <w:p>
            <w:pPr>
              <w:jc w:val="center"/>
            </w:pPr>
            <w:r>
              <w:rPr>
                <w:color w:val="000000"/>
                <w:sz w:val="24"/>
                <w:szCs w:val="24"/>
              </w:rPr>
              <w:t>300700</w:t>
            </w:r>
          </w:p>
        </w:tc>
        <w:tc>
          <w:tcPr>
            <w:vAlign w:val="center"/>
          </w:tcPr>
          <w:p>
            <w:pPr>
              <w:jc w:val="center"/>
            </w:pPr>
            <w:r>
              <w:rPr>
                <w:color w:val="000000"/>
                <w:sz w:val="24"/>
                <w:szCs w:val="24"/>
              </w:rPr>
              <w:t>岱勒新材</w:t>
            </w:r>
          </w:p>
        </w:tc>
        <w:tc>
          <w:tcPr>
            <w:vAlign w:val="center"/>
          </w:tcPr>
          <w:p>
            <w:pPr>
              <w:jc w:val="right"/>
            </w:pPr>
            <w:r>
              <w:rPr>
                <w:color w:val="000000"/>
                <w:sz w:val="24"/>
                <w:szCs w:val="24"/>
              </w:rPr>
              <w:t>833</w:t>
            </w:r>
          </w:p>
        </w:tc>
        <w:tc>
          <w:tcPr>
            <w:vAlign w:val="center"/>
          </w:tcPr>
          <w:p>
            <w:pPr>
              <w:jc w:val="right"/>
            </w:pPr>
            <w:r>
              <w:rPr>
                <w:color w:val="000000"/>
                <w:sz w:val="24"/>
                <w:szCs w:val="24"/>
              </w:rPr>
              <w:t>43,440.95</w:t>
            </w:r>
          </w:p>
        </w:tc>
        <w:tc>
          <w:tcPr>
            <w:vAlign w:val="center"/>
          </w:tcPr>
          <w:p>
            <w:pPr>
              <w:jc w:val="right"/>
            </w:pPr>
            <w:r>
              <w:rPr>
                <w:color w:val="000000"/>
                <w:sz w:val="24"/>
                <w:szCs w:val="24"/>
              </w:rPr>
              <w:t>0.11</w:t>
            </w:r>
          </w:p>
        </w:tc>
      </w:tr>
      <w:tr>
        <w:tc>
          <w:tcPr>
            <w:vAlign w:val="center"/>
          </w:tcPr>
          <w:p>
            <w:pPr>
              <w:jc w:val="center"/>
            </w:pPr>
            <w:r>
              <w:rPr>
                <w:color w:val="000000"/>
                <w:sz w:val="24"/>
                <w:szCs w:val="24"/>
              </w:rPr>
              <w:t>3</w:t>
            </w:r>
          </w:p>
        </w:tc>
        <w:tc>
          <w:tcPr>
            <w:vAlign w:val="center"/>
          </w:tcPr>
          <w:p>
            <w:pPr>
              <w:jc w:val="center"/>
            </w:pPr>
            <w:r>
              <w:rPr>
                <w:color w:val="000000"/>
                <w:sz w:val="24"/>
                <w:szCs w:val="24"/>
              </w:rPr>
              <w:t>603619</w:t>
            </w:r>
          </w:p>
        </w:tc>
        <w:tc>
          <w:tcPr>
            <w:vAlign w:val="center"/>
          </w:tcPr>
          <w:p>
            <w:pPr>
              <w:jc w:val="center"/>
            </w:pPr>
            <w:r>
              <w:rPr>
                <w:color w:val="000000"/>
                <w:sz w:val="24"/>
                <w:szCs w:val="24"/>
              </w:rPr>
              <w:t>中曼石油</w:t>
            </w:r>
          </w:p>
        </w:tc>
        <w:tc>
          <w:tcPr>
            <w:vAlign w:val="center"/>
          </w:tcPr>
          <w:p>
            <w:pPr>
              <w:jc w:val="right"/>
            </w:pPr>
            <w:r>
              <w:rPr>
                <w:color w:val="000000"/>
                <w:sz w:val="24"/>
                <w:szCs w:val="24"/>
              </w:rPr>
              <w:t>1,760</w:t>
            </w:r>
          </w:p>
        </w:tc>
        <w:tc>
          <w:tcPr>
            <w:vAlign w:val="center"/>
          </w:tcPr>
          <w:p>
            <w:pPr>
              <w:jc w:val="right"/>
            </w:pPr>
            <w:r>
              <w:rPr>
                <w:color w:val="000000"/>
                <w:sz w:val="24"/>
                <w:szCs w:val="24"/>
              </w:rPr>
              <w:t>39,793.60</w:t>
            </w:r>
          </w:p>
        </w:tc>
        <w:tc>
          <w:tcPr>
            <w:vAlign w:val="center"/>
          </w:tcPr>
          <w:p>
            <w:pPr>
              <w:jc w:val="right"/>
            </w:pPr>
            <w:r>
              <w:rPr>
                <w:color w:val="000000"/>
                <w:sz w:val="24"/>
                <w:szCs w:val="24"/>
              </w:rPr>
              <w:t>0.10</w:t>
            </w:r>
          </w:p>
        </w:tc>
      </w:tr>
      <w:tr>
        <w:tc>
          <w:tcPr>
            <w:vAlign w:val="center"/>
          </w:tcPr>
          <w:p>
            <w:pPr>
              <w:jc w:val="center"/>
            </w:pPr>
            <w:r>
              <w:rPr>
                <w:color w:val="000000"/>
                <w:sz w:val="24"/>
                <w:szCs w:val="24"/>
              </w:rPr>
              <w:t>4</w:t>
            </w:r>
          </w:p>
        </w:tc>
        <w:tc>
          <w:tcPr>
            <w:vAlign w:val="center"/>
          </w:tcPr>
          <w:p>
            <w:pPr>
              <w:jc w:val="center"/>
            </w:pPr>
            <w:r>
              <w:rPr>
                <w:color w:val="000000"/>
                <w:sz w:val="24"/>
                <w:szCs w:val="24"/>
              </w:rPr>
              <w:t>002893</w:t>
            </w:r>
          </w:p>
        </w:tc>
        <w:tc>
          <w:tcPr>
            <w:vAlign w:val="center"/>
          </w:tcPr>
          <w:p>
            <w:pPr>
              <w:jc w:val="center"/>
            </w:pPr>
            <w:r>
              <w:rPr>
                <w:color w:val="000000"/>
                <w:sz w:val="24"/>
                <w:szCs w:val="24"/>
              </w:rPr>
              <w:t>华通热力</w:t>
            </w:r>
          </w:p>
        </w:tc>
        <w:tc>
          <w:tcPr>
            <w:vAlign w:val="center"/>
          </w:tcPr>
          <w:p>
            <w:pPr>
              <w:jc w:val="right"/>
            </w:pPr>
            <w:r>
              <w:rPr>
                <w:color w:val="000000"/>
                <w:sz w:val="24"/>
                <w:szCs w:val="24"/>
              </w:rPr>
              <w:t>1,176</w:t>
            </w:r>
          </w:p>
        </w:tc>
        <w:tc>
          <w:tcPr>
            <w:vAlign w:val="center"/>
          </w:tcPr>
          <w:p>
            <w:pPr>
              <w:jc w:val="right"/>
            </w:pPr>
            <w:r>
              <w:rPr>
                <w:color w:val="000000"/>
                <w:sz w:val="24"/>
                <w:szCs w:val="24"/>
              </w:rPr>
              <w:t>31,093.44</w:t>
            </w:r>
          </w:p>
        </w:tc>
        <w:tc>
          <w:tcPr>
            <w:vAlign w:val="center"/>
          </w:tcPr>
          <w:p>
            <w:pPr>
              <w:jc w:val="right"/>
            </w:pPr>
            <w:r>
              <w:rPr>
                <w:color w:val="000000"/>
                <w:sz w:val="24"/>
                <w:szCs w:val="24"/>
              </w:rPr>
              <w:t>0.08</w:t>
            </w:r>
          </w:p>
        </w:tc>
      </w:tr>
      <w:tr>
        <w:tc>
          <w:tcPr>
            <w:vAlign w:val="center"/>
          </w:tcPr>
          <w:p>
            <w:pPr>
              <w:jc w:val="center"/>
            </w:pPr>
            <w:r>
              <w:rPr>
                <w:color w:val="000000"/>
                <w:sz w:val="24"/>
                <w:szCs w:val="24"/>
              </w:rPr>
              <w:t>5</w:t>
            </w:r>
          </w:p>
        </w:tc>
        <w:tc>
          <w:tcPr>
            <w:vAlign w:val="center"/>
          </w:tcPr>
          <w:p>
            <w:pPr>
              <w:jc w:val="center"/>
            </w:pPr>
            <w:r>
              <w:rPr>
                <w:color w:val="000000"/>
                <w:sz w:val="24"/>
                <w:szCs w:val="24"/>
              </w:rPr>
              <w:t>603813</w:t>
            </w:r>
          </w:p>
        </w:tc>
        <w:tc>
          <w:tcPr>
            <w:vAlign w:val="center"/>
          </w:tcPr>
          <w:p>
            <w:pPr>
              <w:jc w:val="center"/>
            </w:pPr>
            <w:r>
              <w:rPr>
                <w:color w:val="000000"/>
                <w:sz w:val="24"/>
                <w:szCs w:val="24"/>
              </w:rPr>
              <w:t>原尚股份</w:t>
            </w:r>
          </w:p>
        </w:tc>
        <w:tc>
          <w:tcPr>
            <w:vAlign w:val="center"/>
          </w:tcPr>
          <w:p>
            <w:pPr>
              <w:jc w:val="right"/>
            </w:pPr>
            <w:r>
              <w:rPr>
                <w:color w:val="000000"/>
                <w:sz w:val="24"/>
                <w:szCs w:val="24"/>
              </w:rPr>
              <w:t>741</w:t>
            </w:r>
          </w:p>
        </w:tc>
        <w:tc>
          <w:tcPr>
            <w:vAlign w:val="center"/>
          </w:tcPr>
          <w:p>
            <w:pPr>
              <w:jc w:val="right"/>
            </w:pPr>
            <w:r>
              <w:rPr>
                <w:color w:val="000000"/>
                <w:sz w:val="24"/>
                <w:szCs w:val="24"/>
              </w:rPr>
              <w:t>25,571.91</w:t>
            </w:r>
          </w:p>
        </w:tc>
        <w:tc>
          <w:tcPr>
            <w:vAlign w:val="center"/>
          </w:tcPr>
          <w:p>
            <w:pPr>
              <w:jc w:val="right"/>
            </w:pPr>
            <w:r>
              <w:rPr>
                <w:color w:val="000000"/>
                <w:sz w:val="24"/>
                <w:szCs w:val="24"/>
              </w:rPr>
              <w:t>0.06</w:t>
            </w:r>
          </w:p>
        </w:tc>
      </w:tr>
      <w:tr>
        <w:tc>
          <w:tcPr>
            <w:vAlign w:val="center"/>
          </w:tcPr>
          <w:p>
            <w:pPr>
              <w:jc w:val="center"/>
            </w:pPr>
            <w:r>
              <w:rPr>
                <w:color w:val="000000"/>
                <w:sz w:val="24"/>
                <w:szCs w:val="24"/>
              </w:rPr>
              <w:t>6</w:t>
            </w:r>
          </w:p>
        </w:tc>
        <w:tc>
          <w:tcPr>
            <w:vAlign w:val="center"/>
          </w:tcPr>
          <w:p>
            <w:pPr>
              <w:jc w:val="center"/>
            </w:pPr>
            <w:r>
              <w:rPr>
                <w:color w:val="000000"/>
                <w:sz w:val="24"/>
                <w:szCs w:val="24"/>
              </w:rPr>
              <w:t>603533</w:t>
            </w:r>
          </w:p>
        </w:tc>
        <w:tc>
          <w:tcPr>
            <w:vAlign w:val="center"/>
          </w:tcPr>
          <w:p>
            <w:pPr>
              <w:jc w:val="center"/>
            </w:pPr>
            <w:r>
              <w:rPr>
                <w:color w:val="000000"/>
                <w:sz w:val="24"/>
                <w:szCs w:val="24"/>
              </w:rPr>
              <w:t>掌阅科技</w:t>
            </w:r>
          </w:p>
        </w:tc>
        <w:tc>
          <w:tcPr>
            <w:vAlign w:val="center"/>
          </w:tcPr>
          <w:p>
            <w:pPr>
              <w:jc w:val="right"/>
            </w:pPr>
            <w:r>
              <w:rPr>
                <w:color w:val="000000"/>
                <w:sz w:val="24"/>
                <w:szCs w:val="24"/>
              </w:rPr>
              <w:t>1,691</w:t>
            </w:r>
          </w:p>
        </w:tc>
        <w:tc>
          <w:tcPr>
            <w:vAlign w:val="center"/>
          </w:tcPr>
          <w:p>
            <w:pPr>
              <w:jc w:val="right"/>
            </w:pPr>
            <w:r>
              <w:rPr>
                <w:color w:val="000000"/>
                <w:sz w:val="24"/>
                <w:szCs w:val="24"/>
              </w:rPr>
              <w:t>17,468.03</w:t>
            </w:r>
          </w:p>
        </w:tc>
        <w:tc>
          <w:tcPr>
            <w:vAlign w:val="center"/>
          </w:tcPr>
          <w:p>
            <w:pPr>
              <w:jc w:val="right"/>
            </w:pPr>
            <w:r>
              <w:rPr>
                <w:color w:val="000000"/>
                <w:sz w:val="24"/>
                <w:szCs w:val="24"/>
              </w:rPr>
              <w:t>0.04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19,770,000.00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49.07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19,770,000.00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136029</w:t>
            </w:r>
          </w:p>
        </w:tc>
        <w:tc>
          <w:tcPr>
            <w:vAlign w:val="center"/>
          </w:tcPr>
          <w:p>
            <w:pPr>
              <w:jc w:val="center"/>
            </w:pPr>
            <w:r>
              <w:rPr>
                <w:color w:val="000000"/>
                <w:sz w:val="24"/>
                <w:szCs w:val="24"/>
              </w:rPr>
              <w:t>15华宝债</w:t>
            </w:r>
          </w:p>
        </w:tc>
        <w:tc>
          <w:tcPr>
            <w:vAlign w:val="center"/>
          </w:tcPr>
          <w:p>
            <w:pPr>
              <w:jc w:val="right"/>
            </w:pPr>
            <w:r>
              <w:rPr>
                <w:color w:val="000000"/>
                <w:sz w:val="24"/>
                <w:szCs w:val="24"/>
              </w:rPr>
              <w:t>200,000</w:t>
            </w:r>
          </w:p>
        </w:tc>
        <w:tc>
          <w:tcPr>
            <w:vAlign w:val="center"/>
          </w:tcPr>
          <w:p>
            <w:pPr>
              <w:jc w:val="right"/>
            </w:pPr>
            <w:r>
              <w:rPr>
                <w:color w:val="000000"/>
                <w:sz w:val="24"/>
                <w:szCs w:val="24"/>
              </w:rPr>
              <w:t>19,770,000.00</w:t>
            </w:r>
          </w:p>
        </w:tc>
        <w:tc>
          <w:tcPr>
            <w:vAlign w:val="center"/>
          </w:tcPr>
          <w:p>
            <w:pPr>
              <w:jc w:val="right"/>
            </w:pPr>
            <w:r>
              <w:rPr>
                <w:color w:val="000000"/>
                <w:sz w:val="24"/>
                <w:szCs w:val="24"/>
              </w:rPr>
              <w:t>49.07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CD570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142,571.37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169,289.14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566,108.06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877,968.57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603619</w:t>
            </w:r>
          </w:p>
        </w:tc>
        <w:tc>
          <w:tcPr>
            <w:vAlign w:val="center"/>
          </w:tcPr>
          <w:p>
            <w:pPr>
              <w:jc w:val="center"/>
            </w:pPr>
            <w:r>
              <w:rPr>
                <w:color w:val="000000"/>
                <w:sz w:val="24"/>
                <w:szCs w:val="24"/>
              </w:rPr>
              <w:t>中曼石油</w:t>
            </w:r>
          </w:p>
        </w:tc>
        <w:tc>
          <w:tcPr>
            <w:vAlign w:val="center"/>
          </w:tcPr>
          <w:p>
            <w:pPr>
              <w:jc w:val="right"/>
            </w:pPr>
            <w:r>
              <w:rPr>
                <w:color w:val="000000"/>
                <w:sz w:val="24"/>
                <w:szCs w:val="24"/>
              </w:rPr>
              <w:t>39,793.60</w:t>
            </w:r>
          </w:p>
        </w:tc>
        <w:tc>
          <w:tcPr>
            <w:vAlign w:val="center"/>
          </w:tcPr>
          <w:p>
            <w:pPr>
              <w:jc w:val="right"/>
            </w:pPr>
            <w:r>
              <w:rPr>
                <w:color w:val="000000"/>
                <w:sz w:val="24"/>
                <w:szCs w:val="24"/>
              </w:rPr>
              <w:t>0.10</w:t>
            </w:r>
          </w:p>
        </w:tc>
        <w:tc>
          <w:tcPr>
            <w:vAlign w:val="center"/>
          </w:tcPr>
          <w:p>
            <w:pPr>
              <w:jc w:val="right"/>
            </w:pPr>
            <w:r>
              <w:rPr>
                <w:color w:val="000000"/>
                <w:sz w:val="24"/>
                <w:szCs w:val="24"/>
              </w:rPr>
              <w:t>新股申购</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D02347"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60F2"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599,542,055.32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38,886,846.17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599,526,514.26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38,902,387.23</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ED2620" w:rsidP="00EE49FE">
      <w:pPr>
        <w:pStyle w:val="1"/>
        <w:tabs>
          <w:tab w:val="center" w:pos="4156"/>
          <w:tab w:val="right" w:pos="8312"/>
        </w:tabs>
        <w:spacing w:beforeLines="100" w:after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2017/7/1-2017/9/30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38,886,836.48</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38,886,836.48</w:t>
            </w:r>
          </w:p>
        </w:tc>
        <w:tc>
          <w:tcPr>
            <w:vAlign w:val="center"/>
          </w:tcPr>
          <w:p>
            <w:pPr>
              <w:jc w:val="center"/>
            </w:pPr>
            <w:r>
              <w:rPr>
                <w:rFonts w:ascii="宋体" w:hAnsi="宋体"/>
                <w:color w:val="000000"/>
                <w:kern w:val="0"/>
              </w:rPr>
              <w:t>99.96%</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2017/7/1-2017/9/30</w:t>
            </w:r>
          </w:p>
        </w:tc>
        <w:tc>
          <w:tcPr>
            <w:vAlign w:val="center"/>
          </w:tcPr>
          <w:p>
            <w:pPr>
              <w:jc w:val="center"/>
            </w:pPr>
            <w:r>
              <w:rPr>
                <w:rFonts w:ascii="宋体" w:hAnsi="宋体"/>
                <w:color w:val="000000"/>
                <w:kern w:val="0"/>
              </w:rPr>
              <w:t>599,525,977.50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599,525,977.50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r>
    </w:tbl>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2"/>
      </w:tblGrid>
      <w:tr w:rsidR="003C50AD" w:rsidRPr="004F4D27" w:rsidTr="00424D30">
        <w:tc>
          <w:tcPr>
            <w:tcW w:w="9212" w:type="dxa"/>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w="9212" w:type="dxa"/>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8.2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基金合同约定，本基金以封闭期和开放期滚动的方式运作，根据基金管理人于2017年9月1日发布的《交银施罗德基金管理有限公司关于交银施罗德瑞安定期开放灵活配置混合型证券投资基金于第一个开放期办理申购、赎回业务的公告》，本基金第一个开放期的时间为2017年9月4日至2017年9月29日。2017年9月30日至2017年10月8日为本基金的非工作日。若2017年10月9日登记机构完成开放期最后一日（即2017年9月29日）申购、赎回业务申请的确认后，本基金出现触发基金合同终止的上述情形，本基金将进行基金财产清算，该项基金合同终止并无需召开基金份额持有人大会审议。本基金进入基金财产清算程序后不再进入新的封闭期或开放期，投资者届时将无法提交赎回申请，而只能按照基金合同中关于基金财产清算的相关规定获得所分配的基金财产清算剩余资产。详情请查阅本基金管理人发布的相关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Chars="200" w:firstLine="480"/>
        <w:rPr>
          <w:color w:val="000000"/>
          <w:sz w:val="24"/>
          <w:szCs w:val="24"/>
        </w:rPr>
      </w:pPr>
      <w:r>
        <w:rPr>
          <w:color w:val="000000"/>
          <w:sz w:val="24"/>
          <w:szCs w:val="24"/>
        </w:rPr>
        <w:t xml:space="preserve">1、中国证监会准予交银施罗德瑞安定期开放灵活配置混合型证券投资基金募集注册的文件； </w:t>
      </w:r>
    </w:p>
    <w:p>
      <w:pPr>
        <w:spacing w:before="29" w:line="288" w:lineRule="auto"/>
        <w:ind w:firstLineChars="200" w:firstLine="480"/>
        <w:rPr>
          <w:color w:val="000000"/>
          <w:sz w:val="24"/>
          <w:szCs w:val="24"/>
        </w:rPr>
      </w:pPr>
      <w:r>
        <w:rPr>
          <w:color w:val="000000"/>
          <w:sz w:val="24"/>
          <w:szCs w:val="24"/>
        </w:rPr>
        <w:t xml:space="preserve">2、《交银施罗德瑞安定期开放灵活配置混合型证券投资基金基金合同》； </w:t>
      </w:r>
    </w:p>
    <w:p>
      <w:pPr>
        <w:spacing w:before="29" w:line="288" w:lineRule="auto"/>
        <w:ind w:firstLineChars="200" w:firstLine="480"/>
        <w:rPr>
          <w:color w:val="000000"/>
          <w:sz w:val="24"/>
          <w:szCs w:val="24"/>
        </w:rPr>
      </w:pPr>
      <w:r>
        <w:rPr>
          <w:color w:val="000000"/>
          <w:sz w:val="24"/>
          <w:szCs w:val="24"/>
        </w:rPr>
        <w:t xml:space="preserve">3、《交银施罗德瑞安定期开放灵活配置混合型证券投资基金招募说明书》； </w:t>
      </w:r>
    </w:p>
    <w:p>
      <w:pPr>
        <w:spacing w:before="29" w:line="288" w:lineRule="auto"/>
        <w:ind w:firstLineChars="200" w:firstLine="480"/>
        <w:rPr>
          <w:color w:val="000000"/>
          <w:sz w:val="24"/>
          <w:szCs w:val="24"/>
        </w:rPr>
      </w:pPr>
      <w:r>
        <w:rPr>
          <w:color w:val="000000"/>
          <w:sz w:val="24"/>
          <w:szCs w:val="24"/>
        </w:rPr>
        <w:t xml:space="preserve">4、《交银施罗德瑞安定期开放灵活配置混合型证券投资基金托管协议》； </w:t>
      </w:r>
    </w:p>
    <w:p>
      <w:pPr>
        <w:spacing w:before="29" w:line="288" w:lineRule="auto"/>
        <w:ind w:firstLineChars="200" w:firstLine="480"/>
        <w:rPr>
          <w:color w:val="000000"/>
          <w:sz w:val="24"/>
          <w:szCs w:val="24"/>
        </w:rPr>
      </w:pPr>
      <w:r>
        <w:rPr>
          <w:color w:val="000000"/>
          <w:sz w:val="24"/>
          <w:szCs w:val="24"/>
        </w:rPr>
        <w:t xml:space="preserve">5、关于申请募集注册交银施罗德瑞安定期开放灵活配置混合型证券投资基金的法律意见书； </w:t>
      </w:r>
    </w:p>
    <w:p>
      <w:pPr>
        <w:spacing w:before="29" w:line="288" w:lineRule="auto"/>
        <w:ind w:firstLineChars="200" w:firstLine="480"/>
        <w:rPr>
          <w:color w:val="000000"/>
          <w:sz w:val="24"/>
          <w:szCs w:val="24"/>
        </w:rPr>
      </w:pPr>
      <w:r>
        <w:rPr>
          <w:color w:val="000000"/>
          <w:sz w:val="24"/>
          <w:szCs w:val="24"/>
        </w:rPr>
        <w:t xml:space="preserve">6、基金管理人业务资格批件、营业执照； </w:t>
      </w:r>
    </w:p>
    <w:p>
      <w:pPr>
        <w:spacing w:before="29" w:line="288" w:lineRule="auto"/>
        <w:ind w:firstLineChars="200" w:firstLine="480"/>
        <w:rPr>
          <w:color w:val="000000"/>
          <w:sz w:val="24"/>
          <w:szCs w:val="24"/>
        </w:rPr>
      </w:pPr>
      <w:r>
        <w:rPr>
          <w:color w:val="000000"/>
          <w:sz w:val="24"/>
          <w:szCs w:val="24"/>
        </w:rPr>
        <w:t xml:space="preserve">7、基金托管人业务资格批件、营业执照；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8、报告期内交银施罗德瑞安定期开放灵活配置混合型证券投资基金在指定报刊上各项公告的原稿。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Chars="200" w:firstLine="480"/>
        <w:rPr>
          <w:color w:val="000000"/>
          <w:sz w:val="24"/>
          <w:szCs w:val="24"/>
        </w:rPr>
      </w:pPr>
      <w:r>
        <w:rPr>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 xml:space="preserve">投资者对本报告书如有疑问，可咨询本基金管理人交银施罗德基金管理有限公司。本公司客户服务中心电话：400-700-5000（免长途话费），021-61055000，电子邮件：services@jysld.com。 </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A33" w:rsidRDefault="005A0A33" w:rsidP="00876D65">
      <w:r>
        <w:separator/>
      </w:r>
    </w:p>
  </w:endnote>
  <w:endnote w:type="continuationSeparator" w:id="1">
    <w:p w:rsidR="005A0A33" w:rsidRDefault="005A0A33"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EE49FE">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EE49FE">
      <w:rPr>
        <w:noProof/>
        <w:kern w:val="0"/>
        <w:szCs w:val="21"/>
      </w:rPr>
      <w:t>15</w:t>
    </w:r>
    <w:r w:rsidR="0052479B">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A33" w:rsidRDefault="005A0A33" w:rsidP="00876D65">
      <w:r>
        <w:separator/>
      </w:r>
    </w:p>
  </w:footnote>
  <w:footnote w:type="continuationSeparator" w:id="1">
    <w:p w:rsidR="005A0A33" w:rsidRDefault="005A0A33"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fontTable.xml" Type="http://schemas.openxmlformats.org/officeDocument/2006/relationships/fontTable"/>
<Relationship Id="rId12" Target="theme/theme1.xml" Type="http://schemas.openxmlformats.org/officeDocument/2006/relationships/theme"/>
<Relationship Id="rId13"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AE05-B3B4-4DEC-B1E6-C012F8D9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15</Pages>
  <Words>3756</Words>
  <Characters>21412</Characters>
  <Application>Microsoft Office Word</Application>
  <DocSecurity>0</DocSecurity>
  <Lines>178</Lines>
  <Paragraphs>50</Paragraphs>
  <ScaleCrop>false</ScaleCrop>
  <Company/>
  <LinksUpToDate>false</LinksUpToDate>
  <CharactersWithSpaces>25118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China</cp:lastModifiedBy>
  <dcterms:modified xsi:type="dcterms:W3CDTF">2017-07-10T10:13:00Z</dcterms:modified>
  <cp:revision>565</cp:revision>
</cp:coreProperties>
</file>