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交银施罗德新生活力灵活配置混合型证券投资基金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609FF" w:rsidRDefault="00747FC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609FF" w:rsidRDefault="00747FCE">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609FF" w:rsidRDefault="00747FC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609FF" w:rsidRDefault="00747FC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609FF" w:rsidRDefault="00747FC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11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251,820,771.89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w:t>
            </w:r>
            <w:r w:rsidRPr="00414345">
              <w:rPr>
                <w:color w:val="000000"/>
                <w:kern w:val="0"/>
                <w:sz w:val="24"/>
                <w:szCs w:val="24"/>
              </w:rPr>
              <w:lastRenderedPageBreak/>
              <w:t>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47FCE" w:rsidRPr="00414345" w:rsidTr="00747FC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47FCE" w:rsidRPr="00414345" w:rsidTr="00747F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31,693,368.06</w:t>
            </w:r>
          </w:p>
        </w:tc>
      </w:tr>
      <w:tr w:rsidR="00747FCE" w:rsidRPr="00414345" w:rsidTr="00747F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44,945,111.67</w:t>
            </w:r>
          </w:p>
        </w:tc>
      </w:tr>
      <w:tr w:rsidR="00747FCE" w:rsidRPr="00414345" w:rsidTr="00747F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0.2166</w:t>
            </w:r>
          </w:p>
        </w:tc>
      </w:tr>
      <w:tr w:rsidR="00747FCE" w:rsidRPr="00414345" w:rsidTr="00747F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320,408,199.29</w:t>
            </w:r>
          </w:p>
        </w:tc>
      </w:tr>
      <w:tr w:rsidR="00747FCE" w:rsidRPr="00414345" w:rsidTr="00747FC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1.272</w:t>
            </w:r>
          </w:p>
        </w:tc>
      </w:tr>
    </w:tbl>
    <w:p w:rsidR="004609FF" w:rsidRDefault="00747F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609FF">
        <w:trPr>
          <w:jc w:val="center"/>
        </w:trPr>
        <w:tc>
          <w:tcPr>
            <w:tcW w:w="1701" w:type="dxa"/>
            <w:vAlign w:val="center"/>
          </w:tcPr>
          <w:p w:rsidR="004609FF" w:rsidRDefault="00747FCE">
            <w:pPr>
              <w:jc w:val="left"/>
            </w:pPr>
            <w:r>
              <w:rPr>
                <w:color w:val="000000"/>
                <w:sz w:val="24"/>
                <w:szCs w:val="24"/>
              </w:rPr>
              <w:lastRenderedPageBreak/>
              <w:t>过去三个月</w:t>
            </w:r>
          </w:p>
        </w:tc>
        <w:tc>
          <w:tcPr>
            <w:tcW w:w="1045" w:type="dxa"/>
            <w:vAlign w:val="center"/>
          </w:tcPr>
          <w:p w:rsidR="004609FF" w:rsidRDefault="00747FCE">
            <w:pPr>
              <w:jc w:val="center"/>
            </w:pPr>
            <w:r>
              <w:rPr>
                <w:color w:val="000000"/>
                <w:sz w:val="24"/>
                <w:szCs w:val="24"/>
              </w:rPr>
              <w:t>21.96%</w:t>
            </w:r>
          </w:p>
        </w:tc>
        <w:tc>
          <w:tcPr>
            <w:tcW w:w="1344" w:type="dxa"/>
            <w:vAlign w:val="center"/>
          </w:tcPr>
          <w:p w:rsidR="004609FF" w:rsidRDefault="00747FCE">
            <w:pPr>
              <w:jc w:val="center"/>
            </w:pPr>
            <w:r>
              <w:rPr>
                <w:color w:val="000000"/>
                <w:sz w:val="24"/>
                <w:szCs w:val="24"/>
              </w:rPr>
              <w:t>0.87%</w:t>
            </w:r>
          </w:p>
        </w:tc>
        <w:tc>
          <w:tcPr>
            <w:tcW w:w="1194" w:type="dxa"/>
            <w:vAlign w:val="center"/>
          </w:tcPr>
          <w:p w:rsidR="004609FF" w:rsidRDefault="00747FCE">
            <w:pPr>
              <w:jc w:val="center"/>
            </w:pPr>
            <w:r>
              <w:rPr>
                <w:color w:val="000000"/>
                <w:sz w:val="24"/>
                <w:szCs w:val="24"/>
              </w:rPr>
              <w:t>3.04%</w:t>
            </w:r>
          </w:p>
        </w:tc>
        <w:tc>
          <w:tcPr>
            <w:tcW w:w="1492" w:type="dxa"/>
            <w:vAlign w:val="center"/>
          </w:tcPr>
          <w:p w:rsidR="004609FF" w:rsidRDefault="00747FCE">
            <w:pPr>
              <w:jc w:val="center"/>
            </w:pPr>
            <w:r>
              <w:rPr>
                <w:color w:val="000000"/>
                <w:sz w:val="24"/>
                <w:szCs w:val="24"/>
              </w:rPr>
              <w:t>0.35%</w:t>
            </w:r>
          </w:p>
        </w:tc>
        <w:tc>
          <w:tcPr>
            <w:tcW w:w="1194" w:type="dxa"/>
            <w:vAlign w:val="center"/>
          </w:tcPr>
          <w:p w:rsidR="004609FF" w:rsidRDefault="00747FCE">
            <w:pPr>
              <w:jc w:val="center"/>
            </w:pPr>
            <w:r>
              <w:rPr>
                <w:color w:val="000000"/>
                <w:sz w:val="24"/>
                <w:szCs w:val="24"/>
              </w:rPr>
              <w:t>18.92%</w:t>
            </w:r>
          </w:p>
        </w:tc>
        <w:tc>
          <w:tcPr>
            <w:tcW w:w="898" w:type="dxa"/>
            <w:vAlign w:val="center"/>
          </w:tcPr>
          <w:p w:rsidR="004609FF" w:rsidRDefault="00747FCE">
            <w:pPr>
              <w:jc w:val="center"/>
            </w:pPr>
            <w:r>
              <w:rPr>
                <w:color w:val="000000"/>
                <w:sz w:val="24"/>
                <w:szCs w:val="24"/>
              </w:rPr>
              <w:t>0.52%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交银施罗德新生活力灵活配置混合型证券投资基金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11</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609FF">
        <w:trPr>
          <w:jc w:val="center"/>
        </w:trPr>
        <w:tc>
          <w:tcPr>
            <w:tcW w:w="846" w:type="dxa"/>
            <w:vAlign w:val="center"/>
          </w:tcPr>
          <w:p w:rsidR="004609FF" w:rsidRDefault="00747FCE">
            <w:pPr>
              <w:jc w:val="center"/>
            </w:pPr>
            <w:r>
              <w:rPr>
                <w:color w:val="000000"/>
                <w:sz w:val="24"/>
                <w:szCs w:val="24"/>
              </w:rPr>
              <w:t>杨浩</w:t>
            </w:r>
          </w:p>
        </w:tc>
        <w:tc>
          <w:tcPr>
            <w:tcW w:w="845" w:type="dxa"/>
            <w:vAlign w:val="center"/>
          </w:tcPr>
          <w:p w:rsidR="004609FF" w:rsidRDefault="00747FCE">
            <w:pPr>
              <w:jc w:val="center"/>
            </w:pPr>
            <w:r>
              <w:rPr>
                <w:color w:val="000000"/>
                <w:sz w:val="24"/>
                <w:szCs w:val="24"/>
              </w:rPr>
              <w:t>交银定期支付双息平衡</w:t>
            </w:r>
            <w:r>
              <w:rPr>
                <w:color w:val="000000"/>
                <w:sz w:val="24"/>
                <w:szCs w:val="24"/>
              </w:rPr>
              <w:lastRenderedPageBreak/>
              <w:t>混合、交银新生活力灵活配置混合的基金经理</w:t>
            </w:r>
          </w:p>
        </w:tc>
        <w:tc>
          <w:tcPr>
            <w:tcW w:w="1549" w:type="dxa"/>
            <w:vAlign w:val="center"/>
          </w:tcPr>
          <w:p w:rsidR="004609FF" w:rsidRDefault="00747FCE">
            <w:pPr>
              <w:jc w:val="center"/>
            </w:pPr>
            <w:r>
              <w:rPr>
                <w:color w:val="000000"/>
                <w:sz w:val="24"/>
                <w:szCs w:val="24"/>
              </w:rPr>
              <w:lastRenderedPageBreak/>
              <w:t>2016-11-11</w:t>
            </w:r>
          </w:p>
        </w:tc>
        <w:tc>
          <w:tcPr>
            <w:tcW w:w="1548" w:type="dxa"/>
            <w:vAlign w:val="center"/>
          </w:tcPr>
          <w:p w:rsidR="004609FF" w:rsidRDefault="00747FCE">
            <w:pPr>
              <w:jc w:val="center"/>
            </w:pPr>
            <w:r>
              <w:rPr>
                <w:color w:val="000000"/>
                <w:sz w:val="24"/>
                <w:szCs w:val="24"/>
              </w:rPr>
              <w:t>-</w:t>
            </w:r>
          </w:p>
        </w:tc>
        <w:tc>
          <w:tcPr>
            <w:tcW w:w="1407" w:type="dxa"/>
            <w:vAlign w:val="center"/>
          </w:tcPr>
          <w:p w:rsidR="004609FF" w:rsidRDefault="00747FCE">
            <w:pPr>
              <w:jc w:val="center"/>
            </w:pPr>
            <w:r>
              <w:rPr>
                <w:color w:val="000000"/>
                <w:sz w:val="24"/>
                <w:szCs w:val="24"/>
              </w:rPr>
              <w:t>7</w:t>
            </w:r>
            <w:r>
              <w:rPr>
                <w:color w:val="000000"/>
                <w:sz w:val="24"/>
                <w:szCs w:val="24"/>
              </w:rPr>
              <w:t>年</w:t>
            </w:r>
          </w:p>
        </w:tc>
        <w:tc>
          <w:tcPr>
            <w:tcW w:w="2673" w:type="dxa"/>
            <w:vAlign w:val="center"/>
          </w:tcPr>
          <w:p w:rsidR="004609FF" w:rsidRDefault="00747FCE">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609FF" w:rsidRDefault="00747FC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609FF" w:rsidRDefault="00747FC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609FF" w:rsidRDefault="00747FC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609FF" w:rsidRDefault="00747FCE">
      <w:pPr>
        <w:spacing w:before="29" w:line="288" w:lineRule="auto"/>
        <w:ind w:firstLineChars="200" w:firstLine="480"/>
        <w:rPr>
          <w:color w:val="000000"/>
          <w:sz w:val="24"/>
          <w:szCs w:val="24"/>
        </w:rPr>
      </w:pPr>
      <w:r>
        <w:rPr>
          <w:color w:val="000000"/>
          <w:sz w:val="24"/>
          <w:szCs w:val="24"/>
        </w:rPr>
        <w:t>2017</w:t>
      </w:r>
      <w:r>
        <w:rPr>
          <w:color w:val="000000"/>
          <w:sz w:val="24"/>
          <w:szCs w:val="24"/>
        </w:rPr>
        <w:t>年第三季度，</w:t>
      </w:r>
      <w:r>
        <w:rPr>
          <w:color w:val="000000"/>
          <w:sz w:val="24"/>
          <w:szCs w:val="24"/>
        </w:rPr>
        <w:t>A</w:t>
      </w:r>
      <w:r>
        <w:rPr>
          <w:color w:val="000000"/>
          <w:sz w:val="24"/>
          <w:szCs w:val="24"/>
        </w:rPr>
        <w:t>股市场在企业盈利恢复的带动下迎来较好行情，各大指数均有表现。在周期产业领域，以资源和化工产业为代表，随着环保因素等供给侧改革的深化，以及龙头企业本身的竞争力增强，较多公司取得优秀业绩。在成长产业领域，以新能源汽车、消费升级为代表，迎来行业新机遇，亦拉动企业盈利快速增长。我们认为以盈利推动的市场行情是比较坚实的，而愈来愈多的产业盈利增长源于其内在竞争力的增强，更为难能可贵。</w:t>
      </w:r>
    </w:p>
    <w:p w:rsidR="004609FF" w:rsidRDefault="00747FCE">
      <w:pPr>
        <w:spacing w:before="29" w:line="288" w:lineRule="auto"/>
        <w:ind w:firstLineChars="200" w:firstLine="480"/>
        <w:rPr>
          <w:color w:val="000000"/>
          <w:sz w:val="24"/>
          <w:szCs w:val="24"/>
        </w:rPr>
      </w:pPr>
      <w:r>
        <w:rPr>
          <w:color w:val="000000"/>
          <w:sz w:val="24"/>
          <w:szCs w:val="24"/>
        </w:rPr>
        <w:t>本基金在第三季度表现强于业绩比较基准，主要源于提前布局了较多高盈利增长的新兴成长行业，一方面是以新能源汽车、新型通信网络、高端制造设备、泛半导体、新药研发等为代表的科技创新领域，另一方面是以图书阅读、便利超市、中端酒店等为代表的消费升级领域。为符合本基金</w:t>
      </w:r>
      <w:r>
        <w:rPr>
          <w:color w:val="000000"/>
          <w:sz w:val="24"/>
          <w:szCs w:val="24"/>
        </w:rPr>
        <w:t>“</w:t>
      </w:r>
      <w:r>
        <w:rPr>
          <w:color w:val="000000"/>
          <w:sz w:val="24"/>
          <w:szCs w:val="24"/>
        </w:rPr>
        <w:t>新生活力</w:t>
      </w:r>
      <w:r>
        <w:rPr>
          <w:color w:val="000000"/>
          <w:sz w:val="24"/>
          <w:szCs w:val="24"/>
        </w:rPr>
        <w:t>”</w:t>
      </w:r>
      <w:r>
        <w:rPr>
          <w:color w:val="000000"/>
          <w:sz w:val="24"/>
          <w:szCs w:val="24"/>
        </w:rPr>
        <w:t>的产品特征，我们并没有参与纯粹周期波动的行业投资，我们坚信产业升级才是中国至强之路。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人口红利、房地产红利、互联网用户红利逐步消逝的未来，我们可能需要改变我们对传统和新兴产业的认识。过去我们以渠道新旧来区分，而未来我们应该以产品新旧来区分。那些能把产品生命周期做长、供应链资源做实、品牌赋能做深的公司将迎来新机遇，我们亦努力寻找这样的投资品种，持续为持有人获得较好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1.272</w:t>
      </w:r>
      <w:r w:rsidRPr="00414345">
        <w:rPr>
          <w:color w:val="000000"/>
          <w:sz w:val="24"/>
          <w:szCs w:val="24"/>
        </w:rPr>
        <w:t>元，本报告期份额净值增长率为</w:t>
      </w:r>
      <w:r w:rsidRPr="00414345">
        <w:rPr>
          <w:color w:val="000000"/>
          <w:sz w:val="24"/>
          <w:szCs w:val="24"/>
        </w:rPr>
        <w:t>21.96%</w:t>
      </w:r>
      <w:r w:rsidRPr="00414345">
        <w:rPr>
          <w:color w:val="000000"/>
          <w:sz w:val="24"/>
          <w:szCs w:val="24"/>
        </w:rPr>
        <w:t>，同期业绩比较基准增长率为</w:t>
      </w:r>
      <w:r w:rsidR="00747FCE">
        <w:rPr>
          <w:color w:val="000000"/>
          <w:sz w:val="24"/>
          <w:szCs w:val="24"/>
        </w:rPr>
        <w:t>3.04</w:t>
      </w:r>
      <w:bookmarkStart w:id="0" w:name="_GoBack"/>
      <w:bookmarkEnd w:id="0"/>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250,546,757.63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250,546,757.63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34,694,280.85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10.11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57,961,436.18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16.89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343,202,474.66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145,329,506.48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7,612,700.00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18,161,283.90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19,320,923.03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5,103,240.00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4,488,330.00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6,797,694.01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43,636,621.26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250,546,757.63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78.20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609FF">
        <w:trPr>
          <w:jc w:val="center"/>
        </w:trPr>
        <w:tc>
          <w:tcPr>
            <w:tcW w:w="855" w:type="dxa"/>
            <w:vAlign w:val="center"/>
          </w:tcPr>
          <w:p w:rsidR="004609FF" w:rsidRDefault="00747FCE">
            <w:pPr>
              <w:jc w:val="center"/>
            </w:pPr>
            <w:r>
              <w:rPr>
                <w:color w:val="000000"/>
                <w:sz w:val="24"/>
                <w:szCs w:val="24"/>
              </w:rPr>
              <w:t>1</w:t>
            </w:r>
          </w:p>
        </w:tc>
        <w:tc>
          <w:tcPr>
            <w:tcW w:w="1334" w:type="dxa"/>
            <w:vAlign w:val="center"/>
          </w:tcPr>
          <w:p w:rsidR="004609FF" w:rsidRDefault="00747FCE">
            <w:pPr>
              <w:jc w:val="center"/>
            </w:pPr>
            <w:r>
              <w:rPr>
                <w:color w:val="000000"/>
                <w:sz w:val="24"/>
                <w:szCs w:val="24"/>
              </w:rPr>
              <w:t>300308</w:t>
            </w:r>
          </w:p>
        </w:tc>
        <w:tc>
          <w:tcPr>
            <w:tcW w:w="1777" w:type="dxa"/>
            <w:vAlign w:val="center"/>
          </w:tcPr>
          <w:p w:rsidR="004609FF" w:rsidRDefault="00747FCE">
            <w:pPr>
              <w:jc w:val="center"/>
            </w:pPr>
            <w:r>
              <w:rPr>
                <w:color w:val="000000"/>
                <w:sz w:val="24"/>
                <w:szCs w:val="24"/>
              </w:rPr>
              <w:t>中际装备</w:t>
            </w:r>
          </w:p>
        </w:tc>
        <w:tc>
          <w:tcPr>
            <w:tcW w:w="1334" w:type="dxa"/>
            <w:vAlign w:val="center"/>
          </w:tcPr>
          <w:p w:rsidR="004609FF" w:rsidRDefault="00747FCE">
            <w:pPr>
              <w:jc w:val="right"/>
            </w:pPr>
            <w:r>
              <w:rPr>
                <w:color w:val="000000"/>
                <w:sz w:val="24"/>
                <w:szCs w:val="24"/>
              </w:rPr>
              <w:t>530,933</w:t>
            </w:r>
          </w:p>
        </w:tc>
        <w:tc>
          <w:tcPr>
            <w:tcW w:w="1924" w:type="dxa"/>
            <w:vAlign w:val="center"/>
          </w:tcPr>
          <w:p w:rsidR="004609FF" w:rsidRDefault="00747FCE">
            <w:pPr>
              <w:jc w:val="right"/>
            </w:pPr>
            <w:r>
              <w:rPr>
                <w:color w:val="000000"/>
                <w:sz w:val="24"/>
                <w:szCs w:val="24"/>
              </w:rPr>
              <w:t>25,798,034.47</w:t>
            </w:r>
          </w:p>
        </w:tc>
        <w:tc>
          <w:tcPr>
            <w:tcW w:w="1644" w:type="dxa"/>
            <w:vAlign w:val="center"/>
          </w:tcPr>
          <w:p w:rsidR="004609FF" w:rsidRDefault="00747FCE">
            <w:pPr>
              <w:jc w:val="right"/>
            </w:pPr>
            <w:r>
              <w:rPr>
                <w:color w:val="000000"/>
                <w:sz w:val="24"/>
                <w:szCs w:val="24"/>
              </w:rPr>
              <w:t>8.05</w:t>
            </w:r>
          </w:p>
        </w:tc>
      </w:tr>
      <w:tr w:rsidR="004609FF">
        <w:trPr>
          <w:jc w:val="center"/>
        </w:trPr>
        <w:tc>
          <w:tcPr>
            <w:tcW w:w="855" w:type="dxa"/>
            <w:vAlign w:val="center"/>
          </w:tcPr>
          <w:p w:rsidR="004609FF" w:rsidRDefault="00747FCE">
            <w:pPr>
              <w:jc w:val="center"/>
            </w:pPr>
            <w:r>
              <w:rPr>
                <w:color w:val="000000"/>
                <w:sz w:val="24"/>
                <w:szCs w:val="24"/>
              </w:rPr>
              <w:t>2</w:t>
            </w:r>
          </w:p>
        </w:tc>
        <w:tc>
          <w:tcPr>
            <w:tcW w:w="1334" w:type="dxa"/>
            <w:vAlign w:val="center"/>
          </w:tcPr>
          <w:p w:rsidR="004609FF" w:rsidRDefault="00747FCE">
            <w:pPr>
              <w:jc w:val="center"/>
            </w:pPr>
            <w:r>
              <w:rPr>
                <w:color w:val="000000"/>
                <w:sz w:val="24"/>
                <w:szCs w:val="24"/>
              </w:rPr>
              <w:t>603096</w:t>
            </w:r>
          </w:p>
        </w:tc>
        <w:tc>
          <w:tcPr>
            <w:tcW w:w="1777" w:type="dxa"/>
            <w:vAlign w:val="center"/>
          </w:tcPr>
          <w:p w:rsidR="004609FF" w:rsidRDefault="00747FCE">
            <w:pPr>
              <w:jc w:val="center"/>
            </w:pPr>
            <w:r>
              <w:rPr>
                <w:color w:val="000000"/>
                <w:sz w:val="24"/>
                <w:szCs w:val="24"/>
              </w:rPr>
              <w:t>新经典</w:t>
            </w:r>
          </w:p>
        </w:tc>
        <w:tc>
          <w:tcPr>
            <w:tcW w:w="1334" w:type="dxa"/>
            <w:vAlign w:val="center"/>
          </w:tcPr>
          <w:p w:rsidR="004609FF" w:rsidRDefault="00747FCE">
            <w:pPr>
              <w:jc w:val="right"/>
            </w:pPr>
            <w:r>
              <w:rPr>
                <w:color w:val="000000"/>
                <w:sz w:val="24"/>
                <w:szCs w:val="24"/>
              </w:rPr>
              <w:t>401,001</w:t>
            </w:r>
          </w:p>
        </w:tc>
        <w:tc>
          <w:tcPr>
            <w:tcW w:w="1924" w:type="dxa"/>
            <w:vAlign w:val="center"/>
          </w:tcPr>
          <w:p w:rsidR="004609FF" w:rsidRDefault="00747FCE">
            <w:pPr>
              <w:jc w:val="right"/>
            </w:pPr>
            <w:r>
              <w:rPr>
                <w:color w:val="000000"/>
                <w:sz w:val="24"/>
                <w:szCs w:val="24"/>
              </w:rPr>
              <w:t>24,092,140.08</w:t>
            </w:r>
          </w:p>
        </w:tc>
        <w:tc>
          <w:tcPr>
            <w:tcW w:w="1644" w:type="dxa"/>
            <w:vAlign w:val="center"/>
          </w:tcPr>
          <w:p w:rsidR="004609FF" w:rsidRDefault="00747FCE">
            <w:pPr>
              <w:jc w:val="right"/>
            </w:pPr>
            <w:r>
              <w:rPr>
                <w:color w:val="000000"/>
                <w:sz w:val="24"/>
                <w:szCs w:val="24"/>
              </w:rPr>
              <w:t>7.52</w:t>
            </w:r>
          </w:p>
        </w:tc>
      </w:tr>
      <w:tr w:rsidR="004609FF">
        <w:trPr>
          <w:jc w:val="center"/>
        </w:trPr>
        <w:tc>
          <w:tcPr>
            <w:tcW w:w="855" w:type="dxa"/>
            <w:vAlign w:val="center"/>
          </w:tcPr>
          <w:p w:rsidR="004609FF" w:rsidRDefault="00747FCE">
            <w:pPr>
              <w:jc w:val="center"/>
            </w:pPr>
            <w:r>
              <w:rPr>
                <w:color w:val="000000"/>
                <w:sz w:val="24"/>
                <w:szCs w:val="24"/>
              </w:rPr>
              <w:t>3</w:t>
            </w:r>
          </w:p>
        </w:tc>
        <w:tc>
          <w:tcPr>
            <w:tcW w:w="1334" w:type="dxa"/>
            <w:vAlign w:val="center"/>
          </w:tcPr>
          <w:p w:rsidR="004609FF" w:rsidRDefault="00747FCE">
            <w:pPr>
              <w:jc w:val="center"/>
            </w:pPr>
            <w:r>
              <w:rPr>
                <w:color w:val="000000"/>
                <w:sz w:val="24"/>
                <w:szCs w:val="24"/>
              </w:rPr>
              <w:t>603986</w:t>
            </w:r>
          </w:p>
        </w:tc>
        <w:tc>
          <w:tcPr>
            <w:tcW w:w="1777" w:type="dxa"/>
            <w:vAlign w:val="center"/>
          </w:tcPr>
          <w:p w:rsidR="004609FF" w:rsidRDefault="00747FCE">
            <w:pPr>
              <w:jc w:val="center"/>
            </w:pPr>
            <w:r>
              <w:rPr>
                <w:color w:val="000000"/>
                <w:sz w:val="24"/>
                <w:szCs w:val="24"/>
              </w:rPr>
              <w:t>兆易创新</w:t>
            </w:r>
          </w:p>
        </w:tc>
        <w:tc>
          <w:tcPr>
            <w:tcW w:w="1334" w:type="dxa"/>
            <w:vAlign w:val="center"/>
          </w:tcPr>
          <w:p w:rsidR="004609FF" w:rsidRDefault="00747FCE">
            <w:pPr>
              <w:jc w:val="right"/>
            </w:pPr>
            <w:r>
              <w:rPr>
                <w:color w:val="000000"/>
                <w:sz w:val="24"/>
                <w:szCs w:val="24"/>
              </w:rPr>
              <w:t>160,400</w:t>
            </w:r>
          </w:p>
        </w:tc>
        <w:tc>
          <w:tcPr>
            <w:tcW w:w="1924" w:type="dxa"/>
            <w:vAlign w:val="center"/>
          </w:tcPr>
          <w:p w:rsidR="004609FF" w:rsidRDefault="00747FCE">
            <w:pPr>
              <w:jc w:val="right"/>
            </w:pPr>
            <w:r>
              <w:rPr>
                <w:color w:val="000000"/>
                <w:sz w:val="24"/>
                <w:szCs w:val="24"/>
              </w:rPr>
              <w:t>20,893,704.00</w:t>
            </w:r>
          </w:p>
        </w:tc>
        <w:tc>
          <w:tcPr>
            <w:tcW w:w="1644" w:type="dxa"/>
            <w:vAlign w:val="center"/>
          </w:tcPr>
          <w:p w:rsidR="004609FF" w:rsidRDefault="00747FCE">
            <w:pPr>
              <w:jc w:val="right"/>
            </w:pPr>
            <w:r>
              <w:rPr>
                <w:color w:val="000000"/>
                <w:sz w:val="24"/>
                <w:szCs w:val="24"/>
              </w:rPr>
              <w:t>6.52</w:t>
            </w:r>
          </w:p>
        </w:tc>
      </w:tr>
      <w:tr w:rsidR="004609FF">
        <w:trPr>
          <w:jc w:val="center"/>
        </w:trPr>
        <w:tc>
          <w:tcPr>
            <w:tcW w:w="855" w:type="dxa"/>
            <w:vAlign w:val="center"/>
          </w:tcPr>
          <w:p w:rsidR="004609FF" w:rsidRDefault="00747FCE">
            <w:pPr>
              <w:jc w:val="center"/>
            </w:pPr>
            <w:r>
              <w:rPr>
                <w:color w:val="000000"/>
                <w:sz w:val="24"/>
                <w:szCs w:val="24"/>
              </w:rPr>
              <w:t>4</w:t>
            </w:r>
          </w:p>
        </w:tc>
        <w:tc>
          <w:tcPr>
            <w:tcW w:w="1334" w:type="dxa"/>
            <w:vAlign w:val="center"/>
          </w:tcPr>
          <w:p w:rsidR="004609FF" w:rsidRDefault="00747FCE">
            <w:pPr>
              <w:jc w:val="center"/>
            </w:pPr>
            <w:r>
              <w:rPr>
                <w:color w:val="000000"/>
                <w:sz w:val="24"/>
                <w:szCs w:val="24"/>
              </w:rPr>
              <w:t>002583</w:t>
            </w:r>
          </w:p>
        </w:tc>
        <w:tc>
          <w:tcPr>
            <w:tcW w:w="1777" w:type="dxa"/>
            <w:vAlign w:val="center"/>
          </w:tcPr>
          <w:p w:rsidR="004609FF" w:rsidRDefault="00747FCE">
            <w:pPr>
              <w:jc w:val="center"/>
            </w:pPr>
            <w:r>
              <w:rPr>
                <w:color w:val="000000"/>
                <w:sz w:val="24"/>
                <w:szCs w:val="24"/>
              </w:rPr>
              <w:t>海能达</w:t>
            </w:r>
          </w:p>
        </w:tc>
        <w:tc>
          <w:tcPr>
            <w:tcW w:w="1334" w:type="dxa"/>
            <w:vAlign w:val="center"/>
          </w:tcPr>
          <w:p w:rsidR="004609FF" w:rsidRDefault="00747FCE">
            <w:pPr>
              <w:jc w:val="right"/>
            </w:pPr>
            <w:r>
              <w:rPr>
                <w:color w:val="000000"/>
                <w:sz w:val="24"/>
                <w:szCs w:val="24"/>
              </w:rPr>
              <w:t>1,241,802</w:t>
            </w:r>
          </w:p>
        </w:tc>
        <w:tc>
          <w:tcPr>
            <w:tcW w:w="1924" w:type="dxa"/>
            <w:vAlign w:val="center"/>
          </w:tcPr>
          <w:p w:rsidR="004609FF" w:rsidRDefault="00747FCE">
            <w:pPr>
              <w:jc w:val="right"/>
            </w:pPr>
            <w:r>
              <w:rPr>
                <w:color w:val="000000"/>
                <w:sz w:val="24"/>
                <w:szCs w:val="24"/>
              </w:rPr>
              <w:t>20,601,495.18</w:t>
            </w:r>
          </w:p>
        </w:tc>
        <w:tc>
          <w:tcPr>
            <w:tcW w:w="1644" w:type="dxa"/>
            <w:vAlign w:val="center"/>
          </w:tcPr>
          <w:p w:rsidR="004609FF" w:rsidRDefault="00747FCE">
            <w:pPr>
              <w:jc w:val="right"/>
            </w:pPr>
            <w:r>
              <w:rPr>
                <w:color w:val="000000"/>
                <w:sz w:val="24"/>
                <w:szCs w:val="24"/>
              </w:rPr>
              <w:t>6.43</w:t>
            </w:r>
          </w:p>
        </w:tc>
      </w:tr>
      <w:tr w:rsidR="004609FF">
        <w:trPr>
          <w:jc w:val="center"/>
        </w:trPr>
        <w:tc>
          <w:tcPr>
            <w:tcW w:w="855" w:type="dxa"/>
            <w:vAlign w:val="center"/>
          </w:tcPr>
          <w:p w:rsidR="004609FF" w:rsidRDefault="00747FCE">
            <w:pPr>
              <w:jc w:val="center"/>
            </w:pPr>
            <w:r>
              <w:rPr>
                <w:color w:val="000000"/>
                <w:sz w:val="24"/>
                <w:szCs w:val="24"/>
              </w:rPr>
              <w:t>5</w:t>
            </w:r>
          </w:p>
        </w:tc>
        <w:tc>
          <w:tcPr>
            <w:tcW w:w="1334" w:type="dxa"/>
            <w:vAlign w:val="center"/>
          </w:tcPr>
          <w:p w:rsidR="004609FF" w:rsidRDefault="00747FCE">
            <w:pPr>
              <w:jc w:val="center"/>
            </w:pPr>
            <w:r>
              <w:rPr>
                <w:color w:val="000000"/>
                <w:sz w:val="24"/>
                <w:szCs w:val="24"/>
              </w:rPr>
              <w:t>002008</w:t>
            </w:r>
          </w:p>
        </w:tc>
        <w:tc>
          <w:tcPr>
            <w:tcW w:w="1777" w:type="dxa"/>
            <w:vAlign w:val="center"/>
          </w:tcPr>
          <w:p w:rsidR="004609FF" w:rsidRDefault="00747FCE">
            <w:pPr>
              <w:jc w:val="center"/>
            </w:pPr>
            <w:r>
              <w:rPr>
                <w:color w:val="000000"/>
                <w:sz w:val="24"/>
                <w:szCs w:val="24"/>
              </w:rPr>
              <w:t>大族激光</w:t>
            </w:r>
          </w:p>
        </w:tc>
        <w:tc>
          <w:tcPr>
            <w:tcW w:w="1334" w:type="dxa"/>
            <w:vAlign w:val="center"/>
          </w:tcPr>
          <w:p w:rsidR="004609FF" w:rsidRDefault="00747FCE">
            <w:pPr>
              <w:jc w:val="right"/>
            </w:pPr>
            <w:r>
              <w:rPr>
                <w:color w:val="000000"/>
                <w:sz w:val="24"/>
                <w:szCs w:val="24"/>
              </w:rPr>
              <w:t>470,678</w:t>
            </w:r>
          </w:p>
        </w:tc>
        <w:tc>
          <w:tcPr>
            <w:tcW w:w="1924" w:type="dxa"/>
            <w:vAlign w:val="center"/>
          </w:tcPr>
          <w:p w:rsidR="004609FF" w:rsidRDefault="00747FCE">
            <w:pPr>
              <w:jc w:val="right"/>
            </w:pPr>
            <w:r>
              <w:rPr>
                <w:color w:val="000000"/>
                <w:sz w:val="24"/>
                <w:szCs w:val="24"/>
              </w:rPr>
              <w:t>20,521,560.80</w:t>
            </w:r>
          </w:p>
        </w:tc>
        <w:tc>
          <w:tcPr>
            <w:tcW w:w="1644" w:type="dxa"/>
            <w:vAlign w:val="center"/>
          </w:tcPr>
          <w:p w:rsidR="004609FF" w:rsidRDefault="00747FCE">
            <w:pPr>
              <w:jc w:val="right"/>
            </w:pPr>
            <w:r>
              <w:rPr>
                <w:color w:val="000000"/>
                <w:sz w:val="24"/>
                <w:szCs w:val="24"/>
              </w:rPr>
              <w:t>6.40</w:t>
            </w:r>
          </w:p>
        </w:tc>
      </w:tr>
      <w:tr w:rsidR="004609FF">
        <w:trPr>
          <w:jc w:val="center"/>
        </w:trPr>
        <w:tc>
          <w:tcPr>
            <w:tcW w:w="855" w:type="dxa"/>
            <w:vAlign w:val="center"/>
          </w:tcPr>
          <w:p w:rsidR="004609FF" w:rsidRDefault="00747FCE">
            <w:pPr>
              <w:jc w:val="center"/>
            </w:pPr>
            <w:r>
              <w:rPr>
                <w:color w:val="000000"/>
                <w:sz w:val="24"/>
                <w:szCs w:val="24"/>
              </w:rPr>
              <w:t>6</w:t>
            </w:r>
          </w:p>
        </w:tc>
        <w:tc>
          <w:tcPr>
            <w:tcW w:w="1334" w:type="dxa"/>
            <w:vAlign w:val="center"/>
          </w:tcPr>
          <w:p w:rsidR="004609FF" w:rsidRDefault="00747FCE">
            <w:pPr>
              <w:jc w:val="center"/>
            </w:pPr>
            <w:r>
              <w:rPr>
                <w:color w:val="000000"/>
                <w:sz w:val="24"/>
                <w:szCs w:val="24"/>
              </w:rPr>
              <w:t>600703</w:t>
            </w:r>
          </w:p>
        </w:tc>
        <w:tc>
          <w:tcPr>
            <w:tcW w:w="1777" w:type="dxa"/>
            <w:vAlign w:val="center"/>
          </w:tcPr>
          <w:p w:rsidR="004609FF" w:rsidRDefault="00747FCE">
            <w:pPr>
              <w:jc w:val="center"/>
            </w:pPr>
            <w:r>
              <w:rPr>
                <w:color w:val="000000"/>
                <w:sz w:val="24"/>
                <w:szCs w:val="24"/>
              </w:rPr>
              <w:t>三安光电</w:t>
            </w:r>
          </w:p>
        </w:tc>
        <w:tc>
          <w:tcPr>
            <w:tcW w:w="1334" w:type="dxa"/>
            <w:vAlign w:val="center"/>
          </w:tcPr>
          <w:p w:rsidR="004609FF" w:rsidRDefault="00747FCE">
            <w:pPr>
              <w:jc w:val="right"/>
            </w:pPr>
            <w:r>
              <w:rPr>
                <w:color w:val="000000"/>
                <w:sz w:val="24"/>
                <w:szCs w:val="24"/>
              </w:rPr>
              <w:t>813,486</w:t>
            </w:r>
          </w:p>
        </w:tc>
        <w:tc>
          <w:tcPr>
            <w:tcW w:w="1924" w:type="dxa"/>
            <w:vAlign w:val="center"/>
          </w:tcPr>
          <w:p w:rsidR="004609FF" w:rsidRDefault="00747FCE">
            <w:pPr>
              <w:jc w:val="right"/>
            </w:pPr>
            <w:r>
              <w:rPr>
                <w:color w:val="000000"/>
                <w:sz w:val="24"/>
                <w:szCs w:val="24"/>
              </w:rPr>
              <w:t>18,824,066.04</w:t>
            </w:r>
          </w:p>
        </w:tc>
        <w:tc>
          <w:tcPr>
            <w:tcW w:w="1644" w:type="dxa"/>
            <w:vAlign w:val="center"/>
          </w:tcPr>
          <w:p w:rsidR="004609FF" w:rsidRDefault="00747FCE">
            <w:pPr>
              <w:jc w:val="right"/>
            </w:pPr>
            <w:r>
              <w:rPr>
                <w:color w:val="000000"/>
                <w:sz w:val="24"/>
                <w:szCs w:val="24"/>
              </w:rPr>
              <w:t>5.88</w:t>
            </w:r>
          </w:p>
        </w:tc>
      </w:tr>
      <w:tr w:rsidR="004609FF">
        <w:trPr>
          <w:jc w:val="center"/>
        </w:trPr>
        <w:tc>
          <w:tcPr>
            <w:tcW w:w="855" w:type="dxa"/>
            <w:vAlign w:val="center"/>
          </w:tcPr>
          <w:p w:rsidR="004609FF" w:rsidRDefault="00747FCE">
            <w:pPr>
              <w:jc w:val="center"/>
            </w:pPr>
            <w:r>
              <w:rPr>
                <w:color w:val="000000"/>
                <w:sz w:val="24"/>
                <w:szCs w:val="24"/>
              </w:rPr>
              <w:t>7</w:t>
            </w:r>
          </w:p>
        </w:tc>
        <w:tc>
          <w:tcPr>
            <w:tcW w:w="1334" w:type="dxa"/>
            <w:vAlign w:val="center"/>
          </w:tcPr>
          <w:p w:rsidR="004609FF" w:rsidRDefault="00747FCE">
            <w:pPr>
              <w:jc w:val="center"/>
            </w:pPr>
            <w:r>
              <w:rPr>
                <w:color w:val="000000"/>
                <w:sz w:val="24"/>
                <w:szCs w:val="24"/>
              </w:rPr>
              <w:t>601933</w:t>
            </w:r>
          </w:p>
        </w:tc>
        <w:tc>
          <w:tcPr>
            <w:tcW w:w="1777" w:type="dxa"/>
            <w:vAlign w:val="center"/>
          </w:tcPr>
          <w:p w:rsidR="004609FF" w:rsidRDefault="00747FCE">
            <w:pPr>
              <w:jc w:val="center"/>
            </w:pPr>
            <w:r>
              <w:rPr>
                <w:color w:val="000000"/>
                <w:sz w:val="24"/>
                <w:szCs w:val="24"/>
              </w:rPr>
              <w:t>永辉超市</w:t>
            </w:r>
          </w:p>
        </w:tc>
        <w:tc>
          <w:tcPr>
            <w:tcW w:w="1334" w:type="dxa"/>
            <w:vAlign w:val="center"/>
          </w:tcPr>
          <w:p w:rsidR="004609FF" w:rsidRDefault="00747FCE">
            <w:pPr>
              <w:jc w:val="right"/>
            </w:pPr>
            <w:r>
              <w:rPr>
                <w:color w:val="000000"/>
                <w:sz w:val="24"/>
                <w:szCs w:val="24"/>
              </w:rPr>
              <w:t>2,269,700</w:t>
            </w:r>
          </w:p>
        </w:tc>
        <w:tc>
          <w:tcPr>
            <w:tcW w:w="1924" w:type="dxa"/>
            <w:vAlign w:val="center"/>
          </w:tcPr>
          <w:p w:rsidR="004609FF" w:rsidRDefault="00747FCE">
            <w:pPr>
              <w:jc w:val="right"/>
            </w:pPr>
            <w:r>
              <w:rPr>
                <w:color w:val="000000"/>
                <w:sz w:val="24"/>
                <w:szCs w:val="24"/>
              </w:rPr>
              <w:t>18,134,903.00</w:t>
            </w:r>
          </w:p>
        </w:tc>
        <w:tc>
          <w:tcPr>
            <w:tcW w:w="1644" w:type="dxa"/>
            <w:vAlign w:val="center"/>
          </w:tcPr>
          <w:p w:rsidR="004609FF" w:rsidRDefault="00747FCE">
            <w:pPr>
              <w:jc w:val="right"/>
            </w:pPr>
            <w:r>
              <w:rPr>
                <w:color w:val="000000"/>
                <w:sz w:val="24"/>
                <w:szCs w:val="24"/>
              </w:rPr>
              <w:t>5.66</w:t>
            </w:r>
          </w:p>
        </w:tc>
      </w:tr>
      <w:tr w:rsidR="004609FF">
        <w:trPr>
          <w:jc w:val="center"/>
        </w:trPr>
        <w:tc>
          <w:tcPr>
            <w:tcW w:w="855" w:type="dxa"/>
            <w:vAlign w:val="center"/>
          </w:tcPr>
          <w:p w:rsidR="004609FF" w:rsidRDefault="00747FCE">
            <w:pPr>
              <w:jc w:val="center"/>
            </w:pPr>
            <w:r>
              <w:rPr>
                <w:color w:val="000000"/>
                <w:sz w:val="24"/>
                <w:szCs w:val="24"/>
              </w:rPr>
              <w:t>8</w:t>
            </w:r>
          </w:p>
        </w:tc>
        <w:tc>
          <w:tcPr>
            <w:tcW w:w="1334" w:type="dxa"/>
            <w:vAlign w:val="center"/>
          </w:tcPr>
          <w:p w:rsidR="004609FF" w:rsidRDefault="00747FCE">
            <w:pPr>
              <w:jc w:val="center"/>
            </w:pPr>
            <w:r>
              <w:rPr>
                <w:color w:val="000000"/>
                <w:sz w:val="24"/>
                <w:szCs w:val="24"/>
              </w:rPr>
              <w:t>300251</w:t>
            </w:r>
          </w:p>
        </w:tc>
        <w:tc>
          <w:tcPr>
            <w:tcW w:w="1777" w:type="dxa"/>
            <w:vAlign w:val="center"/>
          </w:tcPr>
          <w:p w:rsidR="004609FF" w:rsidRDefault="00747FCE">
            <w:pPr>
              <w:jc w:val="center"/>
            </w:pPr>
            <w:r>
              <w:rPr>
                <w:color w:val="000000"/>
                <w:sz w:val="24"/>
                <w:szCs w:val="24"/>
              </w:rPr>
              <w:t>光线传媒</w:t>
            </w:r>
          </w:p>
        </w:tc>
        <w:tc>
          <w:tcPr>
            <w:tcW w:w="1334" w:type="dxa"/>
            <w:vAlign w:val="center"/>
          </w:tcPr>
          <w:p w:rsidR="004609FF" w:rsidRDefault="00747FCE">
            <w:pPr>
              <w:jc w:val="right"/>
            </w:pPr>
            <w:r>
              <w:rPr>
                <w:color w:val="000000"/>
                <w:sz w:val="24"/>
                <w:szCs w:val="24"/>
              </w:rPr>
              <w:t>1,445,222</w:t>
            </w:r>
          </w:p>
        </w:tc>
        <w:tc>
          <w:tcPr>
            <w:tcW w:w="1924" w:type="dxa"/>
            <w:vAlign w:val="center"/>
          </w:tcPr>
          <w:p w:rsidR="004609FF" w:rsidRDefault="00747FCE">
            <w:pPr>
              <w:jc w:val="right"/>
            </w:pPr>
            <w:r>
              <w:rPr>
                <w:color w:val="000000"/>
                <w:sz w:val="24"/>
                <w:szCs w:val="24"/>
              </w:rPr>
              <w:t>15,810,728.68</w:t>
            </w:r>
          </w:p>
        </w:tc>
        <w:tc>
          <w:tcPr>
            <w:tcW w:w="1644" w:type="dxa"/>
            <w:vAlign w:val="center"/>
          </w:tcPr>
          <w:p w:rsidR="004609FF" w:rsidRDefault="00747FCE">
            <w:pPr>
              <w:jc w:val="right"/>
            </w:pPr>
            <w:r>
              <w:rPr>
                <w:color w:val="000000"/>
                <w:sz w:val="24"/>
                <w:szCs w:val="24"/>
              </w:rPr>
              <w:t>4.93</w:t>
            </w:r>
          </w:p>
        </w:tc>
      </w:tr>
      <w:tr w:rsidR="004609FF">
        <w:trPr>
          <w:jc w:val="center"/>
        </w:trPr>
        <w:tc>
          <w:tcPr>
            <w:tcW w:w="855" w:type="dxa"/>
            <w:vAlign w:val="center"/>
          </w:tcPr>
          <w:p w:rsidR="004609FF" w:rsidRDefault="00747FCE">
            <w:pPr>
              <w:jc w:val="center"/>
            </w:pPr>
            <w:r>
              <w:rPr>
                <w:color w:val="000000"/>
                <w:sz w:val="24"/>
                <w:szCs w:val="24"/>
              </w:rPr>
              <w:t>9</w:t>
            </w:r>
          </w:p>
        </w:tc>
        <w:tc>
          <w:tcPr>
            <w:tcW w:w="1334" w:type="dxa"/>
            <w:vAlign w:val="center"/>
          </w:tcPr>
          <w:p w:rsidR="004609FF" w:rsidRDefault="00747FCE">
            <w:pPr>
              <w:jc w:val="center"/>
            </w:pPr>
            <w:r>
              <w:rPr>
                <w:color w:val="000000"/>
                <w:sz w:val="24"/>
                <w:szCs w:val="24"/>
              </w:rPr>
              <w:t>002410</w:t>
            </w:r>
          </w:p>
        </w:tc>
        <w:tc>
          <w:tcPr>
            <w:tcW w:w="1777" w:type="dxa"/>
            <w:vAlign w:val="center"/>
          </w:tcPr>
          <w:p w:rsidR="004609FF" w:rsidRDefault="00747FCE">
            <w:pPr>
              <w:jc w:val="center"/>
            </w:pPr>
            <w:r>
              <w:rPr>
                <w:color w:val="000000"/>
                <w:sz w:val="24"/>
                <w:szCs w:val="24"/>
              </w:rPr>
              <w:t>广联达</w:t>
            </w:r>
          </w:p>
        </w:tc>
        <w:tc>
          <w:tcPr>
            <w:tcW w:w="1334" w:type="dxa"/>
            <w:vAlign w:val="center"/>
          </w:tcPr>
          <w:p w:rsidR="004609FF" w:rsidRDefault="00747FCE">
            <w:pPr>
              <w:jc w:val="right"/>
            </w:pPr>
            <w:r>
              <w:rPr>
                <w:color w:val="000000"/>
                <w:sz w:val="24"/>
                <w:szCs w:val="24"/>
              </w:rPr>
              <w:t>588,300</w:t>
            </w:r>
          </w:p>
        </w:tc>
        <w:tc>
          <w:tcPr>
            <w:tcW w:w="1924" w:type="dxa"/>
            <w:vAlign w:val="center"/>
          </w:tcPr>
          <w:p w:rsidR="004609FF" w:rsidRDefault="00747FCE">
            <w:pPr>
              <w:jc w:val="right"/>
            </w:pPr>
            <w:r>
              <w:rPr>
                <w:color w:val="000000"/>
                <w:sz w:val="24"/>
                <w:szCs w:val="24"/>
              </w:rPr>
              <w:t>12,030,735.00</w:t>
            </w:r>
          </w:p>
        </w:tc>
        <w:tc>
          <w:tcPr>
            <w:tcW w:w="1644" w:type="dxa"/>
            <w:vAlign w:val="center"/>
          </w:tcPr>
          <w:p w:rsidR="004609FF" w:rsidRDefault="00747FCE">
            <w:pPr>
              <w:jc w:val="right"/>
            </w:pPr>
            <w:r>
              <w:rPr>
                <w:color w:val="000000"/>
                <w:sz w:val="24"/>
                <w:szCs w:val="24"/>
              </w:rPr>
              <w:t>3.75</w:t>
            </w:r>
          </w:p>
        </w:tc>
      </w:tr>
      <w:tr w:rsidR="004609FF">
        <w:trPr>
          <w:jc w:val="center"/>
        </w:trPr>
        <w:tc>
          <w:tcPr>
            <w:tcW w:w="855" w:type="dxa"/>
            <w:vAlign w:val="center"/>
          </w:tcPr>
          <w:p w:rsidR="004609FF" w:rsidRDefault="00747FCE">
            <w:pPr>
              <w:jc w:val="center"/>
            </w:pPr>
            <w:r>
              <w:rPr>
                <w:color w:val="000000"/>
                <w:sz w:val="24"/>
                <w:szCs w:val="24"/>
              </w:rPr>
              <w:t>10</w:t>
            </w:r>
          </w:p>
        </w:tc>
        <w:tc>
          <w:tcPr>
            <w:tcW w:w="1334" w:type="dxa"/>
            <w:vAlign w:val="center"/>
          </w:tcPr>
          <w:p w:rsidR="004609FF" w:rsidRDefault="00747FCE">
            <w:pPr>
              <w:jc w:val="center"/>
            </w:pPr>
            <w:r>
              <w:rPr>
                <w:color w:val="000000"/>
                <w:sz w:val="24"/>
                <w:szCs w:val="24"/>
              </w:rPr>
              <w:t>600885</w:t>
            </w:r>
          </w:p>
        </w:tc>
        <w:tc>
          <w:tcPr>
            <w:tcW w:w="1777" w:type="dxa"/>
            <w:vAlign w:val="center"/>
          </w:tcPr>
          <w:p w:rsidR="004609FF" w:rsidRDefault="00747FCE">
            <w:pPr>
              <w:jc w:val="center"/>
            </w:pPr>
            <w:r>
              <w:rPr>
                <w:color w:val="000000"/>
                <w:sz w:val="24"/>
                <w:szCs w:val="24"/>
              </w:rPr>
              <w:t>宏发股份</w:t>
            </w:r>
          </w:p>
        </w:tc>
        <w:tc>
          <w:tcPr>
            <w:tcW w:w="1334" w:type="dxa"/>
            <w:vAlign w:val="center"/>
          </w:tcPr>
          <w:p w:rsidR="004609FF" w:rsidRDefault="00747FCE">
            <w:pPr>
              <w:jc w:val="right"/>
            </w:pPr>
            <w:r>
              <w:rPr>
                <w:color w:val="000000"/>
                <w:sz w:val="24"/>
                <w:szCs w:val="24"/>
              </w:rPr>
              <w:t>241,182</w:t>
            </w:r>
          </w:p>
        </w:tc>
        <w:tc>
          <w:tcPr>
            <w:tcW w:w="1924" w:type="dxa"/>
            <w:vAlign w:val="center"/>
          </w:tcPr>
          <w:p w:rsidR="004609FF" w:rsidRDefault="00747FCE">
            <w:pPr>
              <w:jc w:val="right"/>
            </w:pPr>
            <w:r>
              <w:rPr>
                <w:color w:val="000000"/>
                <w:sz w:val="24"/>
                <w:szCs w:val="24"/>
              </w:rPr>
              <w:t>10,013,876.64</w:t>
            </w:r>
          </w:p>
        </w:tc>
        <w:tc>
          <w:tcPr>
            <w:tcW w:w="1644" w:type="dxa"/>
            <w:vAlign w:val="center"/>
          </w:tcPr>
          <w:p w:rsidR="004609FF" w:rsidRDefault="00747FCE">
            <w:pPr>
              <w:jc w:val="right"/>
            </w:pPr>
            <w:r>
              <w:rPr>
                <w:color w:val="000000"/>
                <w:sz w:val="24"/>
                <w:szCs w:val="24"/>
              </w:rPr>
              <w:t>3.13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lastRenderedPageBreak/>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458,922.45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9,036.51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57,493,477.22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57,961,436.18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301,584,129.02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150,596,392.27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200,359,749.40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251,820,771.89</w:t>
            </w:r>
          </w:p>
        </w:tc>
      </w:tr>
    </w:tbl>
    <w:p w:rsidR="004609FF" w:rsidRDefault="00747F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 xml:space="preserve">    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609FF">
        <w:tc>
          <w:tcPr>
            <w:tcW w:w="993" w:type="dxa"/>
            <w:vMerge w:val="restart"/>
          </w:tcPr>
          <w:p w:rsidR="004609FF" w:rsidRDefault="004609FF"/>
          <w:p w:rsidR="004609FF" w:rsidRDefault="00747FCE">
            <w:r>
              <w:rPr>
                <w:rFonts w:ascii="宋体" w:hAnsi="宋体" w:hint="eastAsia"/>
                <w:bCs/>
                <w:color w:val="000000"/>
                <w:kern w:val="0"/>
              </w:rPr>
              <w:t>机构</w:t>
            </w:r>
          </w:p>
        </w:tc>
        <w:tc>
          <w:tcPr>
            <w:tcW w:w="992" w:type="dxa"/>
            <w:vAlign w:val="center"/>
          </w:tcPr>
          <w:p w:rsidR="004609FF" w:rsidRDefault="00747FCE">
            <w:pPr>
              <w:jc w:val="center"/>
            </w:pPr>
            <w:r>
              <w:rPr>
                <w:rFonts w:ascii="宋体" w:hAnsi="宋体"/>
                <w:color w:val="000000"/>
                <w:kern w:val="0"/>
              </w:rPr>
              <w:t>1</w:t>
            </w:r>
          </w:p>
        </w:tc>
        <w:tc>
          <w:tcPr>
            <w:tcW w:w="1843" w:type="dxa"/>
            <w:vAlign w:val="center"/>
          </w:tcPr>
          <w:p w:rsidR="004609FF" w:rsidRDefault="00747FCE">
            <w:pPr>
              <w:jc w:val="center"/>
            </w:pPr>
            <w:r>
              <w:rPr>
                <w:rFonts w:ascii="宋体" w:hAnsi="宋体"/>
                <w:color w:val="000000"/>
                <w:kern w:val="0"/>
              </w:rPr>
              <w:t>2017/7/1-2017/9/30</w:t>
            </w:r>
          </w:p>
        </w:tc>
        <w:tc>
          <w:tcPr>
            <w:tcW w:w="851" w:type="dxa"/>
            <w:vAlign w:val="center"/>
          </w:tcPr>
          <w:p w:rsidR="004609FF" w:rsidRDefault="00747FCE">
            <w:pPr>
              <w:jc w:val="center"/>
            </w:pPr>
            <w:r>
              <w:rPr>
                <w:rFonts w:ascii="宋体" w:hAnsi="宋体"/>
                <w:color w:val="000000"/>
                <w:kern w:val="0"/>
              </w:rPr>
              <w:t>-</w:t>
            </w:r>
          </w:p>
        </w:tc>
        <w:tc>
          <w:tcPr>
            <w:tcW w:w="850" w:type="dxa"/>
            <w:vAlign w:val="center"/>
          </w:tcPr>
          <w:p w:rsidR="004609FF" w:rsidRDefault="00747FCE">
            <w:pPr>
              <w:jc w:val="center"/>
            </w:pPr>
            <w:r>
              <w:rPr>
                <w:rFonts w:ascii="宋体" w:hAnsi="宋体"/>
                <w:color w:val="000000"/>
                <w:kern w:val="0"/>
              </w:rPr>
              <w:t>43,591,107.24</w:t>
            </w:r>
          </w:p>
        </w:tc>
        <w:tc>
          <w:tcPr>
            <w:tcW w:w="1134" w:type="dxa"/>
            <w:vAlign w:val="center"/>
          </w:tcPr>
          <w:p w:rsidR="004609FF" w:rsidRDefault="00747FCE">
            <w:pPr>
              <w:jc w:val="center"/>
            </w:pPr>
            <w:r>
              <w:rPr>
                <w:rFonts w:ascii="宋体" w:hAnsi="宋体"/>
                <w:color w:val="000000"/>
                <w:kern w:val="0"/>
              </w:rPr>
              <w:t>-</w:t>
            </w:r>
          </w:p>
        </w:tc>
        <w:tc>
          <w:tcPr>
            <w:tcW w:w="1419" w:type="dxa"/>
            <w:vAlign w:val="center"/>
          </w:tcPr>
          <w:p w:rsidR="004609FF" w:rsidRDefault="00747FCE">
            <w:pPr>
              <w:jc w:val="center"/>
            </w:pPr>
            <w:r>
              <w:rPr>
                <w:rFonts w:ascii="宋体" w:hAnsi="宋体"/>
                <w:color w:val="000000"/>
                <w:kern w:val="0"/>
              </w:rPr>
              <w:t>43,591,107.24</w:t>
            </w:r>
          </w:p>
        </w:tc>
        <w:tc>
          <w:tcPr>
            <w:tcW w:w="1130" w:type="dxa"/>
            <w:vAlign w:val="center"/>
          </w:tcPr>
          <w:p w:rsidR="004609FF" w:rsidRDefault="00747FCE">
            <w:pPr>
              <w:jc w:val="center"/>
            </w:pPr>
            <w:r>
              <w:rPr>
                <w:rFonts w:ascii="宋体" w:hAnsi="宋体"/>
                <w:color w:val="000000"/>
                <w:kern w:val="0"/>
              </w:rPr>
              <w:t>17.31%</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w:t>
            </w:r>
            <w:r w:rsidRPr="004F4D27">
              <w:rPr>
                <w:rFonts w:ascii="宋体" w:hAnsi="宋体" w:hint="eastAsia"/>
                <w:kern w:val="0"/>
              </w:rPr>
              <w:lastRenderedPageBreak/>
              <w:t>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609FF" w:rsidRDefault="00747FC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、中国证监会准予交银施罗德新生活力灵活配置混合型证券投资基金募集注册的文件；</w:t>
      </w:r>
      <w:r>
        <w:rPr>
          <w:color w:val="000000"/>
          <w:sz w:val="24"/>
          <w:szCs w:val="24"/>
        </w:rPr>
        <w:t xml:space="preserve"> </w:t>
      </w:r>
    </w:p>
    <w:p w:rsidR="004609FF" w:rsidRDefault="00747FC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、《交银施罗德新生活力灵活配置混合型证券投资基金基金合同》；</w:t>
      </w:r>
      <w:r>
        <w:rPr>
          <w:color w:val="000000"/>
          <w:sz w:val="24"/>
          <w:szCs w:val="24"/>
        </w:rPr>
        <w:t xml:space="preserve"> </w:t>
      </w:r>
    </w:p>
    <w:p w:rsidR="004609FF" w:rsidRDefault="00747FC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、《交银施罗德新生活力灵活配置混合型证券投资基金招募说明书》；</w:t>
      </w:r>
      <w:r>
        <w:rPr>
          <w:color w:val="000000"/>
          <w:sz w:val="24"/>
          <w:szCs w:val="24"/>
        </w:rPr>
        <w:t xml:space="preserve"> </w:t>
      </w:r>
    </w:p>
    <w:p w:rsidR="004609FF" w:rsidRDefault="00747FC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、《交银施罗德新生活力灵活配置混合型证券投资基金托管协议》；</w:t>
      </w:r>
      <w:r>
        <w:rPr>
          <w:color w:val="000000"/>
          <w:sz w:val="24"/>
          <w:szCs w:val="24"/>
        </w:rPr>
        <w:t xml:space="preserve"> </w:t>
      </w:r>
    </w:p>
    <w:p w:rsidR="004609FF" w:rsidRDefault="00747FC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、关于申请募集注册交银施罗德新生活力灵活配置混合型证券投资基金的法律意见书；</w:t>
      </w:r>
      <w:r>
        <w:rPr>
          <w:color w:val="000000"/>
          <w:sz w:val="24"/>
          <w:szCs w:val="24"/>
        </w:rPr>
        <w:t xml:space="preserve"> </w:t>
      </w:r>
    </w:p>
    <w:p w:rsidR="004609FF" w:rsidRDefault="00747FC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609FF" w:rsidRDefault="00747FC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、报告期内交银施罗德新生活力灵活配置混合型证券投资基金在指定报刊上各项公告的原稿。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609FF" w:rsidRDefault="00747FC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4609FF" w:rsidRDefault="00747FCE">
      <w:pPr>
        <w:spacing w:before="29" w:line="288" w:lineRule="auto"/>
        <w:ind w:firstLineChars="200" w:firstLine="480"/>
        <w:rPr>
          <w:color w:val="000000"/>
          <w:sz w:val="24"/>
          <w:szCs w:val="24"/>
        </w:rPr>
      </w:pPr>
      <w:r>
        <w:rPr>
          <w:color w:val="000000"/>
          <w:sz w:val="24"/>
          <w:szCs w:val="24"/>
        </w:rPr>
        <w:t>投资者对本报告书如有疑问，可咨询本基金管理人交银施罗德基金管理有限公司。本公司客户服务中心电话：</w:t>
      </w:r>
      <w:r>
        <w:rPr>
          <w:color w:val="000000"/>
          <w:sz w:val="24"/>
          <w:szCs w:val="24"/>
        </w:rPr>
        <w:t>400-700-5000</w:t>
      </w:r>
      <w:r>
        <w:rPr>
          <w:color w:val="000000"/>
          <w:sz w:val="24"/>
          <w:szCs w:val="24"/>
        </w:rPr>
        <w:t>（免长途话费），</w:t>
      </w:r>
      <w:r>
        <w:rPr>
          <w:color w:val="000000"/>
          <w:sz w:val="24"/>
          <w:szCs w:val="24"/>
        </w:rPr>
        <w:t>021-61055000</w:t>
      </w:r>
      <w:r>
        <w:rPr>
          <w:color w:val="000000"/>
          <w:sz w:val="24"/>
          <w:szCs w:val="24"/>
        </w:rPr>
        <w:t>，电子邮件：</w:t>
      </w:r>
      <w:r>
        <w:rPr>
          <w:color w:val="000000"/>
          <w:sz w:val="24"/>
          <w:szCs w:val="24"/>
        </w:rPr>
        <w:t>services@jysld.com</w:t>
      </w:r>
      <w:r>
        <w:rPr>
          <w:color w:val="000000"/>
          <w:sz w:val="24"/>
          <w:szCs w:val="24"/>
        </w:rPr>
        <w:t>。</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 xml:space="preserve">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A33" w:rsidRDefault="005A0A33" w:rsidP="00876D65">
      <w:r>
        <w:separator/>
      </w:r>
    </w:p>
  </w:endnote>
  <w:endnote w:type="continuationSeparator" w:id="0">
    <w:p w:rsidR="005A0A33" w:rsidRDefault="005A0A3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747FCE">
      <w:rPr>
        <w:noProof/>
        <w:kern w:val="0"/>
        <w:szCs w:val="21"/>
      </w:rPr>
      <w:t>6</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747FCE">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A33" w:rsidRDefault="005A0A33" w:rsidP="00876D65">
      <w:r>
        <w:separator/>
      </w:r>
    </w:p>
  </w:footnote>
  <w:footnote w:type="continuationSeparator" w:id="0">
    <w:p w:rsidR="005A0A33" w:rsidRDefault="005A0A3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09FF"/>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47FCE"/>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1A6E9D64-47A5-4E45-BFFC-5D11A9ED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3BA3-8364-456E-A4AB-2C13170D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潘昊俊</cp:lastModifiedBy>
  <cp:revision>566</cp:revision>
  <dcterms:created xsi:type="dcterms:W3CDTF">2012-10-16T06:07:00Z</dcterms:created>
  <dcterms:modified xsi:type="dcterms:W3CDTF">2017-10-20T01:50:00Z</dcterms:modified>
</cp:coreProperties>
</file>