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基金托管人招商银行股份有限公司根据本基金合同规定，于2017年10月24日复核了本报告中的财务指标、净值表现和投资组合报告等内容，保证复核内容不存在虚假记载、误导性陈述或者重大遗漏。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2016年9月13日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569,415,227.58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50%×沪深300指数收益率+50%×中债综合全价指数收益率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8,782,031.09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11,327,279.88</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0.0192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615,619,303.51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1.79%</w:t>
            </w:r>
          </w:p>
        </w:tc>
        <w:tc>
          <w:tcPr>
            <w:vAlign w:val="center"/>
          </w:tcPr>
          <w:p>
            <w:pPr>
              <w:jc w:val="center"/>
            </w:pPr>
            <w:r>
              <w:rPr>
                <w:color w:val="000000"/>
                <w:sz w:val="24"/>
                <w:szCs w:val="24"/>
              </w:rPr>
              <w:t>0.15%</w:t>
            </w:r>
          </w:p>
        </w:tc>
        <w:tc>
          <w:tcPr>
            <w:vAlign w:val="center"/>
          </w:tcPr>
          <w:p>
            <w:pPr>
              <w:jc w:val="center"/>
            </w:pPr>
            <w:r>
              <w:rPr>
                <w:color w:val="000000"/>
                <w:sz w:val="24"/>
                <w:szCs w:val="24"/>
              </w:rPr>
              <w:t>2.24%</w:t>
            </w:r>
          </w:p>
        </w:tc>
        <w:tc>
          <w:tcPr>
            <w:vAlign w:val="center"/>
          </w:tcPr>
          <w:p>
            <w:pPr>
              <w:jc w:val="center"/>
            </w:pPr>
            <w:r>
              <w:rPr>
                <w:color w:val="000000"/>
                <w:sz w:val="24"/>
                <w:szCs w:val="24"/>
              </w:rPr>
              <w:t>0.29%</w:t>
            </w:r>
          </w:p>
        </w:tc>
        <w:tc>
          <w:tcPr>
            <w:vAlign w:val="center"/>
          </w:tcPr>
          <w:p>
            <w:pPr>
              <w:jc w:val="center"/>
            </w:pPr>
            <w:r>
              <w:rPr>
                <w:color w:val="000000"/>
                <w:sz w:val="24"/>
                <w:szCs w:val="24"/>
              </w:rPr>
              <w:t>-0.45%</w:t>
            </w:r>
          </w:p>
        </w:tc>
        <w:tc>
          <w:tcPr>
            <w:vAlign w:val="center"/>
          </w:tcPr>
          <w:p>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2016年9月13日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2016年9月13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vAlign w:val="center"/>
          </w:tcPr>
          <w:p>
            <w:pPr>
              <w:jc w:val="center"/>
            </w:pPr>
            <w:r>
              <w:rPr>
                <w:color w:val="000000"/>
                <w:sz w:val="24"/>
                <w:szCs w:val="24"/>
              </w:rPr>
              <w:t>2016-09-13</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4.90%和2.69%，10年期国债收益率上行5BP至3.61%，10年期国开债收益率上行1BP到4.19%。</w:t>
      </w:r>
    </w:p>
    <w:p>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基本面下行的预期有待数据的进一步确认，CPI依然不具备大幅上行的风险，宏观经济对债市影响的增强仍需要时间，在货币政策“不松不紧”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截至2017年9月30日，本基金份额净值为1.081元，本报告期份额净值增长率为1.79%，同期业绩比较基准增长率为2.24%。</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129,811,267.75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129,811,267.75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456,797,857.00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456,797,857.00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1,658,625.40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7,138,195.67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616,405,945.82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74,092,593.38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4,025,593.44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6,325,980.90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843,149.91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44,307,388.00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44,000.50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129,811,267.75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21.09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1,280,000</w:t>
            </w:r>
          </w:p>
        </w:tc>
        <w:tc>
          <w:tcPr>
            <w:vAlign w:val="center"/>
          </w:tcPr>
          <w:p>
            <w:pPr>
              <w:jc w:val="right"/>
            </w:pPr>
            <w:r>
              <w:rPr>
                <w:color w:val="000000"/>
                <w:sz w:val="24"/>
                <w:szCs w:val="24"/>
              </w:rPr>
              <w:t>14,220,800.00</w:t>
            </w:r>
          </w:p>
        </w:tc>
        <w:tc>
          <w:tcPr>
            <w:vAlign w:val="center"/>
          </w:tcPr>
          <w:p>
            <w:pPr>
              <w:jc w:val="right"/>
            </w:pPr>
            <w:r>
              <w:rPr>
                <w:color w:val="000000"/>
                <w:sz w:val="24"/>
                <w:szCs w:val="24"/>
              </w:rPr>
              <w:t>2.31</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 粮 液</w:t>
            </w:r>
          </w:p>
        </w:tc>
        <w:tc>
          <w:tcPr>
            <w:vAlign w:val="center"/>
          </w:tcPr>
          <w:p>
            <w:pPr>
              <w:jc w:val="right"/>
            </w:pPr>
            <w:r>
              <w:rPr>
                <w:color w:val="000000"/>
                <w:sz w:val="24"/>
                <w:szCs w:val="24"/>
              </w:rPr>
              <w:t>200,000</w:t>
            </w:r>
          </w:p>
        </w:tc>
        <w:tc>
          <w:tcPr>
            <w:vAlign w:val="center"/>
          </w:tcPr>
          <w:p>
            <w:pPr>
              <w:jc w:val="right"/>
            </w:pPr>
            <w:r>
              <w:rPr>
                <w:color w:val="000000"/>
                <w:sz w:val="24"/>
                <w:szCs w:val="24"/>
              </w:rPr>
              <w:t>11,456,000.00</w:t>
            </w:r>
          </w:p>
        </w:tc>
        <w:tc>
          <w:tcPr>
            <w:vAlign w:val="center"/>
          </w:tcPr>
          <w:p>
            <w:pPr>
              <w:jc w:val="right"/>
            </w:pPr>
            <w:r>
              <w:rPr>
                <w:color w:val="000000"/>
                <w:sz w:val="24"/>
                <w:szCs w:val="24"/>
              </w:rPr>
              <w:t>1.86</w:t>
            </w:r>
          </w:p>
        </w:tc>
      </w:tr>
      <w:tr>
        <w:tc>
          <w:tcPr>
            <w:vAlign w:val="center"/>
          </w:tcPr>
          <w:p>
            <w:pPr>
              <w:jc w:val="center"/>
            </w:pPr>
            <w:r>
              <w:rPr>
                <w:color w:val="000000"/>
                <w:sz w:val="24"/>
                <w:szCs w:val="24"/>
              </w:rPr>
              <w:t>3</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1,897,518</w:t>
            </w:r>
          </w:p>
        </w:tc>
        <w:tc>
          <w:tcPr>
            <w:vAlign w:val="center"/>
          </w:tcPr>
          <w:p>
            <w:pPr>
              <w:jc w:val="right"/>
            </w:pPr>
            <w:r>
              <w:rPr>
                <w:color w:val="000000"/>
                <w:sz w:val="24"/>
                <w:szCs w:val="24"/>
              </w:rPr>
              <w:t>11,385,108.00</w:t>
            </w:r>
          </w:p>
        </w:tc>
        <w:tc>
          <w:tcPr>
            <w:vAlign w:val="center"/>
          </w:tcPr>
          <w:p>
            <w:pPr>
              <w:jc w:val="right"/>
            </w:pPr>
            <w:r>
              <w:rPr>
                <w:color w:val="000000"/>
                <w:sz w:val="24"/>
                <w:szCs w:val="24"/>
              </w:rPr>
              <w:t>1.85</w:t>
            </w:r>
          </w:p>
        </w:tc>
      </w:tr>
      <w:tr>
        <w:tc>
          <w:tcPr>
            <w:vAlign w:val="center"/>
          </w:tcPr>
          <w:p>
            <w:pPr>
              <w:jc w:val="center"/>
            </w:pPr>
            <w:r>
              <w:rPr>
                <w:color w:val="000000"/>
                <w:sz w:val="24"/>
                <w:szCs w:val="24"/>
              </w:rPr>
              <w:t>4</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20,000</w:t>
            </w:r>
          </w:p>
        </w:tc>
        <w:tc>
          <w:tcPr>
            <w:vAlign w:val="center"/>
          </w:tcPr>
          <w:p>
            <w:pPr>
              <w:jc w:val="right"/>
            </w:pPr>
            <w:r>
              <w:rPr>
                <w:color w:val="000000"/>
                <w:sz w:val="24"/>
                <w:szCs w:val="24"/>
              </w:rPr>
              <w:t>10,352,800.00</w:t>
            </w:r>
          </w:p>
        </w:tc>
        <w:tc>
          <w:tcPr>
            <w:vAlign w:val="center"/>
          </w:tcPr>
          <w:p>
            <w:pPr>
              <w:jc w:val="right"/>
            </w:pPr>
            <w:r>
              <w:rPr>
                <w:color w:val="000000"/>
                <w:sz w:val="24"/>
                <w:szCs w:val="24"/>
              </w:rPr>
              <w:t>1.68</w:t>
            </w:r>
          </w:p>
        </w:tc>
      </w:tr>
      <w:tr>
        <w:tc>
          <w:tcPr>
            <w:vAlign w:val="center"/>
          </w:tcPr>
          <w:p>
            <w:pPr>
              <w:jc w:val="center"/>
            </w:pPr>
            <w:r>
              <w:rPr>
                <w:color w:val="000000"/>
                <w:sz w:val="24"/>
                <w:szCs w:val="24"/>
              </w:rPr>
              <w:t>5</w:t>
            </w:r>
          </w:p>
        </w:tc>
        <w:tc>
          <w:tcPr>
            <w:vAlign w:val="center"/>
          </w:tcPr>
          <w:p>
            <w:pPr>
              <w:jc w:val="center"/>
            </w:pPr>
            <w:r>
              <w:rPr>
                <w:color w:val="000000"/>
                <w:sz w:val="24"/>
                <w:szCs w:val="24"/>
              </w:rPr>
              <w:t>000423</w:t>
            </w:r>
          </w:p>
        </w:tc>
        <w:tc>
          <w:tcPr>
            <w:vAlign w:val="center"/>
          </w:tcPr>
          <w:p>
            <w:pPr>
              <w:jc w:val="center"/>
            </w:pPr>
            <w:r>
              <w:rPr>
                <w:color w:val="000000"/>
                <w:sz w:val="24"/>
                <w:szCs w:val="24"/>
              </w:rPr>
              <w:t>东阿阿胶</w:t>
            </w:r>
          </w:p>
        </w:tc>
        <w:tc>
          <w:tcPr>
            <w:vAlign w:val="center"/>
          </w:tcPr>
          <w:p>
            <w:pPr>
              <w:jc w:val="right"/>
            </w:pPr>
            <w:r>
              <w:rPr>
                <w:color w:val="000000"/>
                <w:sz w:val="24"/>
                <w:szCs w:val="24"/>
              </w:rPr>
              <w:t>150,000</w:t>
            </w:r>
          </w:p>
        </w:tc>
        <w:tc>
          <w:tcPr>
            <w:vAlign w:val="center"/>
          </w:tcPr>
          <w:p>
            <w:pPr>
              <w:jc w:val="right"/>
            </w:pPr>
            <w:r>
              <w:rPr>
                <w:color w:val="000000"/>
                <w:sz w:val="24"/>
                <w:szCs w:val="24"/>
              </w:rPr>
              <w:t>9,739,500.00</w:t>
            </w:r>
          </w:p>
        </w:tc>
        <w:tc>
          <w:tcPr>
            <w:vAlign w:val="center"/>
          </w:tcPr>
          <w:p>
            <w:pPr>
              <w:jc w:val="right"/>
            </w:pPr>
            <w:r>
              <w:rPr>
                <w:color w:val="000000"/>
                <w:sz w:val="24"/>
                <w:szCs w:val="24"/>
              </w:rPr>
              <w:t>1.58</w:t>
            </w:r>
          </w:p>
        </w:tc>
      </w:tr>
      <w:tr>
        <w:tc>
          <w:tcPr>
            <w:vAlign w:val="center"/>
          </w:tcPr>
          <w:p>
            <w:pPr>
              <w:jc w:val="center"/>
            </w:pPr>
            <w:r>
              <w:rPr>
                <w:color w:val="000000"/>
                <w:sz w:val="24"/>
                <w:szCs w:val="24"/>
              </w:rPr>
              <w:t>6</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350,000</w:t>
            </w:r>
          </w:p>
        </w:tc>
        <w:tc>
          <w:tcPr>
            <w:vAlign w:val="center"/>
          </w:tcPr>
          <w:p>
            <w:pPr>
              <w:jc w:val="right"/>
            </w:pPr>
            <w:r>
              <w:rPr>
                <w:color w:val="000000"/>
                <w:sz w:val="24"/>
                <w:szCs w:val="24"/>
              </w:rPr>
              <w:t>9,625,000.00</w:t>
            </w:r>
          </w:p>
        </w:tc>
        <w:tc>
          <w:tcPr>
            <w:vAlign w:val="center"/>
          </w:tcPr>
          <w:p>
            <w:pPr>
              <w:jc w:val="right"/>
            </w:pPr>
            <w:r>
              <w:rPr>
                <w:color w:val="000000"/>
                <w:sz w:val="24"/>
                <w:szCs w:val="24"/>
              </w:rPr>
              <w:t>1.56</w:t>
            </w:r>
          </w:p>
        </w:tc>
      </w:tr>
      <w:tr>
        <w:tc>
          <w:tcPr>
            <w:vAlign w:val="center"/>
          </w:tcPr>
          <w:p>
            <w:pPr>
              <w:jc w:val="center"/>
            </w:pPr>
            <w:r>
              <w:rPr>
                <w:color w:val="000000"/>
                <w:sz w:val="24"/>
                <w:szCs w:val="24"/>
              </w:rPr>
              <w:t>7</w:t>
            </w:r>
          </w:p>
        </w:tc>
        <w:tc>
          <w:tcPr>
            <w:vAlign w:val="center"/>
          </w:tcPr>
          <w:p>
            <w:pPr>
              <w:jc w:val="center"/>
            </w:pPr>
            <w:r>
              <w:rPr>
                <w:color w:val="000000"/>
                <w:sz w:val="24"/>
                <w:szCs w:val="24"/>
              </w:rPr>
              <w:t>601988</w:t>
            </w:r>
          </w:p>
        </w:tc>
        <w:tc>
          <w:tcPr>
            <w:vAlign w:val="center"/>
          </w:tcPr>
          <w:p>
            <w:pPr>
              <w:jc w:val="center"/>
            </w:pPr>
            <w:r>
              <w:rPr>
                <w:color w:val="000000"/>
                <w:sz w:val="24"/>
                <w:szCs w:val="24"/>
              </w:rPr>
              <w:t>中国银行</w:t>
            </w:r>
          </w:p>
        </w:tc>
        <w:tc>
          <w:tcPr>
            <w:vAlign w:val="center"/>
          </w:tcPr>
          <w:p>
            <w:pPr>
              <w:jc w:val="right"/>
            </w:pPr>
            <w:r>
              <w:rPr>
                <w:color w:val="000000"/>
                <w:sz w:val="24"/>
                <w:szCs w:val="24"/>
              </w:rPr>
              <w:t>2,100,000</w:t>
            </w:r>
          </w:p>
        </w:tc>
        <w:tc>
          <w:tcPr>
            <w:vAlign w:val="center"/>
          </w:tcPr>
          <w:p>
            <w:pPr>
              <w:jc w:val="right"/>
            </w:pPr>
            <w:r>
              <w:rPr>
                <w:color w:val="000000"/>
                <w:sz w:val="24"/>
                <w:szCs w:val="24"/>
              </w:rPr>
              <w:t>8,652,000.00</w:t>
            </w:r>
          </w:p>
        </w:tc>
        <w:tc>
          <w:tcPr>
            <w:vAlign w:val="center"/>
          </w:tcPr>
          <w:p>
            <w:pPr>
              <w:jc w:val="right"/>
            </w:pPr>
            <w:r>
              <w:rPr>
                <w:color w:val="000000"/>
                <w:sz w:val="24"/>
                <w:szCs w:val="24"/>
              </w:rPr>
              <w:t>1.41</w:t>
            </w:r>
          </w:p>
        </w:tc>
      </w:tr>
      <w:tr>
        <w:tc>
          <w:tcPr>
            <w:vAlign w:val="center"/>
          </w:tcPr>
          <w:p>
            <w:pPr>
              <w:jc w:val="center"/>
            </w:pPr>
            <w:r>
              <w:rPr>
                <w:color w:val="000000"/>
                <w:sz w:val="24"/>
                <w:szCs w:val="24"/>
              </w:rPr>
              <w:t>8</w:t>
            </w:r>
          </w:p>
        </w:tc>
        <w:tc>
          <w:tcPr>
            <w:vAlign w:val="center"/>
          </w:tcPr>
          <w:p>
            <w:pPr>
              <w:jc w:val="center"/>
            </w:pPr>
            <w:r>
              <w:rPr>
                <w:color w:val="000000"/>
                <w:sz w:val="24"/>
                <w:szCs w:val="24"/>
              </w:rPr>
              <w:t>002142</w:t>
            </w:r>
          </w:p>
        </w:tc>
        <w:tc>
          <w:tcPr>
            <w:vAlign w:val="center"/>
          </w:tcPr>
          <w:p>
            <w:pPr>
              <w:jc w:val="center"/>
            </w:pPr>
            <w:r>
              <w:rPr>
                <w:color w:val="000000"/>
                <w:sz w:val="24"/>
                <w:szCs w:val="24"/>
              </w:rPr>
              <w:t>宁波银行</w:t>
            </w:r>
          </w:p>
        </w:tc>
        <w:tc>
          <w:tcPr>
            <w:vAlign w:val="center"/>
          </w:tcPr>
          <w:p>
            <w:pPr>
              <w:jc w:val="right"/>
            </w:pPr>
            <w:r>
              <w:rPr>
                <w:color w:val="000000"/>
                <w:sz w:val="24"/>
                <w:szCs w:val="24"/>
              </w:rPr>
              <w:t>416,000</w:t>
            </w:r>
          </w:p>
        </w:tc>
        <w:tc>
          <w:tcPr>
            <w:vAlign w:val="center"/>
          </w:tcPr>
          <w:p>
            <w:pPr>
              <w:jc w:val="right"/>
            </w:pPr>
            <w:r>
              <w:rPr>
                <w:color w:val="000000"/>
                <w:sz w:val="24"/>
                <w:szCs w:val="24"/>
              </w:rPr>
              <w:t>6,564,480.00</w:t>
            </w:r>
          </w:p>
        </w:tc>
        <w:tc>
          <w:tcPr>
            <w:vAlign w:val="center"/>
          </w:tcPr>
          <w:p>
            <w:pPr>
              <w:jc w:val="right"/>
            </w:pPr>
            <w:r>
              <w:rPr>
                <w:color w:val="000000"/>
                <w:sz w:val="24"/>
                <w:szCs w:val="24"/>
              </w:rPr>
              <w:t>1.07</w:t>
            </w:r>
          </w:p>
        </w:tc>
      </w:tr>
      <w:tr>
        <w:tc>
          <w:tcPr>
            <w:vAlign w:val="center"/>
          </w:tcPr>
          <w:p>
            <w:pPr>
              <w:jc w:val="center"/>
            </w:pPr>
            <w:r>
              <w:rPr>
                <w:color w:val="000000"/>
                <w:sz w:val="24"/>
                <w:szCs w:val="24"/>
              </w:rPr>
              <w:t>9</w:t>
            </w:r>
          </w:p>
        </w:tc>
        <w:tc>
          <w:tcPr>
            <w:vAlign w:val="center"/>
          </w:tcPr>
          <w:p>
            <w:pPr>
              <w:jc w:val="center"/>
            </w:pPr>
            <w:r>
              <w:rPr>
                <w:color w:val="000000"/>
                <w:sz w:val="24"/>
                <w:szCs w:val="24"/>
              </w:rPr>
              <w:t>000921</w:t>
            </w:r>
          </w:p>
        </w:tc>
        <w:tc>
          <w:tcPr>
            <w:vAlign w:val="center"/>
          </w:tcPr>
          <w:p>
            <w:pPr>
              <w:jc w:val="center"/>
            </w:pPr>
            <w:r>
              <w:rPr>
                <w:color w:val="000000"/>
                <w:sz w:val="24"/>
                <w:szCs w:val="24"/>
              </w:rPr>
              <w:t>海信科龙</w:t>
            </w:r>
          </w:p>
        </w:tc>
        <w:tc>
          <w:tcPr>
            <w:vAlign w:val="center"/>
          </w:tcPr>
          <w:p>
            <w:pPr>
              <w:jc w:val="right"/>
            </w:pPr>
            <w:r>
              <w:rPr>
                <w:color w:val="000000"/>
                <w:sz w:val="24"/>
                <w:szCs w:val="24"/>
              </w:rPr>
              <w:t>449,970</w:t>
            </w:r>
          </w:p>
        </w:tc>
        <w:tc>
          <w:tcPr>
            <w:vAlign w:val="center"/>
          </w:tcPr>
          <w:p>
            <w:pPr>
              <w:jc w:val="right"/>
            </w:pPr>
            <w:r>
              <w:rPr>
                <w:color w:val="000000"/>
                <w:sz w:val="24"/>
                <w:szCs w:val="24"/>
              </w:rPr>
              <w:t>5,962,102.50</w:t>
            </w:r>
          </w:p>
        </w:tc>
        <w:tc>
          <w:tcPr>
            <w:vAlign w:val="center"/>
          </w:tcPr>
          <w:p>
            <w:pPr>
              <w:jc w:val="right"/>
            </w:pPr>
            <w:r>
              <w:rPr>
                <w:color w:val="000000"/>
                <w:sz w:val="24"/>
                <w:szCs w:val="24"/>
              </w:rPr>
              <w:t>0.97</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600056</w:t>
            </w:r>
          </w:p>
        </w:tc>
        <w:tc>
          <w:tcPr>
            <w:vAlign w:val="center"/>
          </w:tcPr>
          <w:p>
            <w:pPr>
              <w:jc w:val="center"/>
            </w:pPr>
            <w:r>
              <w:rPr>
                <w:color w:val="000000"/>
                <w:sz w:val="24"/>
                <w:szCs w:val="24"/>
              </w:rPr>
              <w:t>中国医药</w:t>
            </w:r>
          </w:p>
        </w:tc>
        <w:tc>
          <w:tcPr>
            <w:vAlign w:val="center"/>
          </w:tcPr>
          <w:p>
            <w:pPr>
              <w:jc w:val="right"/>
            </w:pPr>
            <w:r>
              <w:rPr>
                <w:color w:val="000000"/>
                <w:sz w:val="24"/>
                <w:szCs w:val="24"/>
              </w:rPr>
              <w:t>190,000</w:t>
            </w:r>
          </w:p>
        </w:tc>
        <w:tc>
          <w:tcPr>
            <w:vAlign w:val="center"/>
          </w:tcPr>
          <w:p>
            <w:pPr>
              <w:jc w:val="right"/>
            </w:pPr>
            <w:r>
              <w:rPr>
                <w:color w:val="000000"/>
                <w:sz w:val="24"/>
                <w:szCs w:val="24"/>
              </w:rPr>
              <w:t>4,647,400.00</w:t>
            </w:r>
          </w:p>
        </w:tc>
        <w:tc>
          <w:tcPr>
            <w:vAlign w:val="center"/>
          </w:tcPr>
          <w:p>
            <w:pPr>
              <w:jc w:val="right"/>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2,284,857.00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143,717,000.00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143,717,000.00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80,285,000.00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13.04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215,678,000.00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35.03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456,797,857.00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74.20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170210</w:t>
            </w:r>
          </w:p>
        </w:tc>
        <w:tc>
          <w:tcPr>
            <w:vAlign w:val="center"/>
          </w:tcPr>
          <w:p>
            <w:pPr>
              <w:jc w:val="center"/>
            </w:pPr>
            <w:r>
              <w:rPr>
                <w:color w:val="000000"/>
                <w:sz w:val="24"/>
                <w:szCs w:val="24"/>
              </w:rPr>
              <w:t>17国开10</w:t>
            </w:r>
          </w:p>
        </w:tc>
        <w:tc>
          <w:tcPr>
            <w:vAlign w:val="center"/>
          </w:tcPr>
          <w:p>
            <w:pPr>
              <w:jc w:val="right"/>
            </w:pPr>
            <w:r>
              <w:rPr>
                <w:color w:val="000000"/>
                <w:sz w:val="24"/>
                <w:szCs w:val="24"/>
              </w:rPr>
              <w:t>1,100,000</w:t>
            </w:r>
          </w:p>
        </w:tc>
        <w:tc>
          <w:tcPr>
            <w:vAlign w:val="center"/>
          </w:tcPr>
          <w:p>
            <w:pPr>
              <w:jc w:val="right"/>
            </w:pPr>
            <w:r>
              <w:rPr>
                <w:color w:val="000000"/>
                <w:sz w:val="24"/>
                <w:szCs w:val="24"/>
              </w:rPr>
              <w:t>107,789,000.00</w:t>
            </w:r>
          </w:p>
        </w:tc>
        <w:tc>
          <w:tcPr>
            <w:vAlign w:val="center"/>
          </w:tcPr>
          <w:p>
            <w:pPr>
              <w:jc w:val="right"/>
            </w:pPr>
            <w:r>
              <w:rPr>
                <w:color w:val="000000"/>
                <w:sz w:val="24"/>
                <w:szCs w:val="24"/>
              </w:rPr>
              <w:t>17.51</w:t>
            </w:r>
          </w:p>
        </w:tc>
      </w:tr>
      <w:tr>
        <w:tc>
          <w:tcPr>
            <w:vAlign w:val="center"/>
          </w:tcPr>
          <w:p>
            <w:pPr>
              <w:jc w:val="center"/>
            </w:pPr>
            <w:r>
              <w:rPr>
                <w:color w:val="000000"/>
                <w:sz w:val="24"/>
                <w:szCs w:val="24"/>
              </w:rPr>
              <w:t>2</w:t>
            </w:r>
          </w:p>
        </w:tc>
        <w:tc>
          <w:tcPr>
            <w:vAlign w:val="center"/>
          </w:tcPr>
          <w:p>
            <w:pPr>
              <w:jc w:val="center"/>
            </w:pPr>
            <w:r>
              <w:rPr>
                <w:color w:val="000000"/>
                <w:sz w:val="24"/>
                <w:szCs w:val="24"/>
              </w:rPr>
              <w:t>111709338</w:t>
            </w:r>
          </w:p>
        </w:tc>
        <w:tc>
          <w:tcPr>
            <w:vAlign w:val="center"/>
          </w:tcPr>
          <w:p>
            <w:pPr>
              <w:jc w:val="center"/>
            </w:pPr>
            <w:r>
              <w:rPr>
                <w:color w:val="000000"/>
                <w:sz w:val="24"/>
                <w:szCs w:val="24"/>
              </w:rPr>
              <w:t>17浦发银行CD338</w:t>
            </w:r>
          </w:p>
        </w:tc>
        <w:tc>
          <w:tcPr>
            <w:vAlign w:val="center"/>
          </w:tcPr>
          <w:p>
            <w:pPr>
              <w:jc w:val="right"/>
            </w:pPr>
            <w:r>
              <w:rPr>
                <w:color w:val="000000"/>
                <w:sz w:val="24"/>
                <w:szCs w:val="24"/>
              </w:rPr>
              <w:t>600,000</w:t>
            </w:r>
          </w:p>
        </w:tc>
        <w:tc>
          <w:tcPr>
            <w:vAlign w:val="center"/>
          </w:tcPr>
          <w:p>
            <w:pPr>
              <w:jc w:val="right"/>
            </w:pPr>
            <w:r>
              <w:rPr>
                <w:color w:val="000000"/>
                <w:sz w:val="24"/>
                <w:szCs w:val="24"/>
              </w:rPr>
              <w:t>59,340,000.00</w:t>
            </w:r>
          </w:p>
        </w:tc>
        <w:tc>
          <w:tcPr>
            <w:vAlign w:val="center"/>
          </w:tcPr>
          <w:p>
            <w:pPr>
              <w:jc w:val="right"/>
            </w:pPr>
            <w:r>
              <w:rPr>
                <w:color w:val="000000"/>
                <w:sz w:val="24"/>
                <w:szCs w:val="24"/>
              </w:rPr>
              <w:t>9.64</w:t>
            </w:r>
          </w:p>
        </w:tc>
      </w:tr>
      <w:tr>
        <w:tc>
          <w:tcPr>
            <w:vAlign w:val="center"/>
          </w:tcPr>
          <w:p>
            <w:pPr>
              <w:jc w:val="center"/>
            </w:pPr>
            <w:r>
              <w:rPr>
                <w:color w:val="000000"/>
                <w:sz w:val="24"/>
                <w:szCs w:val="24"/>
              </w:rPr>
              <w:t>3</w:t>
            </w:r>
          </w:p>
        </w:tc>
        <w:tc>
          <w:tcPr>
            <w:vAlign w:val="center"/>
          </w:tcPr>
          <w:p>
            <w:pPr>
              <w:jc w:val="center"/>
            </w:pPr>
            <w:r>
              <w:rPr>
                <w:color w:val="000000"/>
                <w:sz w:val="24"/>
                <w:szCs w:val="24"/>
              </w:rPr>
              <w:t>111717172</w:t>
            </w:r>
          </w:p>
        </w:tc>
        <w:tc>
          <w:tcPr>
            <w:vAlign w:val="center"/>
          </w:tcPr>
          <w:p>
            <w:pPr>
              <w:jc w:val="center"/>
            </w:pPr>
            <w:r>
              <w:rPr>
                <w:color w:val="000000"/>
                <w:sz w:val="24"/>
                <w:szCs w:val="24"/>
              </w:rPr>
              <w:t>17光大银行CD172</w:t>
            </w:r>
          </w:p>
        </w:tc>
        <w:tc>
          <w:tcPr>
            <w:vAlign w:val="center"/>
          </w:tcPr>
          <w:p>
            <w:pPr>
              <w:jc w:val="right"/>
            </w:pPr>
            <w:r>
              <w:rPr>
                <w:color w:val="000000"/>
                <w:sz w:val="24"/>
                <w:szCs w:val="24"/>
              </w:rPr>
              <w:t>400,000</w:t>
            </w:r>
          </w:p>
        </w:tc>
        <w:tc>
          <w:tcPr>
            <w:vAlign w:val="center"/>
          </w:tcPr>
          <w:p>
            <w:pPr>
              <w:jc w:val="right"/>
            </w:pPr>
            <w:r>
              <w:rPr>
                <w:color w:val="000000"/>
                <w:sz w:val="24"/>
                <w:szCs w:val="24"/>
              </w:rPr>
              <w:t>39,560,000.00</w:t>
            </w:r>
          </w:p>
        </w:tc>
        <w:tc>
          <w:tcPr>
            <w:vAlign w:val="center"/>
          </w:tcPr>
          <w:p>
            <w:pPr>
              <w:jc w:val="right"/>
            </w:pPr>
            <w:r>
              <w:rPr>
                <w:color w:val="000000"/>
                <w:sz w:val="24"/>
                <w:szCs w:val="24"/>
              </w:rPr>
              <w:t>6.43</w:t>
            </w:r>
          </w:p>
        </w:tc>
      </w:tr>
      <w:tr>
        <w:tc>
          <w:tcPr>
            <w:vAlign w:val="center"/>
          </w:tcPr>
          <w:p>
            <w:pPr>
              <w:jc w:val="center"/>
            </w:pPr>
            <w:r>
              <w:rPr>
                <w:color w:val="000000"/>
                <w:sz w:val="24"/>
                <w:szCs w:val="24"/>
              </w:rPr>
              <w:t>4</w:t>
            </w:r>
          </w:p>
        </w:tc>
        <w:tc>
          <w:tcPr>
            <w:vAlign w:val="center"/>
          </w:tcPr>
          <w:p>
            <w:pPr>
              <w:jc w:val="center"/>
            </w:pPr>
            <w:r>
              <w:rPr>
                <w:color w:val="000000"/>
                <w:sz w:val="24"/>
                <w:szCs w:val="24"/>
              </w:rPr>
              <w:t>108601</w:t>
            </w:r>
          </w:p>
        </w:tc>
        <w:tc>
          <w:tcPr>
            <w:vAlign w:val="center"/>
          </w:tcPr>
          <w:p>
            <w:pPr>
              <w:jc w:val="center"/>
            </w:pPr>
            <w:r>
              <w:rPr>
                <w:color w:val="000000"/>
                <w:sz w:val="24"/>
                <w:szCs w:val="24"/>
              </w:rPr>
              <w:t>国开1703</w:t>
            </w:r>
          </w:p>
        </w:tc>
        <w:tc>
          <w:tcPr>
            <w:vAlign w:val="center"/>
          </w:tcPr>
          <w:p>
            <w:pPr>
              <w:jc w:val="right"/>
            </w:pPr>
            <w:r>
              <w:rPr>
                <w:color w:val="000000"/>
                <w:sz w:val="24"/>
                <w:szCs w:val="24"/>
              </w:rPr>
              <w:t>360,000</w:t>
            </w:r>
          </w:p>
        </w:tc>
        <w:tc>
          <w:tcPr>
            <w:vAlign w:val="center"/>
          </w:tcPr>
          <w:p>
            <w:pPr>
              <w:jc w:val="right"/>
            </w:pPr>
            <w:r>
              <w:rPr>
                <w:color w:val="000000"/>
                <w:sz w:val="24"/>
                <w:szCs w:val="24"/>
              </w:rPr>
              <w:t>35,928,000.00</w:t>
            </w:r>
          </w:p>
        </w:tc>
        <w:tc>
          <w:tcPr>
            <w:vAlign w:val="center"/>
          </w:tcPr>
          <w:p>
            <w:pPr>
              <w:jc w:val="right"/>
            </w:pPr>
            <w:r>
              <w:rPr>
                <w:color w:val="000000"/>
                <w:sz w:val="24"/>
                <w:szCs w:val="24"/>
              </w:rPr>
              <w:t>5.84</w:t>
            </w:r>
          </w:p>
        </w:tc>
      </w:tr>
      <w:tr>
        <w:tc>
          <w:tcPr>
            <w:vAlign w:val="center"/>
          </w:tcPr>
          <w:p>
            <w:pPr>
              <w:jc w:val="center"/>
            </w:pPr>
            <w:r>
              <w:rPr>
                <w:color w:val="000000"/>
                <w:sz w:val="24"/>
                <w:szCs w:val="24"/>
              </w:rPr>
              <w:t>5</w:t>
            </w:r>
          </w:p>
        </w:tc>
        <w:tc>
          <w:tcPr>
            <w:vAlign w:val="center"/>
          </w:tcPr>
          <w:p>
            <w:pPr>
              <w:jc w:val="center"/>
            </w:pPr>
            <w:r>
              <w:rPr>
                <w:color w:val="000000"/>
                <w:sz w:val="24"/>
                <w:szCs w:val="24"/>
              </w:rPr>
              <w:t>041751006</w:t>
            </w:r>
          </w:p>
        </w:tc>
        <w:tc>
          <w:tcPr>
            <w:vAlign w:val="center"/>
          </w:tcPr>
          <w:p>
            <w:pPr>
              <w:jc w:val="center"/>
            </w:pPr>
            <w:r>
              <w:rPr>
                <w:color w:val="000000"/>
                <w:sz w:val="24"/>
                <w:szCs w:val="24"/>
              </w:rPr>
              <w:t>17青海盐湖CP001</w:t>
            </w:r>
          </w:p>
        </w:tc>
        <w:tc>
          <w:tcPr>
            <w:vAlign w:val="center"/>
          </w:tcPr>
          <w:p>
            <w:pPr>
              <w:jc w:val="right"/>
            </w:pPr>
            <w:r>
              <w:rPr>
                <w:color w:val="000000"/>
                <w:sz w:val="24"/>
                <w:szCs w:val="24"/>
              </w:rPr>
              <w:t>200,000</w:t>
            </w:r>
          </w:p>
        </w:tc>
        <w:tc>
          <w:tcPr>
            <w:vAlign w:val="center"/>
          </w:tcPr>
          <w:p>
            <w:pPr>
              <w:jc w:val="right"/>
            </w:pPr>
            <w:r>
              <w:rPr>
                <w:color w:val="000000"/>
                <w:sz w:val="24"/>
                <w:szCs w:val="24"/>
              </w:rPr>
              <w:t>20,086,000.00</w:t>
            </w:r>
          </w:p>
        </w:tc>
        <w:tc>
          <w:tcPr>
            <w:vAlign w:val="center"/>
          </w:tcPr>
          <w:p>
            <w:pPr>
              <w:jc w:val="right"/>
            </w:pPr>
            <w:r>
              <w:rPr>
                <w:color w:val="000000"/>
                <w:sz w:val="24"/>
                <w:szCs w:val="24"/>
              </w:rPr>
              <w:t>3.26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5.11.1报告期内本基金投资的前十名证券的发行主体除17青海盐湖CP001（证券代码: 041751006）外，未出现被监管部门立案调查，或在报告编制日前一年内受到公开谴责、处罚的情形。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17青海盐湖CP001（证券代码:041751006）的发行主体盐湖股份于2016年12月22日公告，公司控股子公司青海盐湖海纳化工有限公司聚氯乙烯一体化项目日产2500吨水泥生产线电石渣库顶除尘器发生闪爆事故，于近日收到西宁市人民政府出具的《关于青海盐湖海纳化工有限公司2500t/d电石渣水泥生产线“9.18”闪爆较大生产安全事故结案的批复》（宁政[2016]213号）及事故调查组出具的《关于青海盐湖海纳化工有限公司2500t/d电石渣水泥生产线“9.18”闪爆较大生产安全事故调查报告》。据此，西宁市人民政府决定给予盐湖海纳100万元的行政处罚。</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21,760.83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283,052.99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6,833,381.85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7,138,195.67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595,064,033.95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80,176.31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25,728,982.68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569,415,227.58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299,816,401.20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299,816,401.20</w:t>
            </w:r>
          </w:p>
        </w:tc>
        <w:tc>
          <w:tcPr>
            <w:vAlign w:val="center"/>
          </w:tcPr>
          <w:p>
            <w:pPr>
              <w:jc w:val="center"/>
            </w:pPr>
            <w:r>
              <w:rPr>
                <w:rFonts w:ascii="宋体" w:hAnsi="宋体"/>
                <w:color w:val="000000"/>
                <w:kern w:val="0"/>
              </w:rPr>
              <w:t>52.65%</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249,500,000.00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249,500,000.00</w:t>
            </w:r>
          </w:p>
        </w:tc>
        <w:tc>
          <w:tcPr>
            <w:vAlign w:val="center"/>
          </w:tcPr>
          <w:p>
            <w:pPr>
              <w:jc w:val="center"/>
            </w:pPr>
            <w:r>
              <w:rPr>
                <w:rFonts w:ascii="宋体" w:hAnsi="宋体"/>
                <w:color w:val="000000"/>
                <w:kern w:val="0"/>
              </w:rPr>
              <w:t>43.82%</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3C50AD" w:rsidRPr="004F4D27" w:rsidTr="00424D30">
        <w:tc>
          <w:tcPr>
            <w:tcW w:w="9212" w:type="dxa"/>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w="9212" w:type="dxa"/>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1、中国证监会准予交银施罗德领先回报灵活配置混合型证券投资基金募集注册的文件； </w:t>
      </w:r>
    </w:p>
    <w:p>
      <w:pPr>
        <w:spacing w:before="29" w:line="288" w:lineRule="auto"/>
        <w:ind w:firstLineChars="200" w:firstLine="480"/>
        <w:rPr>
          <w:color w:val="000000"/>
          <w:sz w:val="24"/>
          <w:szCs w:val="24"/>
        </w:rPr>
      </w:pPr>
      <w:r>
        <w:rPr>
          <w:color w:val="000000"/>
          <w:sz w:val="24"/>
          <w:szCs w:val="24"/>
        </w:rPr>
        <w:t xml:space="preserve">2、《交银施罗德领先回报灵活配置混合型证券投资基金基金合同》；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3、《交银施罗德领先回报灵活配置混合型证券投资基金招募说明书》；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4、《交银施罗德领先回报灵活配置混合型证券投资基金托管协议》； </w:t>
      </w:r>
    </w:p>
    <w:p>
      <w:pPr>
        <w:spacing w:before="29" w:line="288" w:lineRule="auto"/>
        <w:ind w:firstLineChars="200" w:firstLine="480"/>
        <w:rPr>
          <w:color w:val="000000"/>
          <w:sz w:val="24"/>
          <w:szCs w:val="24"/>
        </w:rPr>
      </w:pPr>
      <w:r>
        <w:rPr>
          <w:color w:val="000000"/>
          <w:sz w:val="24"/>
          <w:szCs w:val="24"/>
        </w:rPr>
        <w:t xml:space="preserve">5、关于申请募集注册交银施罗德领先回报灵活配置混合型证券投资基金的法律意见书；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