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交银施罗德荣鑫保本混合型证券投资基金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基金托管人：中国民生银行股份有限公司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二〇一七年十月二十五日</w:t>
      </w:r>
    </w:p>
    <w:p w:rsidR="004061AC" w:rsidRPr="00414345" w:rsidRDefault="004061AC" w:rsidP="00964E1D">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C47F6" w:rsidRDefault="00964E1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C47F6" w:rsidRDefault="00964E1D">
      <w:pPr>
        <w:spacing w:before="29" w:line="288" w:lineRule="auto"/>
        <w:ind w:firstLineChars="200" w:firstLine="480"/>
        <w:rPr>
          <w:color w:val="000000"/>
          <w:sz w:val="24"/>
          <w:szCs w:val="24"/>
        </w:rPr>
      </w:pPr>
      <w:r>
        <w:rPr>
          <w:color w:val="000000"/>
          <w:sz w:val="24"/>
          <w:szCs w:val="24"/>
        </w:rPr>
        <w:t>基金托管人中国民生银行股份有限公司根据本基金合同规定，于</w:t>
      </w:r>
      <w:r>
        <w:rPr>
          <w:color w:val="000000"/>
          <w:sz w:val="24"/>
          <w:szCs w:val="24"/>
        </w:rPr>
        <w:t>2017</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C47F6" w:rsidRDefault="00964E1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C47F6" w:rsidRDefault="00964E1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C47F6" w:rsidRDefault="00964E1D">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964E1D">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交银荣鑫保本混合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519766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519766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753,433,453.48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本基金通过运用投资组合保险技术，有效控制本金损失的风险，在追求保本周期到期时本金安全的基础上，力争实现基金资产的稳定增值。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）原理，动态调整固定收益类资产与权益类资产在基金组合中的投资比例，以确保本基金在保本周期到期时的本金安全，并实现基金资产在保本基础上的保值增值目的。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本基金是一只保本混合型基金，在证券投资基金中属于低风险品种。其风险和预期收益低于股票型基金和非保本的混合型基金，高于货币市场基金和债券型基</w:t>
            </w:r>
            <w:r w:rsidRPr="00414345">
              <w:rPr>
                <w:color w:val="000000"/>
                <w:kern w:val="0"/>
                <w:sz w:val="24"/>
                <w:szCs w:val="24"/>
              </w:rPr>
              <w:lastRenderedPageBreak/>
              <w:t>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964E1D">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64E1D" w:rsidRPr="00414345" w:rsidTr="00964E1D">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964E1D" w:rsidRPr="00414345" w:rsidTr="00964E1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5,056,865.09</w:t>
            </w:r>
          </w:p>
        </w:tc>
      </w:tr>
      <w:tr w:rsidR="00964E1D" w:rsidRPr="00414345" w:rsidTr="00964E1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5,106,242.43</w:t>
            </w:r>
          </w:p>
        </w:tc>
      </w:tr>
      <w:tr w:rsidR="00964E1D" w:rsidRPr="00414345" w:rsidTr="00964E1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0.0065</w:t>
            </w:r>
          </w:p>
        </w:tc>
      </w:tr>
      <w:tr w:rsidR="00964E1D" w:rsidRPr="00414345" w:rsidTr="00964E1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767,757,840.84</w:t>
            </w:r>
          </w:p>
        </w:tc>
      </w:tr>
      <w:tr w:rsidR="00964E1D" w:rsidRPr="00414345" w:rsidTr="00964E1D">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1.019</w:t>
            </w:r>
          </w:p>
        </w:tc>
      </w:tr>
    </w:tbl>
    <w:p w:rsidR="00EC47F6" w:rsidRDefault="00964E1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C47F6">
        <w:trPr>
          <w:jc w:val="center"/>
        </w:trPr>
        <w:tc>
          <w:tcPr>
            <w:tcW w:w="1701" w:type="dxa"/>
            <w:vAlign w:val="center"/>
          </w:tcPr>
          <w:p w:rsidR="00EC47F6" w:rsidRDefault="00964E1D">
            <w:pPr>
              <w:jc w:val="left"/>
            </w:pPr>
            <w:r>
              <w:rPr>
                <w:color w:val="000000"/>
                <w:sz w:val="24"/>
                <w:szCs w:val="24"/>
              </w:rPr>
              <w:t>过去三个月</w:t>
            </w:r>
          </w:p>
        </w:tc>
        <w:tc>
          <w:tcPr>
            <w:tcW w:w="1045" w:type="dxa"/>
            <w:vAlign w:val="center"/>
          </w:tcPr>
          <w:p w:rsidR="00EC47F6" w:rsidRDefault="00964E1D">
            <w:pPr>
              <w:jc w:val="center"/>
            </w:pPr>
            <w:r>
              <w:rPr>
                <w:color w:val="000000"/>
                <w:sz w:val="24"/>
                <w:szCs w:val="24"/>
              </w:rPr>
              <w:t>0.59%</w:t>
            </w:r>
          </w:p>
        </w:tc>
        <w:tc>
          <w:tcPr>
            <w:tcW w:w="1344" w:type="dxa"/>
            <w:vAlign w:val="center"/>
          </w:tcPr>
          <w:p w:rsidR="00EC47F6" w:rsidRDefault="00964E1D">
            <w:pPr>
              <w:jc w:val="center"/>
            </w:pPr>
            <w:r>
              <w:rPr>
                <w:color w:val="000000"/>
                <w:sz w:val="24"/>
                <w:szCs w:val="24"/>
              </w:rPr>
              <w:t>0.05%</w:t>
            </w:r>
          </w:p>
        </w:tc>
        <w:tc>
          <w:tcPr>
            <w:tcW w:w="1194" w:type="dxa"/>
            <w:vAlign w:val="center"/>
          </w:tcPr>
          <w:p w:rsidR="00EC47F6" w:rsidRDefault="00964E1D">
            <w:pPr>
              <w:jc w:val="center"/>
            </w:pPr>
            <w:r>
              <w:rPr>
                <w:color w:val="000000"/>
                <w:sz w:val="24"/>
                <w:szCs w:val="24"/>
              </w:rPr>
              <w:t>0.70%</w:t>
            </w:r>
          </w:p>
        </w:tc>
        <w:tc>
          <w:tcPr>
            <w:tcW w:w="1492" w:type="dxa"/>
            <w:vAlign w:val="center"/>
          </w:tcPr>
          <w:p w:rsidR="00EC47F6" w:rsidRDefault="00964E1D">
            <w:pPr>
              <w:jc w:val="center"/>
            </w:pPr>
            <w:r>
              <w:rPr>
                <w:color w:val="000000"/>
                <w:sz w:val="24"/>
                <w:szCs w:val="24"/>
              </w:rPr>
              <w:t>0.01%</w:t>
            </w:r>
          </w:p>
        </w:tc>
        <w:tc>
          <w:tcPr>
            <w:tcW w:w="1194" w:type="dxa"/>
            <w:vAlign w:val="center"/>
          </w:tcPr>
          <w:p w:rsidR="00EC47F6" w:rsidRDefault="00964E1D">
            <w:pPr>
              <w:jc w:val="center"/>
            </w:pPr>
            <w:r>
              <w:rPr>
                <w:color w:val="000000"/>
                <w:sz w:val="24"/>
                <w:szCs w:val="24"/>
              </w:rPr>
              <w:t>-0.11%</w:t>
            </w:r>
          </w:p>
        </w:tc>
        <w:tc>
          <w:tcPr>
            <w:tcW w:w="898" w:type="dxa"/>
            <w:vAlign w:val="center"/>
          </w:tcPr>
          <w:p w:rsidR="00EC47F6" w:rsidRDefault="00964E1D">
            <w:pPr>
              <w:jc w:val="center"/>
            </w:pPr>
            <w:r>
              <w:rPr>
                <w:color w:val="000000"/>
                <w:sz w:val="24"/>
                <w:szCs w:val="24"/>
              </w:rPr>
              <w:t>0.04%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交银施罗德荣鑫保本混合型证券投资基金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964E1D">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C47F6">
        <w:trPr>
          <w:jc w:val="center"/>
        </w:trPr>
        <w:tc>
          <w:tcPr>
            <w:tcW w:w="846" w:type="dxa"/>
            <w:vAlign w:val="center"/>
          </w:tcPr>
          <w:p w:rsidR="00EC47F6" w:rsidRDefault="00964E1D">
            <w:pPr>
              <w:jc w:val="center"/>
            </w:pPr>
            <w:r>
              <w:rPr>
                <w:color w:val="000000"/>
                <w:sz w:val="24"/>
                <w:szCs w:val="24"/>
              </w:rPr>
              <w:t>于海颖</w:t>
            </w:r>
          </w:p>
        </w:tc>
        <w:tc>
          <w:tcPr>
            <w:tcW w:w="845" w:type="dxa"/>
            <w:vAlign w:val="center"/>
          </w:tcPr>
          <w:p w:rsidR="00EC47F6" w:rsidRDefault="00964E1D">
            <w:pPr>
              <w:jc w:val="center"/>
            </w:pPr>
            <w:r>
              <w:rPr>
                <w:color w:val="000000"/>
                <w:sz w:val="24"/>
                <w:szCs w:val="24"/>
              </w:rPr>
              <w:t>交银增利债券、交银纯债债券发起、交银荣祥保本混合、交银定期支付月月</w:t>
            </w:r>
            <w:r>
              <w:rPr>
                <w:color w:val="000000"/>
                <w:sz w:val="24"/>
                <w:szCs w:val="24"/>
              </w:rPr>
              <w:lastRenderedPageBreak/>
              <w:t>丰债券、交银增强收益债券、交银强化回报债券、交银丰盈收益债券、交银丰硕收益债券、交银荣鑫保本混合、交银增利增强债券的基金经理，公司固定收益（公募）投资总监</w:t>
            </w:r>
          </w:p>
        </w:tc>
        <w:tc>
          <w:tcPr>
            <w:tcW w:w="1549" w:type="dxa"/>
            <w:vAlign w:val="center"/>
          </w:tcPr>
          <w:p w:rsidR="00EC47F6" w:rsidRDefault="00964E1D">
            <w:pPr>
              <w:jc w:val="center"/>
            </w:pPr>
            <w:r>
              <w:rPr>
                <w:color w:val="000000"/>
                <w:sz w:val="24"/>
                <w:szCs w:val="24"/>
              </w:rPr>
              <w:lastRenderedPageBreak/>
              <w:t>2017-06-10</w:t>
            </w:r>
          </w:p>
        </w:tc>
        <w:tc>
          <w:tcPr>
            <w:tcW w:w="1548" w:type="dxa"/>
            <w:vAlign w:val="center"/>
          </w:tcPr>
          <w:p w:rsidR="00EC47F6" w:rsidRDefault="00964E1D">
            <w:pPr>
              <w:jc w:val="center"/>
            </w:pPr>
            <w:r>
              <w:rPr>
                <w:color w:val="000000"/>
                <w:sz w:val="24"/>
                <w:szCs w:val="24"/>
              </w:rPr>
              <w:t>-</w:t>
            </w:r>
          </w:p>
        </w:tc>
        <w:tc>
          <w:tcPr>
            <w:tcW w:w="1407" w:type="dxa"/>
            <w:vAlign w:val="center"/>
          </w:tcPr>
          <w:p w:rsidR="00EC47F6" w:rsidRDefault="00964E1D">
            <w:pPr>
              <w:jc w:val="center"/>
            </w:pPr>
            <w:r>
              <w:rPr>
                <w:color w:val="000000"/>
                <w:sz w:val="24"/>
                <w:szCs w:val="24"/>
              </w:rPr>
              <w:t>11</w:t>
            </w:r>
            <w:r>
              <w:rPr>
                <w:color w:val="000000"/>
                <w:sz w:val="24"/>
                <w:szCs w:val="24"/>
              </w:rPr>
              <w:t>年</w:t>
            </w:r>
          </w:p>
        </w:tc>
        <w:tc>
          <w:tcPr>
            <w:tcW w:w="2673" w:type="dxa"/>
            <w:vAlign w:val="center"/>
          </w:tcPr>
          <w:p w:rsidR="00EC47F6" w:rsidRDefault="00964E1D">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日任光大保德信货币市场基金基金经</w:t>
            </w:r>
            <w:r>
              <w:rPr>
                <w:color w:val="000000"/>
                <w:sz w:val="24"/>
                <w:szCs w:val="24"/>
              </w:rPr>
              <w:lastRenderedPageBreak/>
              <w:t>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日任光大保德信增利收益债券型证券投资基金基金经理，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日任银华永祥保本混合型证券投资基金基金经理，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日任银华货币市场证券投资基金基金经理，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日任银华纯债信用主题债券型证券投资基金（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日任银华交易型货币市场基金基金经理，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日任银华信用四季红债券型证券投资基金基金经理，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日任银华信用季季红债券型证券投资基金基金经理，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C47F6" w:rsidRDefault="00964E1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C47F6" w:rsidRDefault="00964E1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C47F6" w:rsidRDefault="00964E1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C47F6" w:rsidRDefault="00964E1D">
      <w:pPr>
        <w:spacing w:before="29" w:line="288" w:lineRule="auto"/>
        <w:ind w:firstLineChars="200" w:firstLine="480"/>
        <w:rPr>
          <w:color w:val="000000"/>
          <w:sz w:val="24"/>
          <w:szCs w:val="24"/>
        </w:rPr>
      </w:pPr>
      <w:r>
        <w:rPr>
          <w:color w:val="000000"/>
          <w:sz w:val="24"/>
          <w:szCs w:val="24"/>
        </w:rPr>
        <w:t>本报告期内，供给侧改革继续推进、环保限产趋严带来了工业品价格的剧烈波动，引发了市场对经济增长预期和通胀预期的变化。货币政策维持中性，在超储率位于低位的情况下，伴随着缴准、缴税等时点资金面不时出现紧张局面，非银机构融资成本上升。美元指数大幅走低，人民币升值明显，但外汇占款依然维持流出状态。在国内外多重因素的影响下，报告期内债券市场收益率震荡走高。</w:t>
      </w:r>
    </w:p>
    <w:p w:rsidR="00EC47F6" w:rsidRDefault="00964E1D">
      <w:pPr>
        <w:spacing w:before="29" w:line="288" w:lineRule="auto"/>
        <w:ind w:firstLineChars="200" w:firstLine="480"/>
        <w:rPr>
          <w:color w:val="000000"/>
          <w:sz w:val="24"/>
          <w:szCs w:val="24"/>
        </w:rPr>
      </w:pPr>
      <w:r>
        <w:rPr>
          <w:color w:val="000000"/>
          <w:sz w:val="24"/>
          <w:szCs w:val="24"/>
        </w:rPr>
        <w:t>权益市场方面，尽管监管层对流动性态度由支持转为中性，但经济超预期，叠加政策对创业板缓和带来的市场风险偏好提升，导致</w:t>
      </w:r>
      <w:r>
        <w:rPr>
          <w:color w:val="000000"/>
          <w:sz w:val="24"/>
          <w:szCs w:val="24"/>
        </w:rPr>
        <w:t>A</w:t>
      </w:r>
      <w:r>
        <w:rPr>
          <w:color w:val="000000"/>
          <w:sz w:val="24"/>
          <w:szCs w:val="24"/>
        </w:rPr>
        <w:t>股市场持续走强。板块方面，经济基本面及供给侧改革引领钢铁、有色及煤炭板块成为七月带动市场的龙头。证金公司对创业板的增持提升市场的风险偏好，令以计算机代表的创业板八月领涨市场。九月指数延续上行，强周期叠加板块轮动成为市场上行的驱动力。主题层面，新能源汽车、苹果、半导体、人工智能等主题表现亮眼。</w:t>
      </w:r>
    </w:p>
    <w:p w:rsidR="00EC47F6" w:rsidRDefault="00964E1D">
      <w:pPr>
        <w:spacing w:before="29" w:line="288" w:lineRule="auto"/>
        <w:ind w:firstLineChars="200" w:firstLine="480"/>
        <w:rPr>
          <w:color w:val="000000"/>
          <w:sz w:val="24"/>
          <w:szCs w:val="24"/>
        </w:rPr>
      </w:pPr>
      <w:r>
        <w:rPr>
          <w:color w:val="000000"/>
          <w:sz w:val="24"/>
          <w:szCs w:val="24"/>
        </w:rPr>
        <w:lastRenderedPageBreak/>
        <w:t>本报告期内，本基金在</w:t>
      </w:r>
      <w:r>
        <w:rPr>
          <w:color w:val="000000"/>
          <w:sz w:val="24"/>
          <w:szCs w:val="24"/>
        </w:rPr>
        <w:t>CPPI</w:t>
      </w:r>
      <w:r>
        <w:rPr>
          <w:color w:val="000000"/>
          <w:sz w:val="24"/>
          <w:szCs w:val="24"/>
        </w:rPr>
        <w:t>管理框架的基础上，对组合持仓进行进一步优化，同时从组合保本剩余期限角度出发，匹配和保本剩余期限相匹配的资产，提升组合静态收益，积累安全垫。同时，考虑本组合仍在安全垫积累阶段，本报告期对于权益类资产操作相对谨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经济基本面会对债市形成一定支撑，上半年需求较强的房地产、基建和出口均显出一定的疲态，我们预计这些因素将带动名义增速逐步下行，但是监管政策仍未落地、通胀预期升温、海外货币政策紧缩等因素对债券市场仍然存在制约，我们判断债券收益率或将震荡下行。我们将继续做好组合的久期匹配工作，同时动态进行组合持仓调整，积累安全垫，并将结合安全垫的情况以及宏观及监管政策的变化动态优化资产配置，下一步将根据安全垫的情况和转债市场的供给情况，择优进行可转债资产的配置。权益方面，四季度是供给侧改革落地的高峰时段，也是需求旺季，</w:t>
      </w:r>
      <w:r w:rsidRPr="00414345">
        <w:rPr>
          <w:color w:val="000000"/>
          <w:sz w:val="24"/>
          <w:szCs w:val="24"/>
        </w:rPr>
        <w:t>2017</w:t>
      </w:r>
      <w:r w:rsidRPr="00414345">
        <w:rPr>
          <w:color w:val="000000"/>
          <w:sz w:val="24"/>
          <w:szCs w:val="24"/>
        </w:rPr>
        <w:t>年四季度我们还将重点关注代表着未来新兴产业升级与发展方向的成长股，并结合组合安全垫的情况动态进行权益资产的配置。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w:t>
      </w:r>
      <w:r w:rsidRPr="00414345">
        <w:rPr>
          <w:color w:val="000000"/>
          <w:sz w:val="24"/>
          <w:szCs w:val="24"/>
        </w:rPr>
        <w:t>1.019</w:t>
      </w:r>
      <w:r w:rsidRPr="00414345">
        <w:rPr>
          <w:color w:val="000000"/>
          <w:sz w:val="24"/>
          <w:szCs w:val="24"/>
        </w:rPr>
        <w:t>元，本报告期份额净值增长率为</w:t>
      </w:r>
      <w:r w:rsidRPr="00414345">
        <w:rPr>
          <w:color w:val="000000"/>
          <w:sz w:val="24"/>
          <w:szCs w:val="24"/>
        </w:rPr>
        <w:t>0.59%</w:t>
      </w:r>
      <w:r w:rsidRPr="00414345">
        <w:rPr>
          <w:color w:val="000000"/>
          <w:sz w:val="24"/>
          <w:szCs w:val="24"/>
        </w:rPr>
        <w:t>，同期业绩比较基准增长率为</w:t>
      </w:r>
      <w:r w:rsidRPr="00414345">
        <w:rPr>
          <w:color w:val="000000"/>
          <w:sz w:val="24"/>
          <w:szCs w:val="24"/>
        </w:rPr>
        <w:t>0.70%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964E1D">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1,139,768,075.80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97.37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1,139,768,075.80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97.37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15,717,976.51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1.34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15,036,776.45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1,170,522,828.76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2F14B9" w:rsidRDefault="002F14B9"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2F14B9">
        <w:rPr>
          <w:rFonts w:eastAsiaTheme="minorEastAsia"/>
          <w:b/>
          <w:bCs/>
          <w:color w:val="000000" w:themeColor="text1"/>
          <w:kern w:val="0"/>
          <w:sz w:val="24"/>
        </w:rPr>
        <w:t>5.2.2</w:t>
      </w:r>
      <w:r w:rsidRPr="008A409E">
        <w:rPr>
          <w:rFonts w:asciiTheme="minorEastAsia" w:eastAsiaTheme="minorEastAsia" w:hAnsiTheme="minorEastAsia" w:hint="eastAsia"/>
          <w:b/>
          <w:bCs/>
          <w:color w:val="000000" w:themeColor="text1"/>
          <w:kern w:val="0"/>
          <w:sz w:val="24"/>
        </w:rPr>
        <w:t>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39,920,000.00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39,920,000.00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131,901,000.00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17.18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170,256,000.00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22.18</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4,957,075.80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0.65</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792,734,000.00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103.25</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1,139,768,075.80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148.45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EC47F6">
        <w:trPr>
          <w:jc w:val="center"/>
        </w:trPr>
        <w:tc>
          <w:tcPr>
            <w:tcW w:w="850" w:type="dxa"/>
            <w:vAlign w:val="center"/>
          </w:tcPr>
          <w:p w:rsidR="00EC47F6" w:rsidRDefault="00964E1D">
            <w:pPr>
              <w:jc w:val="center"/>
            </w:pPr>
            <w:r>
              <w:rPr>
                <w:color w:val="000000"/>
                <w:sz w:val="24"/>
                <w:szCs w:val="24"/>
              </w:rPr>
              <w:t>1</w:t>
            </w:r>
          </w:p>
        </w:tc>
        <w:tc>
          <w:tcPr>
            <w:tcW w:w="1475" w:type="dxa"/>
            <w:vAlign w:val="center"/>
          </w:tcPr>
          <w:p w:rsidR="00EC47F6" w:rsidRDefault="00964E1D">
            <w:pPr>
              <w:jc w:val="center"/>
            </w:pPr>
            <w:r>
              <w:rPr>
                <w:color w:val="000000"/>
                <w:sz w:val="24"/>
                <w:szCs w:val="24"/>
              </w:rPr>
              <w:t>111793684</w:t>
            </w:r>
          </w:p>
        </w:tc>
        <w:tc>
          <w:tcPr>
            <w:tcW w:w="1769" w:type="dxa"/>
            <w:vAlign w:val="center"/>
          </w:tcPr>
          <w:p w:rsidR="00EC47F6" w:rsidRDefault="00964E1D">
            <w:pPr>
              <w:jc w:val="center"/>
            </w:pPr>
            <w:r>
              <w:rPr>
                <w:color w:val="000000"/>
                <w:sz w:val="24"/>
                <w:szCs w:val="24"/>
              </w:rPr>
              <w:t>17</w:t>
            </w:r>
            <w:r>
              <w:rPr>
                <w:color w:val="000000"/>
                <w:sz w:val="24"/>
                <w:szCs w:val="24"/>
              </w:rPr>
              <w:t>南京银行</w:t>
            </w:r>
            <w:r>
              <w:rPr>
                <w:color w:val="000000"/>
                <w:sz w:val="24"/>
                <w:szCs w:val="24"/>
              </w:rPr>
              <w:lastRenderedPageBreak/>
              <w:t>CD048</w:t>
            </w:r>
          </w:p>
        </w:tc>
        <w:tc>
          <w:tcPr>
            <w:tcW w:w="1387" w:type="dxa"/>
            <w:vAlign w:val="center"/>
          </w:tcPr>
          <w:p w:rsidR="00EC47F6" w:rsidRDefault="00964E1D">
            <w:pPr>
              <w:jc w:val="right"/>
            </w:pPr>
            <w:r>
              <w:rPr>
                <w:color w:val="000000"/>
                <w:sz w:val="24"/>
                <w:szCs w:val="24"/>
              </w:rPr>
              <w:lastRenderedPageBreak/>
              <w:t>1,000,000</w:t>
            </w:r>
          </w:p>
        </w:tc>
        <w:tc>
          <w:tcPr>
            <w:tcW w:w="2150" w:type="dxa"/>
            <w:vAlign w:val="center"/>
          </w:tcPr>
          <w:p w:rsidR="00EC47F6" w:rsidRDefault="00964E1D">
            <w:pPr>
              <w:jc w:val="right"/>
            </w:pPr>
            <w:r>
              <w:rPr>
                <w:color w:val="000000"/>
                <w:sz w:val="24"/>
                <w:szCs w:val="24"/>
              </w:rPr>
              <w:t>95,620,000.00</w:t>
            </w:r>
          </w:p>
        </w:tc>
        <w:tc>
          <w:tcPr>
            <w:tcW w:w="1237" w:type="dxa"/>
            <w:vAlign w:val="center"/>
          </w:tcPr>
          <w:p w:rsidR="00EC47F6" w:rsidRDefault="00964E1D">
            <w:pPr>
              <w:jc w:val="right"/>
            </w:pPr>
            <w:r>
              <w:rPr>
                <w:color w:val="000000"/>
                <w:sz w:val="24"/>
                <w:szCs w:val="24"/>
              </w:rPr>
              <w:t>12.45</w:t>
            </w:r>
          </w:p>
        </w:tc>
      </w:tr>
      <w:tr w:rsidR="00EC47F6">
        <w:trPr>
          <w:jc w:val="center"/>
        </w:trPr>
        <w:tc>
          <w:tcPr>
            <w:tcW w:w="850" w:type="dxa"/>
            <w:vAlign w:val="center"/>
          </w:tcPr>
          <w:p w:rsidR="00EC47F6" w:rsidRDefault="00964E1D">
            <w:pPr>
              <w:jc w:val="center"/>
            </w:pPr>
            <w:r>
              <w:rPr>
                <w:color w:val="000000"/>
                <w:sz w:val="24"/>
                <w:szCs w:val="24"/>
              </w:rPr>
              <w:lastRenderedPageBreak/>
              <w:t>2</w:t>
            </w:r>
          </w:p>
        </w:tc>
        <w:tc>
          <w:tcPr>
            <w:tcW w:w="1475" w:type="dxa"/>
            <w:vAlign w:val="center"/>
          </w:tcPr>
          <w:p w:rsidR="00EC47F6" w:rsidRDefault="00964E1D">
            <w:pPr>
              <w:jc w:val="center"/>
            </w:pPr>
            <w:r>
              <w:rPr>
                <w:color w:val="000000"/>
                <w:sz w:val="24"/>
                <w:szCs w:val="24"/>
              </w:rPr>
              <w:t>111712212</w:t>
            </w:r>
          </w:p>
        </w:tc>
        <w:tc>
          <w:tcPr>
            <w:tcW w:w="1769" w:type="dxa"/>
            <w:vAlign w:val="center"/>
          </w:tcPr>
          <w:p w:rsidR="00EC47F6" w:rsidRDefault="00964E1D">
            <w:pPr>
              <w:jc w:val="center"/>
            </w:pPr>
            <w:r>
              <w:rPr>
                <w:color w:val="000000"/>
                <w:sz w:val="24"/>
                <w:szCs w:val="24"/>
              </w:rPr>
              <w:t>17</w:t>
            </w:r>
            <w:r>
              <w:rPr>
                <w:color w:val="000000"/>
                <w:sz w:val="24"/>
                <w:szCs w:val="24"/>
              </w:rPr>
              <w:t>北京银行</w:t>
            </w:r>
            <w:r>
              <w:rPr>
                <w:color w:val="000000"/>
                <w:sz w:val="24"/>
                <w:szCs w:val="24"/>
              </w:rPr>
              <w:t>CD212</w:t>
            </w:r>
          </w:p>
        </w:tc>
        <w:tc>
          <w:tcPr>
            <w:tcW w:w="1387" w:type="dxa"/>
            <w:vAlign w:val="center"/>
          </w:tcPr>
          <w:p w:rsidR="00EC47F6" w:rsidRDefault="00964E1D">
            <w:pPr>
              <w:jc w:val="right"/>
            </w:pPr>
            <w:r>
              <w:rPr>
                <w:color w:val="000000"/>
                <w:sz w:val="24"/>
                <w:szCs w:val="24"/>
              </w:rPr>
              <w:t>1,000,000</w:t>
            </w:r>
          </w:p>
        </w:tc>
        <w:tc>
          <w:tcPr>
            <w:tcW w:w="2150" w:type="dxa"/>
            <w:vAlign w:val="center"/>
          </w:tcPr>
          <w:p w:rsidR="00EC47F6" w:rsidRDefault="00964E1D">
            <w:pPr>
              <w:jc w:val="right"/>
            </w:pPr>
            <w:r>
              <w:rPr>
                <w:color w:val="000000"/>
                <w:sz w:val="24"/>
                <w:szCs w:val="24"/>
              </w:rPr>
              <w:t>95,550,000.00</w:t>
            </w:r>
          </w:p>
        </w:tc>
        <w:tc>
          <w:tcPr>
            <w:tcW w:w="1237" w:type="dxa"/>
            <w:vAlign w:val="center"/>
          </w:tcPr>
          <w:p w:rsidR="00EC47F6" w:rsidRDefault="00964E1D">
            <w:pPr>
              <w:jc w:val="right"/>
            </w:pPr>
            <w:r>
              <w:rPr>
                <w:color w:val="000000"/>
                <w:sz w:val="24"/>
                <w:szCs w:val="24"/>
              </w:rPr>
              <w:t>12.45</w:t>
            </w:r>
          </w:p>
        </w:tc>
      </w:tr>
      <w:tr w:rsidR="00EC47F6">
        <w:trPr>
          <w:jc w:val="center"/>
        </w:trPr>
        <w:tc>
          <w:tcPr>
            <w:tcW w:w="850" w:type="dxa"/>
            <w:vAlign w:val="center"/>
          </w:tcPr>
          <w:p w:rsidR="00EC47F6" w:rsidRDefault="00964E1D">
            <w:pPr>
              <w:jc w:val="center"/>
            </w:pPr>
            <w:r>
              <w:rPr>
                <w:color w:val="000000"/>
                <w:sz w:val="24"/>
                <w:szCs w:val="24"/>
              </w:rPr>
              <w:t>3</w:t>
            </w:r>
          </w:p>
        </w:tc>
        <w:tc>
          <w:tcPr>
            <w:tcW w:w="1475" w:type="dxa"/>
            <w:vAlign w:val="center"/>
          </w:tcPr>
          <w:p w:rsidR="00EC47F6" w:rsidRDefault="00964E1D">
            <w:pPr>
              <w:jc w:val="center"/>
            </w:pPr>
            <w:r>
              <w:rPr>
                <w:color w:val="000000"/>
                <w:sz w:val="24"/>
                <w:szCs w:val="24"/>
              </w:rPr>
              <w:t>111709231</w:t>
            </w:r>
          </w:p>
        </w:tc>
        <w:tc>
          <w:tcPr>
            <w:tcW w:w="1769" w:type="dxa"/>
            <w:vAlign w:val="center"/>
          </w:tcPr>
          <w:p w:rsidR="00EC47F6" w:rsidRDefault="00964E1D">
            <w:pPr>
              <w:jc w:val="center"/>
            </w:pPr>
            <w:r>
              <w:rPr>
                <w:color w:val="000000"/>
                <w:sz w:val="24"/>
                <w:szCs w:val="24"/>
              </w:rPr>
              <w:t>17</w:t>
            </w:r>
            <w:r>
              <w:rPr>
                <w:color w:val="000000"/>
                <w:sz w:val="24"/>
                <w:szCs w:val="24"/>
              </w:rPr>
              <w:t>浦发银行</w:t>
            </w:r>
            <w:r>
              <w:rPr>
                <w:color w:val="000000"/>
                <w:sz w:val="24"/>
                <w:szCs w:val="24"/>
              </w:rPr>
              <w:t>CD231</w:t>
            </w:r>
          </w:p>
        </w:tc>
        <w:tc>
          <w:tcPr>
            <w:tcW w:w="1387" w:type="dxa"/>
            <w:vAlign w:val="center"/>
          </w:tcPr>
          <w:p w:rsidR="00EC47F6" w:rsidRDefault="00964E1D">
            <w:pPr>
              <w:jc w:val="right"/>
            </w:pPr>
            <w:r>
              <w:rPr>
                <w:color w:val="000000"/>
                <w:sz w:val="24"/>
                <w:szCs w:val="24"/>
              </w:rPr>
              <w:t>1,000,000</w:t>
            </w:r>
          </w:p>
        </w:tc>
        <w:tc>
          <w:tcPr>
            <w:tcW w:w="2150" w:type="dxa"/>
            <w:vAlign w:val="center"/>
          </w:tcPr>
          <w:p w:rsidR="00EC47F6" w:rsidRDefault="00964E1D">
            <w:pPr>
              <w:jc w:val="right"/>
            </w:pPr>
            <w:r>
              <w:rPr>
                <w:color w:val="000000"/>
                <w:sz w:val="24"/>
                <w:szCs w:val="24"/>
              </w:rPr>
              <w:t>95,490,000.00</w:t>
            </w:r>
          </w:p>
        </w:tc>
        <w:tc>
          <w:tcPr>
            <w:tcW w:w="1237" w:type="dxa"/>
            <w:vAlign w:val="center"/>
          </w:tcPr>
          <w:p w:rsidR="00EC47F6" w:rsidRDefault="00964E1D">
            <w:pPr>
              <w:jc w:val="right"/>
            </w:pPr>
            <w:r>
              <w:rPr>
                <w:color w:val="000000"/>
                <w:sz w:val="24"/>
                <w:szCs w:val="24"/>
              </w:rPr>
              <w:t>12.44</w:t>
            </w:r>
          </w:p>
        </w:tc>
      </w:tr>
      <w:tr w:rsidR="00EC47F6">
        <w:trPr>
          <w:jc w:val="center"/>
        </w:trPr>
        <w:tc>
          <w:tcPr>
            <w:tcW w:w="850" w:type="dxa"/>
            <w:vAlign w:val="center"/>
          </w:tcPr>
          <w:p w:rsidR="00EC47F6" w:rsidRDefault="00964E1D">
            <w:pPr>
              <w:jc w:val="center"/>
            </w:pPr>
            <w:r>
              <w:rPr>
                <w:color w:val="000000"/>
                <w:sz w:val="24"/>
                <w:szCs w:val="24"/>
              </w:rPr>
              <w:t>4</w:t>
            </w:r>
          </w:p>
        </w:tc>
        <w:tc>
          <w:tcPr>
            <w:tcW w:w="1475" w:type="dxa"/>
            <w:vAlign w:val="center"/>
          </w:tcPr>
          <w:p w:rsidR="00EC47F6" w:rsidRDefault="00964E1D">
            <w:pPr>
              <w:jc w:val="center"/>
            </w:pPr>
            <w:r>
              <w:rPr>
                <w:color w:val="000000"/>
                <w:sz w:val="24"/>
                <w:szCs w:val="24"/>
              </w:rPr>
              <w:t>111711238</w:t>
            </w:r>
          </w:p>
        </w:tc>
        <w:tc>
          <w:tcPr>
            <w:tcW w:w="1769" w:type="dxa"/>
            <w:vAlign w:val="center"/>
          </w:tcPr>
          <w:p w:rsidR="00EC47F6" w:rsidRDefault="00964E1D">
            <w:pPr>
              <w:jc w:val="center"/>
            </w:pPr>
            <w:r>
              <w:rPr>
                <w:color w:val="000000"/>
                <w:sz w:val="24"/>
                <w:szCs w:val="24"/>
              </w:rPr>
              <w:t>17</w:t>
            </w:r>
            <w:r>
              <w:rPr>
                <w:color w:val="000000"/>
                <w:sz w:val="24"/>
                <w:szCs w:val="24"/>
              </w:rPr>
              <w:t>平安银行</w:t>
            </w:r>
            <w:r>
              <w:rPr>
                <w:color w:val="000000"/>
                <w:sz w:val="24"/>
                <w:szCs w:val="24"/>
              </w:rPr>
              <w:t>CD238</w:t>
            </w:r>
          </w:p>
        </w:tc>
        <w:tc>
          <w:tcPr>
            <w:tcW w:w="1387" w:type="dxa"/>
            <w:vAlign w:val="center"/>
          </w:tcPr>
          <w:p w:rsidR="00EC47F6" w:rsidRDefault="00964E1D">
            <w:pPr>
              <w:jc w:val="right"/>
            </w:pPr>
            <w:r>
              <w:rPr>
                <w:color w:val="000000"/>
                <w:sz w:val="24"/>
                <w:szCs w:val="24"/>
              </w:rPr>
              <w:t>1,000,000</w:t>
            </w:r>
          </w:p>
        </w:tc>
        <w:tc>
          <w:tcPr>
            <w:tcW w:w="2150" w:type="dxa"/>
            <w:vAlign w:val="center"/>
          </w:tcPr>
          <w:p w:rsidR="00EC47F6" w:rsidRDefault="00964E1D">
            <w:pPr>
              <w:jc w:val="right"/>
            </w:pPr>
            <w:r>
              <w:rPr>
                <w:color w:val="000000"/>
                <w:sz w:val="24"/>
                <w:szCs w:val="24"/>
              </w:rPr>
              <w:t>95,490,000.00</w:t>
            </w:r>
          </w:p>
        </w:tc>
        <w:tc>
          <w:tcPr>
            <w:tcW w:w="1237" w:type="dxa"/>
            <w:vAlign w:val="center"/>
          </w:tcPr>
          <w:p w:rsidR="00EC47F6" w:rsidRDefault="00964E1D">
            <w:pPr>
              <w:jc w:val="right"/>
            </w:pPr>
            <w:r>
              <w:rPr>
                <w:color w:val="000000"/>
                <w:sz w:val="24"/>
                <w:szCs w:val="24"/>
              </w:rPr>
              <w:t>12.44</w:t>
            </w:r>
          </w:p>
        </w:tc>
      </w:tr>
      <w:tr w:rsidR="00EC47F6">
        <w:trPr>
          <w:jc w:val="center"/>
        </w:trPr>
        <w:tc>
          <w:tcPr>
            <w:tcW w:w="850" w:type="dxa"/>
            <w:vAlign w:val="center"/>
          </w:tcPr>
          <w:p w:rsidR="00EC47F6" w:rsidRDefault="00964E1D">
            <w:pPr>
              <w:jc w:val="center"/>
            </w:pPr>
            <w:r>
              <w:rPr>
                <w:color w:val="000000"/>
                <w:sz w:val="24"/>
                <w:szCs w:val="24"/>
              </w:rPr>
              <w:t>5</w:t>
            </w:r>
          </w:p>
        </w:tc>
        <w:tc>
          <w:tcPr>
            <w:tcW w:w="1475" w:type="dxa"/>
            <w:vAlign w:val="center"/>
          </w:tcPr>
          <w:p w:rsidR="00EC47F6" w:rsidRDefault="00964E1D">
            <w:pPr>
              <w:jc w:val="center"/>
            </w:pPr>
            <w:r>
              <w:rPr>
                <w:color w:val="000000"/>
                <w:sz w:val="24"/>
                <w:szCs w:val="24"/>
              </w:rPr>
              <w:t>111714180</w:t>
            </w:r>
          </w:p>
        </w:tc>
        <w:tc>
          <w:tcPr>
            <w:tcW w:w="1769" w:type="dxa"/>
            <w:vAlign w:val="center"/>
          </w:tcPr>
          <w:p w:rsidR="00EC47F6" w:rsidRDefault="00964E1D">
            <w:pPr>
              <w:jc w:val="center"/>
            </w:pPr>
            <w:r>
              <w:rPr>
                <w:color w:val="000000"/>
                <w:sz w:val="24"/>
                <w:szCs w:val="24"/>
              </w:rPr>
              <w:t>17</w:t>
            </w:r>
            <w:r>
              <w:rPr>
                <w:color w:val="000000"/>
                <w:sz w:val="24"/>
                <w:szCs w:val="24"/>
              </w:rPr>
              <w:t>江苏银行</w:t>
            </w:r>
            <w:r>
              <w:rPr>
                <w:color w:val="000000"/>
                <w:sz w:val="24"/>
                <w:szCs w:val="24"/>
              </w:rPr>
              <w:t>CD180</w:t>
            </w:r>
          </w:p>
        </w:tc>
        <w:tc>
          <w:tcPr>
            <w:tcW w:w="1387" w:type="dxa"/>
            <w:vAlign w:val="center"/>
          </w:tcPr>
          <w:p w:rsidR="00EC47F6" w:rsidRDefault="00964E1D">
            <w:pPr>
              <w:jc w:val="right"/>
            </w:pPr>
            <w:r>
              <w:rPr>
                <w:color w:val="000000"/>
                <w:sz w:val="24"/>
                <w:szCs w:val="24"/>
              </w:rPr>
              <w:t>1,000,000</w:t>
            </w:r>
          </w:p>
        </w:tc>
        <w:tc>
          <w:tcPr>
            <w:tcW w:w="2150" w:type="dxa"/>
            <w:vAlign w:val="center"/>
          </w:tcPr>
          <w:p w:rsidR="00EC47F6" w:rsidRDefault="00964E1D">
            <w:pPr>
              <w:jc w:val="right"/>
            </w:pPr>
            <w:r>
              <w:rPr>
                <w:color w:val="000000"/>
                <w:sz w:val="24"/>
                <w:szCs w:val="24"/>
              </w:rPr>
              <w:t>95,470,000.00</w:t>
            </w:r>
          </w:p>
        </w:tc>
        <w:tc>
          <w:tcPr>
            <w:tcW w:w="1237" w:type="dxa"/>
            <w:vAlign w:val="center"/>
          </w:tcPr>
          <w:p w:rsidR="00EC47F6" w:rsidRDefault="00964E1D">
            <w:pPr>
              <w:jc w:val="right"/>
            </w:pPr>
            <w:r>
              <w:rPr>
                <w:color w:val="000000"/>
                <w:sz w:val="24"/>
                <w:szCs w:val="24"/>
              </w:rPr>
              <w:t>12.43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25,060.48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15,011,505.97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15,036,776.45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EC47F6">
        <w:trPr>
          <w:jc w:val="center"/>
        </w:trPr>
        <w:tc>
          <w:tcPr>
            <w:tcW w:w="1883" w:type="dxa"/>
            <w:vAlign w:val="center"/>
          </w:tcPr>
          <w:p w:rsidR="00EC47F6" w:rsidRDefault="00964E1D">
            <w:pPr>
              <w:jc w:val="center"/>
            </w:pPr>
            <w:r>
              <w:rPr>
                <w:color w:val="000000"/>
                <w:sz w:val="24"/>
                <w:szCs w:val="24"/>
              </w:rPr>
              <w:t>1</w:t>
            </w:r>
          </w:p>
        </w:tc>
        <w:tc>
          <w:tcPr>
            <w:tcW w:w="1801" w:type="dxa"/>
            <w:vAlign w:val="center"/>
          </w:tcPr>
          <w:p w:rsidR="00EC47F6" w:rsidRDefault="00964E1D">
            <w:pPr>
              <w:jc w:val="center"/>
            </w:pPr>
            <w:r>
              <w:rPr>
                <w:color w:val="000000"/>
                <w:sz w:val="24"/>
                <w:szCs w:val="24"/>
              </w:rPr>
              <w:t>113011</w:t>
            </w:r>
          </w:p>
        </w:tc>
        <w:tc>
          <w:tcPr>
            <w:tcW w:w="1727" w:type="dxa"/>
            <w:vAlign w:val="center"/>
          </w:tcPr>
          <w:p w:rsidR="00EC47F6" w:rsidRDefault="00964E1D">
            <w:pPr>
              <w:jc w:val="center"/>
            </w:pPr>
            <w:r>
              <w:rPr>
                <w:color w:val="000000"/>
                <w:sz w:val="24"/>
                <w:szCs w:val="24"/>
              </w:rPr>
              <w:t>光大转债</w:t>
            </w:r>
          </w:p>
        </w:tc>
        <w:tc>
          <w:tcPr>
            <w:tcW w:w="1768" w:type="dxa"/>
            <w:vAlign w:val="center"/>
          </w:tcPr>
          <w:p w:rsidR="00EC47F6" w:rsidRDefault="00964E1D">
            <w:pPr>
              <w:jc w:val="right"/>
            </w:pPr>
            <w:r>
              <w:rPr>
                <w:color w:val="000000"/>
                <w:sz w:val="24"/>
                <w:szCs w:val="24"/>
              </w:rPr>
              <w:t>4,957,075.80</w:t>
            </w:r>
          </w:p>
        </w:tc>
        <w:tc>
          <w:tcPr>
            <w:tcW w:w="1689" w:type="dxa"/>
            <w:vAlign w:val="center"/>
          </w:tcPr>
          <w:p w:rsidR="00EC47F6" w:rsidRDefault="00964E1D">
            <w:pPr>
              <w:jc w:val="right"/>
            </w:pPr>
            <w:r>
              <w:rPr>
                <w:color w:val="000000"/>
                <w:sz w:val="24"/>
                <w:szCs w:val="24"/>
              </w:rPr>
              <w:t>0.65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809,254,432.28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28,627.66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55,849,606.46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753,433,453.48</w:t>
            </w:r>
          </w:p>
        </w:tc>
      </w:tr>
    </w:tbl>
    <w:p w:rsidR="00EC47F6" w:rsidRDefault="00964E1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964E1D">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964E1D" w:rsidRDefault="00964E1D" w:rsidP="00964E1D">
      <w:pPr>
        <w:spacing w:line="288" w:lineRule="auto"/>
        <w:jc w:val="left"/>
        <w:rPr>
          <w:sz w:val="24"/>
          <w:szCs w:val="24"/>
        </w:rPr>
      </w:pPr>
      <w:r>
        <w:rPr>
          <w:b/>
          <w:sz w:val="24"/>
        </w:rPr>
        <w:t xml:space="preserve">7.1 </w:t>
      </w:r>
      <w:r>
        <w:rPr>
          <w:rFonts w:hint="eastAsia"/>
          <w:b/>
          <w:sz w:val="24"/>
        </w:rPr>
        <w:t>基金管理人持有本基金份额变动情况</w:t>
      </w:r>
    </w:p>
    <w:p w:rsidR="00964E1D" w:rsidRDefault="00964E1D" w:rsidP="00964E1D">
      <w:pPr>
        <w:autoSpaceDE w:val="0"/>
        <w:autoSpaceDN w:val="0"/>
        <w:adjustRightInd w:val="0"/>
        <w:spacing w:before="29" w:line="288" w:lineRule="auto"/>
        <w:jc w:val="left"/>
        <w:rPr>
          <w:rFonts w:eastAsiaTheme="minorEastAsia"/>
          <w:color w:val="000000"/>
          <w:sz w:val="24"/>
        </w:rPr>
      </w:pPr>
      <w:r>
        <w:rPr>
          <w:rFonts w:eastAsiaTheme="minorEastAsia" w:hint="eastAsia"/>
          <w:color w:val="000000"/>
          <w:sz w:val="24"/>
        </w:rPr>
        <w:lastRenderedPageBreak/>
        <w:t>本报告期内未发生基金管理人运用固有资金投资本基金的情况。</w:t>
      </w:r>
    </w:p>
    <w:p w:rsidR="00964E1D" w:rsidRDefault="00964E1D" w:rsidP="00964E1D">
      <w:pPr>
        <w:autoSpaceDE w:val="0"/>
        <w:autoSpaceDN w:val="0"/>
        <w:adjustRightInd w:val="0"/>
        <w:spacing w:before="29" w:line="288" w:lineRule="auto"/>
        <w:jc w:val="left"/>
        <w:rPr>
          <w:rFonts w:eastAsiaTheme="minorEastAsia"/>
          <w:color w:val="000000"/>
          <w:sz w:val="24"/>
        </w:rPr>
      </w:pPr>
    </w:p>
    <w:p w:rsidR="00964E1D" w:rsidRDefault="00964E1D" w:rsidP="00964E1D">
      <w:pPr>
        <w:spacing w:line="288" w:lineRule="auto"/>
        <w:jc w:val="left"/>
        <w:rPr>
          <w:b/>
          <w:sz w:val="24"/>
        </w:rPr>
      </w:pPr>
      <w:r>
        <w:rPr>
          <w:b/>
          <w:sz w:val="24"/>
        </w:rPr>
        <w:t>7.2</w:t>
      </w:r>
      <w:r>
        <w:rPr>
          <w:rFonts w:hint="eastAsia"/>
          <w:b/>
          <w:sz w:val="24"/>
        </w:rPr>
        <w:t>基金管理人运用固有资金投资本基金交易明细</w:t>
      </w:r>
    </w:p>
    <w:p w:rsidR="00964E1D" w:rsidRDefault="00964E1D" w:rsidP="00964E1D">
      <w:pPr>
        <w:autoSpaceDE w:val="0"/>
        <w:autoSpaceDN w:val="0"/>
        <w:adjustRightInd w:val="0"/>
        <w:spacing w:before="29" w:line="288" w:lineRule="auto"/>
        <w:jc w:val="left"/>
        <w:rPr>
          <w:color w:val="000000"/>
          <w:sz w:val="24"/>
        </w:rPr>
      </w:pPr>
      <w:r>
        <w:rPr>
          <w:rFonts w:hint="eastAsia"/>
          <w:color w:val="000000"/>
          <w:sz w:val="24"/>
        </w:rPr>
        <w:t>本基金管理人本报告期内未进行本基金的申购、赎回、红利再投等。</w:t>
      </w:r>
    </w:p>
    <w:p w:rsidR="00964E1D" w:rsidRDefault="00964E1D" w:rsidP="00964E1D">
      <w:pPr>
        <w:autoSpaceDE w:val="0"/>
        <w:autoSpaceDN w:val="0"/>
        <w:adjustRightInd w:val="0"/>
        <w:spacing w:before="29" w:line="288" w:lineRule="auto"/>
        <w:jc w:val="left"/>
        <w:rPr>
          <w:color w:val="000000"/>
          <w:sz w:val="24"/>
        </w:rPr>
      </w:pPr>
    </w:p>
    <w:p w:rsidR="003C50AD" w:rsidRPr="00220C32" w:rsidRDefault="003C50AD" w:rsidP="00964E1D">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2F14B9" w:rsidRDefault="003C50AD" w:rsidP="003C50AD">
      <w:pPr>
        <w:autoSpaceDE w:val="0"/>
        <w:autoSpaceDN w:val="0"/>
        <w:adjustRightInd w:val="0"/>
        <w:spacing w:line="360" w:lineRule="auto"/>
        <w:jc w:val="left"/>
        <w:rPr>
          <w:b/>
          <w:bCs/>
          <w:color w:val="000000"/>
          <w:kern w:val="0"/>
          <w:sz w:val="24"/>
          <w:szCs w:val="24"/>
        </w:rPr>
      </w:pPr>
      <w:bookmarkStart w:id="0" w:name="_GoBack"/>
      <w:r w:rsidRPr="002F14B9">
        <w:rPr>
          <w:b/>
          <w:bCs/>
          <w:color w:val="000000"/>
          <w:kern w:val="0"/>
          <w:sz w:val="24"/>
          <w:szCs w:val="24"/>
        </w:rPr>
        <w:t xml:space="preserve">8.1 </w:t>
      </w:r>
      <w:r w:rsidRPr="002F14B9">
        <w:rPr>
          <w:b/>
          <w:bCs/>
          <w:color w:val="000000"/>
          <w:kern w:val="0"/>
          <w:sz w:val="24"/>
          <w:szCs w:val="24"/>
        </w:rPr>
        <w:t>报告期内单一投资者持有基金份额比例达到或超过</w:t>
      </w:r>
      <w:r w:rsidRPr="002F14B9">
        <w:rPr>
          <w:b/>
          <w:bCs/>
          <w:color w:val="000000"/>
          <w:kern w:val="0"/>
          <w:sz w:val="24"/>
          <w:szCs w:val="24"/>
        </w:rPr>
        <w:t>20%</w:t>
      </w:r>
      <w:r w:rsidRPr="002F14B9">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2F14B9" w:rsidTr="00424D30">
        <w:tc>
          <w:tcPr>
            <w:tcW w:w="993" w:type="dxa"/>
            <w:vMerge w:val="restart"/>
            <w:vAlign w:val="center"/>
          </w:tcPr>
          <w:p w:rsidR="003C50AD" w:rsidRPr="002F14B9" w:rsidRDefault="003C50AD" w:rsidP="00424D30">
            <w:pPr>
              <w:autoSpaceDE w:val="0"/>
              <w:autoSpaceDN w:val="0"/>
              <w:adjustRightInd w:val="0"/>
              <w:jc w:val="center"/>
              <w:rPr>
                <w:b/>
                <w:bCs/>
                <w:color w:val="000000"/>
                <w:kern w:val="0"/>
                <w:sz w:val="24"/>
                <w:szCs w:val="24"/>
              </w:rPr>
            </w:pPr>
            <w:r w:rsidRPr="002F14B9">
              <w:rPr>
                <w:color w:val="000000"/>
                <w:kern w:val="0"/>
                <w:sz w:val="24"/>
                <w:szCs w:val="24"/>
              </w:rPr>
              <w:t>投资者类别</w:t>
            </w:r>
            <w:r w:rsidRPr="002F14B9">
              <w:rPr>
                <w:color w:val="000000"/>
                <w:kern w:val="0"/>
                <w:sz w:val="24"/>
                <w:szCs w:val="24"/>
              </w:rPr>
              <w:t xml:space="preserve">  </w:t>
            </w:r>
          </w:p>
        </w:tc>
        <w:tc>
          <w:tcPr>
            <w:tcW w:w="5670" w:type="dxa"/>
            <w:gridSpan w:val="5"/>
            <w:vAlign w:val="center"/>
          </w:tcPr>
          <w:p w:rsidR="003C50AD" w:rsidRPr="002F14B9" w:rsidRDefault="003C50AD" w:rsidP="00424D30">
            <w:pPr>
              <w:autoSpaceDE w:val="0"/>
              <w:autoSpaceDN w:val="0"/>
              <w:adjustRightInd w:val="0"/>
              <w:jc w:val="center"/>
              <w:rPr>
                <w:b/>
                <w:bCs/>
                <w:color w:val="000000"/>
                <w:kern w:val="0"/>
                <w:sz w:val="24"/>
                <w:szCs w:val="24"/>
              </w:rPr>
            </w:pPr>
            <w:r w:rsidRPr="002F14B9">
              <w:rPr>
                <w:color w:val="000000"/>
                <w:kern w:val="0"/>
                <w:sz w:val="24"/>
                <w:szCs w:val="24"/>
              </w:rPr>
              <w:t>报告期内持有基金份额变化情况</w:t>
            </w:r>
          </w:p>
        </w:tc>
        <w:tc>
          <w:tcPr>
            <w:tcW w:w="2549" w:type="dxa"/>
            <w:gridSpan w:val="2"/>
            <w:vAlign w:val="center"/>
          </w:tcPr>
          <w:p w:rsidR="003C50AD" w:rsidRPr="002F14B9" w:rsidRDefault="003C50AD" w:rsidP="00424D30">
            <w:pPr>
              <w:autoSpaceDE w:val="0"/>
              <w:autoSpaceDN w:val="0"/>
              <w:adjustRightInd w:val="0"/>
              <w:jc w:val="center"/>
              <w:rPr>
                <w:b/>
                <w:bCs/>
                <w:color w:val="000000"/>
                <w:kern w:val="0"/>
                <w:sz w:val="24"/>
                <w:szCs w:val="24"/>
              </w:rPr>
            </w:pPr>
            <w:r w:rsidRPr="002F14B9">
              <w:rPr>
                <w:color w:val="000000"/>
                <w:kern w:val="0"/>
                <w:sz w:val="24"/>
                <w:szCs w:val="24"/>
              </w:rPr>
              <w:t>报告期末持有基金情况</w:t>
            </w:r>
          </w:p>
        </w:tc>
      </w:tr>
      <w:tr w:rsidR="003C50AD" w:rsidRPr="002F14B9" w:rsidTr="00424D30">
        <w:tc>
          <w:tcPr>
            <w:tcW w:w="993" w:type="dxa"/>
            <w:vMerge/>
            <w:vAlign w:val="center"/>
          </w:tcPr>
          <w:p w:rsidR="003C50AD" w:rsidRPr="002F14B9" w:rsidRDefault="003C50AD" w:rsidP="00424D30">
            <w:pPr>
              <w:autoSpaceDE w:val="0"/>
              <w:autoSpaceDN w:val="0"/>
              <w:adjustRightInd w:val="0"/>
              <w:jc w:val="center"/>
              <w:rPr>
                <w:b/>
                <w:bCs/>
                <w:color w:val="000000"/>
                <w:kern w:val="0"/>
                <w:sz w:val="24"/>
                <w:szCs w:val="24"/>
              </w:rPr>
            </w:pPr>
          </w:p>
        </w:tc>
        <w:tc>
          <w:tcPr>
            <w:tcW w:w="992" w:type="dxa"/>
            <w:vAlign w:val="center"/>
          </w:tcPr>
          <w:p w:rsidR="003C50AD" w:rsidRPr="002F14B9" w:rsidRDefault="003C50AD" w:rsidP="00424D30">
            <w:pPr>
              <w:autoSpaceDE w:val="0"/>
              <w:autoSpaceDN w:val="0"/>
              <w:adjustRightInd w:val="0"/>
              <w:jc w:val="center"/>
              <w:rPr>
                <w:b/>
                <w:bCs/>
                <w:color w:val="000000"/>
                <w:kern w:val="0"/>
                <w:sz w:val="24"/>
                <w:szCs w:val="24"/>
              </w:rPr>
            </w:pPr>
            <w:r w:rsidRPr="002F14B9">
              <w:rPr>
                <w:color w:val="000000"/>
                <w:kern w:val="0"/>
                <w:sz w:val="24"/>
                <w:szCs w:val="24"/>
              </w:rPr>
              <w:t>序号</w:t>
            </w:r>
          </w:p>
        </w:tc>
        <w:tc>
          <w:tcPr>
            <w:tcW w:w="1843" w:type="dxa"/>
            <w:vAlign w:val="center"/>
          </w:tcPr>
          <w:p w:rsidR="003C50AD" w:rsidRPr="002F14B9" w:rsidRDefault="003C50AD" w:rsidP="00424D30">
            <w:pPr>
              <w:autoSpaceDE w:val="0"/>
              <w:autoSpaceDN w:val="0"/>
              <w:adjustRightInd w:val="0"/>
              <w:jc w:val="center"/>
              <w:rPr>
                <w:b/>
                <w:bCs/>
                <w:color w:val="000000"/>
                <w:kern w:val="0"/>
                <w:sz w:val="24"/>
                <w:szCs w:val="24"/>
              </w:rPr>
            </w:pPr>
            <w:r w:rsidRPr="002F14B9">
              <w:rPr>
                <w:color w:val="000000"/>
                <w:kern w:val="0"/>
                <w:sz w:val="24"/>
                <w:szCs w:val="24"/>
              </w:rPr>
              <w:t>持有基金份额比例达到或者超过</w:t>
            </w:r>
            <w:r w:rsidRPr="002F14B9">
              <w:rPr>
                <w:color w:val="000000"/>
                <w:kern w:val="0"/>
                <w:sz w:val="24"/>
                <w:szCs w:val="24"/>
              </w:rPr>
              <w:t>20%</w:t>
            </w:r>
            <w:r w:rsidRPr="002F14B9">
              <w:rPr>
                <w:color w:val="000000"/>
                <w:kern w:val="0"/>
                <w:sz w:val="24"/>
                <w:szCs w:val="24"/>
              </w:rPr>
              <w:t>的时间区间</w:t>
            </w:r>
          </w:p>
        </w:tc>
        <w:tc>
          <w:tcPr>
            <w:tcW w:w="851" w:type="dxa"/>
            <w:vAlign w:val="center"/>
          </w:tcPr>
          <w:p w:rsidR="003C50AD" w:rsidRPr="002F14B9" w:rsidRDefault="003C50AD" w:rsidP="00424D30">
            <w:pPr>
              <w:widowControl/>
              <w:jc w:val="center"/>
              <w:rPr>
                <w:b/>
                <w:bCs/>
                <w:color w:val="000000"/>
                <w:kern w:val="0"/>
                <w:sz w:val="24"/>
                <w:szCs w:val="24"/>
              </w:rPr>
            </w:pPr>
            <w:r w:rsidRPr="002F14B9">
              <w:rPr>
                <w:color w:val="000000"/>
                <w:kern w:val="0"/>
                <w:sz w:val="24"/>
                <w:szCs w:val="24"/>
              </w:rPr>
              <w:t>期初份额</w:t>
            </w:r>
          </w:p>
        </w:tc>
        <w:tc>
          <w:tcPr>
            <w:tcW w:w="850" w:type="dxa"/>
            <w:vAlign w:val="center"/>
          </w:tcPr>
          <w:p w:rsidR="003C50AD" w:rsidRPr="002F14B9" w:rsidRDefault="003C50AD" w:rsidP="00424D30">
            <w:pPr>
              <w:widowControl/>
              <w:jc w:val="center"/>
              <w:rPr>
                <w:b/>
                <w:bCs/>
                <w:color w:val="000000"/>
                <w:kern w:val="0"/>
                <w:sz w:val="24"/>
                <w:szCs w:val="24"/>
              </w:rPr>
            </w:pPr>
            <w:r w:rsidRPr="002F14B9">
              <w:rPr>
                <w:color w:val="000000"/>
                <w:kern w:val="0"/>
                <w:sz w:val="24"/>
                <w:szCs w:val="24"/>
              </w:rPr>
              <w:t>申购份额</w:t>
            </w:r>
          </w:p>
        </w:tc>
        <w:tc>
          <w:tcPr>
            <w:tcW w:w="1134" w:type="dxa"/>
            <w:vAlign w:val="center"/>
          </w:tcPr>
          <w:p w:rsidR="003C50AD" w:rsidRPr="002F14B9" w:rsidRDefault="003C50AD" w:rsidP="00424D30">
            <w:pPr>
              <w:widowControl/>
              <w:jc w:val="center"/>
              <w:rPr>
                <w:b/>
                <w:bCs/>
                <w:color w:val="000000"/>
                <w:kern w:val="0"/>
                <w:sz w:val="24"/>
                <w:szCs w:val="24"/>
              </w:rPr>
            </w:pPr>
            <w:r w:rsidRPr="002F14B9">
              <w:rPr>
                <w:color w:val="000000"/>
                <w:kern w:val="0"/>
                <w:sz w:val="24"/>
                <w:szCs w:val="24"/>
              </w:rPr>
              <w:t>赎回份额</w:t>
            </w:r>
          </w:p>
        </w:tc>
        <w:tc>
          <w:tcPr>
            <w:tcW w:w="1419" w:type="dxa"/>
            <w:vAlign w:val="center"/>
          </w:tcPr>
          <w:p w:rsidR="003C50AD" w:rsidRPr="002F14B9" w:rsidRDefault="003C50AD" w:rsidP="00424D30">
            <w:pPr>
              <w:autoSpaceDE w:val="0"/>
              <w:autoSpaceDN w:val="0"/>
              <w:adjustRightInd w:val="0"/>
              <w:jc w:val="center"/>
              <w:rPr>
                <w:b/>
                <w:bCs/>
                <w:color w:val="000000"/>
                <w:kern w:val="0"/>
                <w:sz w:val="24"/>
                <w:szCs w:val="24"/>
              </w:rPr>
            </w:pPr>
            <w:r w:rsidRPr="002F14B9">
              <w:rPr>
                <w:color w:val="000000"/>
                <w:kern w:val="0"/>
                <w:sz w:val="24"/>
                <w:szCs w:val="24"/>
              </w:rPr>
              <w:t>持有份额</w:t>
            </w:r>
          </w:p>
        </w:tc>
        <w:tc>
          <w:tcPr>
            <w:tcW w:w="1130" w:type="dxa"/>
            <w:vAlign w:val="center"/>
          </w:tcPr>
          <w:p w:rsidR="003C50AD" w:rsidRPr="002F14B9" w:rsidRDefault="003C50AD" w:rsidP="00424D30">
            <w:pPr>
              <w:autoSpaceDE w:val="0"/>
              <w:autoSpaceDN w:val="0"/>
              <w:adjustRightInd w:val="0"/>
              <w:jc w:val="center"/>
              <w:rPr>
                <w:b/>
                <w:bCs/>
                <w:color w:val="000000"/>
                <w:kern w:val="0"/>
                <w:sz w:val="24"/>
                <w:szCs w:val="24"/>
              </w:rPr>
            </w:pPr>
            <w:r w:rsidRPr="002F14B9">
              <w:rPr>
                <w:color w:val="000000"/>
                <w:kern w:val="0"/>
                <w:sz w:val="24"/>
                <w:szCs w:val="24"/>
              </w:rPr>
              <w:t>份额占比</w:t>
            </w:r>
          </w:p>
        </w:tc>
      </w:tr>
      <w:tr w:rsidR="00EC47F6" w:rsidRPr="002F14B9">
        <w:tc>
          <w:tcPr>
            <w:tcW w:w="993" w:type="dxa"/>
            <w:vMerge w:val="restart"/>
          </w:tcPr>
          <w:p w:rsidR="00EC47F6" w:rsidRPr="002F14B9" w:rsidRDefault="00EC47F6">
            <w:pPr>
              <w:rPr>
                <w:sz w:val="24"/>
                <w:szCs w:val="24"/>
              </w:rPr>
            </w:pPr>
          </w:p>
          <w:p w:rsidR="00EC47F6" w:rsidRPr="002F14B9" w:rsidRDefault="00964E1D">
            <w:pPr>
              <w:rPr>
                <w:sz w:val="24"/>
                <w:szCs w:val="24"/>
              </w:rPr>
            </w:pPr>
            <w:r w:rsidRPr="002F14B9">
              <w:rPr>
                <w:bCs/>
                <w:color w:val="000000"/>
                <w:kern w:val="0"/>
                <w:sz w:val="24"/>
                <w:szCs w:val="24"/>
              </w:rPr>
              <w:t>机构</w:t>
            </w:r>
          </w:p>
        </w:tc>
        <w:tc>
          <w:tcPr>
            <w:tcW w:w="992" w:type="dxa"/>
            <w:vAlign w:val="center"/>
          </w:tcPr>
          <w:p w:rsidR="00EC47F6" w:rsidRPr="002F14B9" w:rsidRDefault="00964E1D">
            <w:pPr>
              <w:jc w:val="center"/>
              <w:rPr>
                <w:sz w:val="24"/>
                <w:szCs w:val="24"/>
              </w:rPr>
            </w:pPr>
            <w:r w:rsidRPr="002F14B9">
              <w:rPr>
                <w:color w:val="000000"/>
                <w:kern w:val="0"/>
                <w:sz w:val="24"/>
                <w:szCs w:val="24"/>
              </w:rPr>
              <w:t>1</w:t>
            </w:r>
          </w:p>
        </w:tc>
        <w:tc>
          <w:tcPr>
            <w:tcW w:w="1843" w:type="dxa"/>
            <w:vAlign w:val="center"/>
          </w:tcPr>
          <w:p w:rsidR="00EC47F6" w:rsidRPr="002F14B9" w:rsidRDefault="00964E1D">
            <w:pPr>
              <w:jc w:val="center"/>
              <w:rPr>
                <w:sz w:val="24"/>
                <w:szCs w:val="24"/>
              </w:rPr>
            </w:pPr>
            <w:r w:rsidRPr="002F14B9">
              <w:rPr>
                <w:color w:val="000000"/>
                <w:kern w:val="0"/>
                <w:sz w:val="24"/>
                <w:szCs w:val="24"/>
              </w:rPr>
              <w:t>2017/7/1-2017/9/30</w:t>
            </w:r>
          </w:p>
        </w:tc>
        <w:tc>
          <w:tcPr>
            <w:tcW w:w="851" w:type="dxa"/>
            <w:vAlign w:val="center"/>
          </w:tcPr>
          <w:p w:rsidR="00EC47F6" w:rsidRPr="002F14B9" w:rsidRDefault="00964E1D">
            <w:pPr>
              <w:jc w:val="center"/>
              <w:rPr>
                <w:sz w:val="24"/>
                <w:szCs w:val="24"/>
              </w:rPr>
            </w:pPr>
            <w:r w:rsidRPr="002F14B9">
              <w:rPr>
                <w:color w:val="000000"/>
                <w:kern w:val="0"/>
                <w:sz w:val="24"/>
                <w:szCs w:val="24"/>
              </w:rPr>
              <w:t>200,017,000.00</w:t>
            </w:r>
          </w:p>
        </w:tc>
        <w:tc>
          <w:tcPr>
            <w:tcW w:w="850" w:type="dxa"/>
            <w:vAlign w:val="center"/>
          </w:tcPr>
          <w:p w:rsidR="00EC47F6" w:rsidRPr="002F14B9" w:rsidRDefault="00964E1D">
            <w:pPr>
              <w:jc w:val="center"/>
              <w:rPr>
                <w:sz w:val="24"/>
                <w:szCs w:val="24"/>
              </w:rPr>
            </w:pPr>
            <w:r w:rsidRPr="002F14B9">
              <w:rPr>
                <w:color w:val="000000"/>
                <w:kern w:val="0"/>
                <w:sz w:val="24"/>
                <w:szCs w:val="24"/>
              </w:rPr>
              <w:t>-</w:t>
            </w:r>
          </w:p>
        </w:tc>
        <w:tc>
          <w:tcPr>
            <w:tcW w:w="1134" w:type="dxa"/>
            <w:vAlign w:val="center"/>
          </w:tcPr>
          <w:p w:rsidR="00EC47F6" w:rsidRPr="002F14B9" w:rsidRDefault="00964E1D">
            <w:pPr>
              <w:jc w:val="center"/>
              <w:rPr>
                <w:sz w:val="24"/>
                <w:szCs w:val="24"/>
              </w:rPr>
            </w:pPr>
            <w:r w:rsidRPr="002F14B9">
              <w:rPr>
                <w:color w:val="000000"/>
                <w:kern w:val="0"/>
                <w:sz w:val="24"/>
                <w:szCs w:val="24"/>
              </w:rPr>
              <w:t>-</w:t>
            </w:r>
          </w:p>
        </w:tc>
        <w:tc>
          <w:tcPr>
            <w:tcW w:w="1419" w:type="dxa"/>
            <w:vAlign w:val="center"/>
          </w:tcPr>
          <w:p w:rsidR="00EC47F6" w:rsidRPr="002F14B9" w:rsidRDefault="00964E1D">
            <w:pPr>
              <w:jc w:val="center"/>
              <w:rPr>
                <w:sz w:val="24"/>
                <w:szCs w:val="24"/>
              </w:rPr>
            </w:pPr>
            <w:r w:rsidRPr="002F14B9">
              <w:rPr>
                <w:color w:val="000000"/>
                <w:kern w:val="0"/>
                <w:sz w:val="24"/>
                <w:szCs w:val="24"/>
              </w:rPr>
              <w:t>200,017,000.00</w:t>
            </w:r>
          </w:p>
        </w:tc>
        <w:tc>
          <w:tcPr>
            <w:tcW w:w="1130" w:type="dxa"/>
            <w:vAlign w:val="center"/>
          </w:tcPr>
          <w:p w:rsidR="00EC47F6" w:rsidRPr="002F14B9" w:rsidRDefault="00964E1D">
            <w:pPr>
              <w:jc w:val="center"/>
              <w:rPr>
                <w:sz w:val="24"/>
                <w:szCs w:val="24"/>
              </w:rPr>
            </w:pPr>
            <w:r w:rsidRPr="002F14B9">
              <w:rPr>
                <w:color w:val="000000"/>
                <w:kern w:val="0"/>
                <w:sz w:val="24"/>
                <w:szCs w:val="24"/>
              </w:rPr>
              <w:t>26.55%</w:t>
            </w:r>
          </w:p>
        </w:tc>
      </w:tr>
      <w:tr w:rsidR="003C50AD" w:rsidRPr="002F14B9" w:rsidTr="00424D30">
        <w:tc>
          <w:tcPr>
            <w:tcW w:w="9212" w:type="dxa"/>
            <w:gridSpan w:val="8"/>
            <w:vAlign w:val="center"/>
          </w:tcPr>
          <w:p w:rsidR="003C50AD" w:rsidRPr="002F14B9" w:rsidRDefault="003C50AD" w:rsidP="00424D30">
            <w:pPr>
              <w:autoSpaceDE w:val="0"/>
              <w:autoSpaceDN w:val="0"/>
              <w:adjustRightInd w:val="0"/>
              <w:jc w:val="center"/>
              <w:rPr>
                <w:kern w:val="0"/>
                <w:sz w:val="24"/>
                <w:szCs w:val="24"/>
              </w:rPr>
            </w:pPr>
            <w:r w:rsidRPr="002F14B9">
              <w:rPr>
                <w:color w:val="000000"/>
                <w:kern w:val="0"/>
                <w:sz w:val="24"/>
                <w:szCs w:val="24"/>
              </w:rPr>
              <w:t>产品特有风险</w:t>
            </w:r>
          </w:p>
        </w:tc>
      </w:tr>
      <w:tr w:rsidR="003C50AD" w:rsidRPr="002F14B9" w:rsidTr="00424D30">
        <w:tc>
          <w:tcPr>
            <w:tcW w:w="9212" w:type="dxa"/>
            <w:gridSpan w:val="8"/>
            <w:vAlign w:val="center"/>
          </w:tcPr>
          <w:p w:rsidR="003C50AD" w:rsidRPr="002F14B9" w:rsidRDefault="003C50AD" w:rsidP="00424D30">
            <w:pPr>
              <w:autoSpaceDE w:val="0"/>
              <w:autoSpaceDN w:val="0"/>
              <w:adjustRightInd w:val="0"/>
              <w:jc w:val="left"/>
              <w:rPr>
                <w:kern w:val="0"/>
                <w:sz w:val="24"/>
                <w:szCs w:val="24"/>
              </w:rPr>
            </w:pPr>
            <w:r w:rsidRPr="002F14B9">
              <w:rPr>
                <w:kern w:val="0"/>
                <w:sz w:val="24"/>
                <w:szCs w:val="24"/>
              </w:rPr>
              <w:t>本基金本报告期内出现单一投资者持有基金份额比例超过基金总份额</w:t>
            </w:r>
            <w:r w:rsidRPr="002F14B9">
              <w:rPr>
                <w:kern w:val="0"/>
                <w:sz w:val="24"/>
                <w:szCs w:val="24"/>
              </w:rPr>
              <w:t>20%</w:t>
            </w:r>
            <w:r w:rsidRPr="002F14B9">
              <w:rPr>
                <w:kern w:val="0"/>
                <w:sz w:val="24"/>
                <w:szCs w:val="24"/>
              </w:rPr>
              <w:t>的情况。如该类投资者集中赎回，可能会对本基金带来流动性冲击，从而影响基金的投资运作和收益水平。基金管理人将加强流动性管理，防范相关风险，保护持有人利益。</w:t>
            </w:r>
          </w:p>
        </w:tc>
      </w:tr>
    </w:tbl>
    <w:bookmarkEnd w:id="0"/>
    <w:p w:rsidR="00B22DEE" w:rsidRPr="00E02660" w:rsidRDefault="004061AC" w:rsidP="00964E1D">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EC47F6" w:rsidRDefault="00964E1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、中国证监会准予交银施罗德荣鑫保本混合型证券投资基金募集注册的文件；</w:t>
      </w:r>
      <w:r>
        <w:rPr>
          <w:color w:val="000000"/>
          <w:sz w:val="24"/>
          <w:szCs w:val="24"/>
        </w:rPr>
        <w:t xml:space="preserve"> </w:t>
      </w:r>
    </w:p>
    <w:p w:rsidR="00EC47F6" w:rsidRDefault="00964E1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、《交银施罗德荣鑫保本混合型证券投资基金基金合同》；</w:t>
      </w:r>
      <w:r>
        <w:rPr>
          <w:color w:val="000000"/>
          <w:sz w:val="24"/>
          <w:szCs w:val="24"/>
        </w:rPr>
        <w:t xml:space="preserve"> </w:t>
      </w:r>
    </w:p>
    <w:p w:rsidR="00EC47F6" w:rsidRDefault="00964E1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、《交银施罗德荣鑫保本混合型证券投资基金招募说明书》；</w:t>
      </w:r>
      <w:r>
        <w:rPr>
          <w:color w:val="000000"/>
          <w:sz w:val="24"/>
          <w:szCs w:val="24"/>
        </w:rPr>
        <w:t xml:space="preserve"> </w:t>
      </w:r>
    </w:p>
    <w:p w:rsidR="00EC47F6" w:rsidRDefault="00964E1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、《交银施罗德荣鑫保本混合型证券投资基金托管协议》；</w:t>
      </w:r>
      <w:r>
        <w:rPr>
          <w:color w:val="000000"/>
          <w:sz w:val="24"/>
          <w:szCs w:val="24"/>
        </w:rPr>
        <w:t xml:space="preserve"> </w:t>
      </w:r>
    </w:p>
    <w:p w:rsidR="00EC47F6" w:rsidRDefault="00964E1D">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、关于申请募集注册交银施罗德荣鑫保本混合型证券投资基金的法律意见书；</w:t>
      </w:r>
      <w:r>
        <w:rPr>
          <w:color w:val="000000"/>
          <w:sz w:val="24"/>
          <w:szCs w:val="24"/>
        </w:rPr>
        <w:t xml:space="preserve"> </w:t>
      </w:r>
    </w:p>
    <w:p w:rsidR="00EC47F6" w:rsidRDefault="00964E1D">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EC47F6" w:rsidRDefault="00964E1D">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EC47F6" w:rsidRDefault="00964E1D">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、《交银施罗德荣鑫保本混合型证券投资基金保证合同》；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、报告期内交银施罗德荣鑫保本混合型证券投资基金在指定报刊上各项公告的原稿。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EC47F6" w:rsidRDefault="00964E1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52F" w:rsidRDefault="0082052F" w:rsidP="00876D65">
      <w:r>
        <w:separator/>
      </w:r>
    </w:p>
  </w:endnote>
  <w:endnote w:type="continuationSeparator" w:id="0">
    <w:p w:rsidR="0082052F" w:rsidRDefault="0082052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EC47F6">
      <w:rPr>
        <w:kern w:val="0"/>
        <w:szCs w:val="21"/>
      </w:rPr>
      <w:fldChar w:fldCharType="begin"/>
    </w:r>
    <w:r>
      <w:rPr>
        <w:kern w:val="0"/>
        <w:szCs w:val="21"/>
      </w:rPr>
      <w:instrText xml:space="preserve"> PAGE </w:instrText>
    </w:r>
    <w:r w:rsidR="00EC47F6">
      <w:rPr>
        <w:kern w:val="0"/>
        <w:szCs w:val="21"/>
      </w:rPr>
      <w:fldChar w:fldCharType="separate"/>
    </w:r>
    <w:r w:rsidR="002F14B9">
      <w:rPr>
        <w:noProof/>
        <w:kern w:val="0"/>
        <w:szCs w:val="21"/>
      </w:rPr>
      <w:t>11</w:t>
    </w:r>
    <w:r w:rsidR="00EC47F6">
      <w:rPr>
        <w:kern w:val="0"/>
        <w:szCs w:val="21"/>
      </w:rPr>
      <w:fldChar w:fldCharType="end"/>
    </w:r>
    <w:r>
      <w:rPr>
        <w:rFonts w:hint="eastAsia"/>
        <w:kern w:val="0"/>
        <w:szCs w:val="21"/>
      </w:rPr>
      <w:t>页共</w:t>
    </w:r>
    <w:r w:rsidR="00EC47F6">
      <w:rPr>
        <w:kern w:val="0"/>
        <w:szCs w:val="21"/>
      </w:rPr>
      <w:fldChar w:fldCharType="begin"/>
    </w:r>
    <w:r>
      <w:rPr>
        <w:kern w:val="0"/>
        <w:szCs w:val="21"/>
      </w:rPr>
      <w:instrText xml:space="preserve"> NUMPAGES </w:instrText>
    </w:r>
    <w:r w:rsidR="00EC47F6">
      <w:rPr>
        <w:kern w:val="0"/>
        <w:szCs w:val="21"/>
      </w:rPr>
      <w:fldChar w:fldCharType="separate"/>
    </w:r>
    <w:r w:rsidR="002F14B9">
      <w:rPr>
        <w:noProof/>
        <w:kern w:val="0"/>
        <w:szCs w:val="21"/>
      </w:rPr>
      <w:t>12</w:t>
    </w:r>
    <w:r w:rsidR="00EC47F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52F" w:rsidRDefault="0082052F" w:rsidP="00876D65">
      <w:r>
        <w:separator/>
      </w:r>
    </w:p>
  </w:footnote>
  <w:footnote w:type="continuationSeparator" w:id="0">
    <w:p w:rsidR="0082052F" w:rsidRDefault="0082052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2F14B9"/>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052F"/>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64E1D"/>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C47F6"/>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778BCF-832A-4675-9752-3763160E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36178064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3B0F3-86A9-4B36-9EEB-AB76B41F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12</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567</cp:revision>
  <dcterms:created xsi:type="dcterms:W3CDTF">2012-10-16T06:07:00Z</dcterms:created>
  <dcterms:modified xsi:type="dcterms:W3CDTF">2017-10-23T06:19:00Z</dcterms:modified>
</cp:coreProperties>
</file>