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基金托管人中国民生银行股份有限公司根据本基金合同规定，于2017年10月24日复核了本报告中的财务指标、净值表现和投资组合报告等内容，保证复核内容不存在虚假记载、误导性陈述或者重大遗漏。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2015年5月29日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1,049,258,278.55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12,320,704.50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6,978,163.68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1,041,134,822.83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0.61%</w:t>
            </w:r>
          </w:p>
        </w:tc>
        <w:tc>
          <w:tcPr>
            <w:vAlign w:val="center"/>
          </w:tcPr>
          <w:p>
            <w:pPr>
              <w:jc w:val="center"/>
            </w:pPr>
            <w:r>
              <w:rPr>
                <w:color w:val="000000"/>
                <w:sz w:val="24"/>
                <w:szCs w:val="24"/>
              </w:rPr>
              <w:t>0.04%</w:t>
            </w:r>
          </w:p>
        </w:tc>
        <w:tc>
          <w:tcPr>
            <w:vAlign w:val="center"/>
          </w:tcPr>
          <w:p>
            <w:pPr>
              <w:jc w:val="center"/>
            </w:pPr>
            <w:r>
              <w:rPr>
                <w:color w:val="000000"/>
                <w:sz w:val="24"/>
                <w:szCs w:val="24"/>
              </w:rPr>
              <w:t>0.70%</w:t>
            </w:r>
          </w:p>
        </w:tc>
        <w:tc>
          <w:tcPr>
            <w:vAlign w:val="center"/>
          </w:tcPr>
          <w:p>
            <w:pPr>
              <w:jc w:val="center"/>
            </w:pPr>
            <w:r>
              <w:rPr>
                <w:color w:val="000000"/>
                <w:sz w:val="24"/>
                <w:szCs w:val="24"/>
              </w:rPr>
              <w:t>0.01%</w:t>
            </w:r>
          </w:p>
        </w:tc>
        <w:tc>
          <w:tcPr>
            <w:vAlign w:val="center"/>
          </w:tcPr>
          <w:p>
            <w:pPr>
              <w:jc w:val="center"/>
            </w:pPr>
            <w:r>
              <w:rPr>
                <w:color w:val="000000"/>
                <w:sz w:val="24"/>
                <w:szCs w:val="24"/>
              </w:rPr>
              <w:t>-0.09%</w:t>
            </w:r>
          </w:p>
        </w:tc>
        <w:tc>
          <w:tcPr>
            <w:vAlign w:val="center"/>
          </w:tcPr>
          <w:p>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2015年5月29日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交银成长混合、交银策略回报灵活配置混合、交银成长30混合、交银荣和保本混合的基金经理，公司权益投资总监</w:t>
            </w:r>
          </w:p>
        </w:tc>
        <w:tc>
          <w:tcPr>
            <w:vAlign w:val="center"/>
          </w:tcPr>
          <w:p>
            <w:pPr>
              <w:jc w:val="center"/>
            </w:pPr>
            <w:r>
              <w:rPr>
                <w:color w:val="000000"/>
                <w:sz w:val="24"/>
                <w:szCs w:val="24"/>
              </w:rPr>
              <w:t>2015-11-07</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w:t>
            </w: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交银信用添利债券(LOF)、交银双利债券、交银双轮动债券、交银荣和保本混合、交银裕通纯债债券的基金经理</w:t>
            </w:r>
          </w:p>
        </w:tc>
        <w:tc>
          <w:tcPr>
            <w:vAlign w:val="center"/>
          </w:tcPr>
          <w:p>
            <w:pPr>
              <w:jc w:val="center"/>
            </w:pPr>
            <w:r>
              <w:rPr>
                <w:color w:val="000000"/>
                <w:sz w:val="24"/>
                <w:szCs w:val="24"/>
              </w:rPr>
              <w:t>2015-11-07</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pPr>
        <w:spacing w:before="29" w:line="288" w:lineRule="auto"/>
        <w:ind w:firstLineChars="200" w:firstLine="480"/>
        <w:rPr>
          <w:color w:val="000000"/>
          <w:sz w:val="24"/>
          <w:szCs w:val="24"/>
        </w:rPr>
      </w:pPr>
      <w:r>
        <w:rPr>
          <w:color w:val="000000"/>
          <w:sz w:val="24"/>
          <w:szCs w:val="24"/>
        </w:rPr>
        <w:t>报告期内，本基金的债券配置继续按照期限匹配的策略，以高票息短久期信用债为底仓，控制组合杠杆成本，提升组合的静态收益水平。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2017年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市场收益率或将震荡下行。信用债的信用利差又仍处于历史低位，尤其是低等级信用债利差未能充分反应未来的信用风险，我们将一如既往地规避中低评级信用债。本基金在四季度仍将采取期限匹配的高票息策略，竭力控制融资成本，以期获取稳定的息差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截至2017年9月30日，本基金份额净值0.992元，本报告期份额净值增长率为0.61%，同期业绩比较基准增长率为0.70%。</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1,544,230,918.00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1,544,230,918.00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17,135,221.78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28,327,541.74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1,589,693,681.52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6,986,700.00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45,809,198.00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45,809,198.00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382,895,020.00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36.78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1,012,968,000.00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97.29</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95,572,000.00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9.18</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1,544,230,918.00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1180093</w:t>
            </w:r>
          </w:p>
        </w:tc>
        <w:tc>
          <w:tcPr>
            <w:vAlign w:val="center"/>
          </w:tcPr>
          <w:p>
            <w:pPr>
              <w:jc w:val="center"/>
            </w:pPr>
            <w:r>
              <w:rPr>
                <w:color w:val="000000"/>
                <w:sz w:val="24"/>
                <w:szCs w:val="24"/>
              </w:rPr>
              <w:t>11丰国资债</w:t>
            </w:r>
          </w:p>
        </w:tc>
        <w:tc>
          <w:tcPr>
            <w:vAlign w:val="center"/>
          </w:tcPr>
          <w:p>
            <w:pPr>
              <w:jc w:val="right"/>
            </w:pPr>
            <w:r>
              <w:rPr>
                <w:color w:val="000000"/>
                <w:sz w:val="24"/>
                <w:szCs w:val="24"/>
              </w:rPr>
              <w:t>1,000,000</w:t>
            </w:r>
          </w:p>
        </w:tc>
        <w:tc>
          <w:tcPr>
            <w:vAlign w:val="center"/>
          </w:tcPr>
          <w:p>
            <w:pPr>
              <w:jc w:val="right"/>
            </w:pPr>
            <w:r>
              <w:rPr>
                <w:color w:val="000000"/>
                <w:sz w:val="24"/>
                <w:szCs w:val="24"/>
              </w:rPr>
              <w:t>100,740,000.00</w:t>
            </w:r>
          </w:p>
        </w:tc>
        <w:tc>
          <w:tcPr>
            <w:vAlign w:val="center"/>
          </w:tcPr>
          <w:p>
            <w:pPr>
              <w:jc w:val="right"/>
            </w:pPr>
            <w:r>
              <w:rPr>
                <w:color w:val="000000"/>
                <w:sz w:val="24"/>
                <w:szCs w:val="24"/>
              </w:rPr>
              <w:t>9.68</w:t>
            </w:r>
          </w:p>
        </w:tc>
      </w:tr>
      <w:tr>
        <w:tc>
          <w:tcPr>
            <w:vAlign w:val="center"/>
          </w:tcPr>
          <w:p>
            <w:pPr>
              <w:jc w:val="center"/>
            </w:pPr>
            <w:r>
              <w:rPr>
                <w:color w:val="000000"/>
                <w:sz w:val="24"/>
                <w:szCs w:val="24"/>
              </w:rPr>
              <w:t>2</w:t>
            </w:r>
          </w:p>
        </w:tc>
        <w:tc>
          <w:tcPr>
            <w:vAlign w:val="center"/>
          </w:tcPr>
          <w:p>
            <w:pPr>
              <w:jc w:val="center"/>
            </w:pPr>
            <w:r>
              <w:rPr>
                <w:color w:val="000000"/>
                <w:sz w:val="24"/>
                <w:szCs w:val="24"/>
              </w:rPr>
              <w:t>1180104</w:t>
            </w:r>
          </w:p>
        </w:tc>
        <w:tc>
          <w:tcPr>
            <w:vAlign w:val="center"/>
          </w:tcPr>
          <w:p>
            <w:pPr>
              <w:jc w:val="center"/>
            </w:pPr>
            <w:r>
              <w:rPr>
                <w:color w:val="000000"/>
                <w:sz w:val="24"/>
                <w:szCs w:val="24"/>
              </w:rPr>
              <w:t>11杭高新债</w:t>
            </w:r>
          </w:p>
        </w:tc>
        <w:tc>
          <w:tcPr>
            <w:vAlign w:val="center"/>
          </w:tcPr>
          <w:p>
            <w:pPr>
              <w:jc w:val="right"/>
            </w:pPr>
            <w:r>
              <w:rPr>
                <w:color w:val="000000"/>
                <w:sz w:val="24"/>
                <w:szCs w:val="24"/>
              </w:rPr>
              <w:t>700,000</w:t>
            </w:r>
          </w:p>
        </w:tc>
        <w:tc>
          <w:tcPr>
            <w:vAlign w:val="center"/>
          </w:tcPr>
          <w:p>
            <w:pPr>
              <w:jc w:val="right"/>
            </w:pPr>
            <w:r>
              <w:rPr>
                <w:color w:val="000000"/>
                <w:sz w:val="24"/>
                <w:szCs w:val="24"/>
              </w:rPr>
              <w:t>70,812,000.00</w:t>
            </w:r>
          </w:p>
        </w:tc>
        <w:tc>
          <w:tcPr>
            <w:vAlign w:val="center"/>
          </w:tcPr>
          <w:p>
            <w:pPr>
              <w:jc w:val="right"/>
            </w:pPr>
            <w:r>
              <w:rPr>
                <w:color w:val="000000"/>
                <w:sz w:val="24"/>
                <w:szCs w:val="24"/>
              </w:rPr>
              <w:t>6.80</w:t>
            </w:r>
          </w:p>
        </w:tc>
      </w:tr>
      <w:tr>
        <w:tc>
          <w:tcPr>
            <w:vAlign w:val="center"/>
          </w:tcPr>
          <w:p>
            <w:pPr>
              <w:jc w:val="center"/>
            </w:pPr>
            <w:r>
              <w:rPr>
                <w:color w:val="000000"/>
                <w:sz w:val="24"/>
                <w:szCs w:val="24"/>
              </w:rPr>
              <w:t>3</w:t>
            </w:r>
          </w:p>
        </w:tc>
        <w:tc>
          <w:tcPr>
            <w:vAlign w:val="center"/>
          </w:tcPr>
          <w:p>
            <w:pPr>
              <w:jc w:val="center"/>
            </w:pPr>
            <w:r>
              <w:rPr>
                <w:color w:val="000000"/>
                <w:sz w:val="24"/>
                <w:szCs w:val="24"/>
              </w:rPr>
              <w:t>1382160</w:t>
            </w:r>
          </w:p>
        </w:tc>
        <w:tc>
          <w:tcPr>
            <w:vAlign w:val="center"/>
          </w:tcPr>
          <w:p>
            <w:pPr>
              <w:jc w:val="center"/>
            </w:pPr>
            <w:r>
              <w:rPr>
                <w:color w:val="000000"/>
                <w:sz w:val="24"/>
                <w:szCs w:val="24"/>
              </w:rPr>
              <w:t>13北排水MTN1</w:t>
            </w:r>
          </w:p>
        </w:tc>
        <w:tc>
          <w:tcPr>
            <w:vAlign w:val="center"/>
          </w:tcPr>
          <w:p>
            <w:pPr>
              <w:jc w:val="right"/>
            </w:pPr>
            <w:r>
              <w:rPr>
                <w:color w:val="000000"/>
                <w:sz w:val="24"/>
                <w:szCs w:val="24"/>
              </w:rPr>
              <w:t>700,000</w:t>
            </w:r>
          </w:p>
        </w:tc>
        <w:tc>
          <w:tcPr>
            <w:vAlign w:val="center"/>
          </w:tcPr>
          <w:p>
            <w:pPr>
              <w:jc w:val="right"/>
            </w:pPr>
            <w:r>
              <w:rPr>
                <w:color w:val="000000"/>
                <w:sz w:val="24"/>
                <w:szCs w:val="24"/>
              </w:rPr>
              <w:t>70,357,000.00</w:t>
            </w:r>
          </w:p>
        </w:tc>
        <w:tc>
          <w:tcPr>
            <w:vAlign w:val="center"/>
          </w:tcPr>
          <w:p>
            <w:pPr>
              <w:jc w:val="right"/>
            </w:pPr>
            <w:r>
              <w:rPr>
                <w:color w:val="000000"/>
                <w:sz w:val="24"/>
                <w:szCs w:val="24"/>
              </w:rPr>
              <w:t>6.76</w:t>
            </w:r>
          </w:p>
        </w:tc>
      </w:tr>
      <w:tr>
        <w:tc>
          <w:tcPr>
            <w:vAlign w:val="center"/>
          </w:tcPr>
          <w:p>
            <w:pPr>
              <w:jc w:val="center"/>
            </w:pPr>
            <w:r>
              <w:rPr>
                <w:color w:val="000000"/>
                <w:sz w:val="24"/>
                <w:szCs w:val="24"/>
              </w:rPr>
              <w:t>4</w:t>
            </w:r>
          </w:p>
        </w:tc>
        <w:tc>
          <w:tcPr>
            <w:vAlign w:val="center"/>
          </w:tcPr>
          <w:p>
            <w:pPr>
              <w:jc w:val="center"/>
            </w:pPr>
            <w:r>
              <w:rPr>
                <w:color w:val="000000"/>
                <w:sz w:val="24"/>
                <w:szCs w:val="24"/>
              </w:rPr>
              <w:t>1180068</w:t>
            </w:r>
          </w:p>
        </w:tc>
        <w:tc>
          <w:tcPr>
            <w:vAlign w:val="center"/>
          </w:tcPr>
          <w:p>
            <w:pPr>
              <w:jc w:val="center"/>
            </w:pPr>
            <w:r>
              <w:rPr>
                <w:color w:val="000000"/>
                <w:sz w:val="24"/>
                <w:szCs w:val="24"/>
              </w:rPr>
              <w:t>11供销债</w:t>
            </w:r>
          </w:p>
        </w:tc>
        <w:tc>
          <w:tcPr>
            <w:vAlign w:val="center"/>
          </w:tcPr>
          <w:p>
            <w:pPr>
              <w:jc w:val="right"/>
            </w:pPr>
            <w:r>
              <w:rPr>
                <w:color w:val="000000"/>
                <w:sz w:val="24"/>
                <w:szCs w:val="24"/>
              </w:rPr>
              <w:t>600,000</w:t>
            </w:r>
          </w:p>
        </w:tc>
        <w:tc>
          <w:tcPr>
            <w:vAlign w:val="center"/>
          </w:tcPr>
          <w:p>
            <w:pPr>
              <w:jc w:val="right"/>
            </w:pPr>
            <w:r>
              <w:rPr>
                <w:color w:val="000000"/>
                <w:sz w:val="24"/>
                <w:szCs w:val="24"/>
              </w:rPr>
              <w:t>60,546,000.00</w:t>
            </w:r>
          </w:p>
        </w:tc>
        <w:tc>
          <w:tcPr>
            <w:vAlign w:val="center"/>
          </w:tcPr>
          <w:p>
            <w:pPr>
              <w:jc w:val="right"/>
            </w:pPr>
            <w:r>
              <w:rPr>
                <w:color w:val="000000"/>
                <w:sz w:val="24"/>
                <w:szCs w:val="24"/>
              </w:rPr>
              <w:t>5.82</w:t>
            </w:r>
          </w:p>
        </w:tc>
      </w:tr>
      <w:tr>
        <w:tc>
          <w:tcPr>
            <w:vAlign w:val="center"/>
          </w:tcPr>
          <w:p>
            <w:pPr>
              <w:jc w:val="center"/>
            </w:pPr>
            <w:r>
              <w:rPr>
                <w:color w:val="000000"/>
                <w:sz w:val="24"/>
                <w:szCs w:val="24"/>
              </w:rPr>
              <w:t>5</w:t>
            </w:r>
          </w:p>
        </w:tc>
        <w:tc>
          <w:tcPr>
            <w:vAlign w:val="center"/>
          </w:tcPr>
          <w:p>
            <w:pPr>
              <w:jc w:val="center"/>
            </w:pPr>
            <w:r>
              <w:rPr>
                <w:color w:val="000000"/>
                <w:sz w:val="24"/>
                <w:szCs w:val="24"/>
              </w:rPr>
              <w:t>1382243</w:t>
            </w:r>
          </w:p>
        </w:tc>
        <w:tc>
          <w:tcPr>
            <w:vAlign w:val="center"/>
          </w:tcPr>
          <w:p>
            <w:pPr>
              <w:jc w:val="center"/>
            </w:pPr>
            <w:r>
              <w:rPr>
                <w:color w:val="000000"/>
                <w:sz w:val="24"/>
                <w:szCs w:val="24"/>
              </w:rPr>
              <w:t>13粤城建MTN1</w:t>
            </w:r>
          </w:p>
        </w:tc>
        <w:tc>
          <w:tcPr>
            <w:vAlign w:val="center"/>
          </w:tcPr>
          <w:p>
            <w:pPr>
              <w:jc w:val="right"/>
            </w:pPr>
            <w:r>
              <w:rPr>
                <w:color w:val="000000"/>
                <w:sz w:val="24"/>
                <w:szCs w:val="24"/>
              </w:rPr>
              <w:t>600,000</w:t>
            </w:r>
          </w:p>
        </w:tc>
        <w:tc>
          <w:tcPr>
            <w:vAlign w:val="center"/>
          </w:tcPr>
          <w:p>
            <w:pPr>
              <w:jc w:val="right"/>
            </w:pPr>
            <w:r>
              <w:rPr>
                <w:color w:val="000000"/>
                <w:sz w:val="24"/>
                <w:szCs w:val="24"/>
              </w:rPr>
              <w:t>60,240,000.00</w:t>
            </w:r>
          </w:p>
        </w:tc>
        <w:tc>
          <w:tcPr>
            <w:vAlign w:val="center"/>
          </w:tcPr>
          <w:p>
            <w:pPr>
              <w:jc w:val="right"/>
            </w:pPr>
            <w:r>
              <w:rPr>
                <w:color w:val="000000"/>
                <w:sz w:val="24"/>
                <w:szCs w:val="24"/>
              </w:rPr>
              <w:t>5.79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28,362.62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6,271,711.80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22,026,745.24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297.03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28,327,541.74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1,187,104,493.07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73,504.71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137,919,719.23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1,049,258,278.55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Chars="200" w:firstLine="480"/>
        <w:rPr>
          <w:color w:val="000000"/>
          <w:sz w:val="24"/>
          <w:szCs w:val="24"/>
        </w:rPr>
      </w:pPr>
      <w:r>
        <w:rPr>
          <w:color w:val="000000"/>
          <w:sz w:val="24"/>
          <w:szCs w:val="24"/>
        </w:rPr>
        <w:t>2、《交银施罗德荣和保本混合型证券投资基金基金合同》；</w:t>
      </w:r>
    </w:p>
    <w:p>
      <w:pPr>
        <w:spacing w:before="29" w:line="288" w:lineRule="auto"/>
        <w:ind w:firstLineChars="200" w:firstLine="480"/>
        <w:rPr>
          <w:color w:val="000000"/>
          <w:sz w:val="24"/>
          <w:szCs w:val="24"/>
        </w:rPr>
      </w:pPr>
      <w:r>
        <w:rPr>
          <w:color w:val="000000"/>
          <w:sz w:val="24"/>
          <w:szCs w:val="24"/>
        </w:rPr>
        <w:t xml:space="preserve">3、《交银施罗德荣和保本混合型证券投资基金招募说明书》；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4、《交银施罗德荣和保本混合型证券投资基金托管协议》； </w:t>
      </w:r>
    </w:p>
    <w:p>
      <w:pPr>
        <w:spacing w:before="29" w:line="288" w:lineRule="auto"/>
        <w:ind w:firstLineChars="200" w:firstLine="480"/>
        <w:rPr>
          <w:color w:val="000000"/>
          <w:sz w:val="24"/>
          <w:szCs w:val="24"/>
        </w:rPr>
      </w:pPr>
      <w:r>
        <w:rPr>
          <w:color w:val="000000"/>
          <w:sz w:val="24"/>
          <w:szCs w:val="24"/>
        </w:rPr>
        <w:t>5、基金管理人业务资格批件、营业执照；</w:t>
      </w:r>
    </w:p>
    <w:p>
      <w:pPr>
        <w:spacing w:before="29" w:line="288" w:lineRule="auto"/>
        <w:ind w:firstLineChars="200" w:firstLine="480"/>
        <w:rPr>
          <w:color w:val="000000"/>
          <w:sz w:val="24"/>
          <w:szCs w:val="24"/>
        </w:rPr>
      </w:pPr>
      <w:r>
        <w:rPr>
          <w:color w:val="000000"/>
          <w:sz w:val="24"/>
          <w:szCs w:val="24"/>
        </w:rPr>
        <w:t>6、基金托管人业务资格批件、营业执照；</w:t>
      </w:r>
    </w:p>
    <w:p>
      <w:pPr>
        <w:spacing w:before="29" w:line="288" w:lineRule="auto"/>
        <w:ind w:firstLineChars="200" w:firstLine="480"/>
        <w:rPr>
          <w:color w:val="000000"/>
          <w:sz w:val="24"/>
          <w:szCs w:val="24"/>
        </w:rPr>
      </w:pPr>
      <w:r>
        <w:rPr>
          <w:color w:val="000000"/>
          <w:sz w:val="24"/>
          <w:szCs w:val="24"/>
        </w:rPr>
        <w:t>7、关于申请募集注册交银施罗德荣和保本混合型证券投资基金的法律意见书；</w:t>
      </w:r>
    </w:p>
    <w:p>
      <w:pPr>
        <w:spacing w:before="29" w:line="288" w:lineRule="auto"/>
        <w:ind w:firstLineChars="200" w:firstLine="480"/>
        <w:rPr>
          <w:color w:val="000000"/>
          <w:sz w:val="24"/>
          <w:szCs w:val="24"/>
        </w:rPr>
      </w:pPr>
      <w:r>
        <w:rPr>
          <w:color w:val="000000"/>
          <w:sz w:val="24"/>
          <w:szCs w:val="24"/>
        </w:rPr>
        <w:t>8、《交银施罗德荣和保本混合型证券投资基金保证合同》；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