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A60943">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E1EF9" w:rsidRDefault="00A6094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E1EF9" w:rsidRDefault="00A6094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E1EF9" w:rsidRDefault="00A6094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E1EF9" w:rsidRDefault="00A6094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E1EF9" w:rsidRDefault="00A6094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6094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1,317,601,550.99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6094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60943" w:rsidRPr="00414345" w:rsidTr="00A6094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60943" w:rsidRPr="00414345" w:rsidTr="00A609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210,303,034.97</w:t>
            </w:r>
          </w:p>
        </w:tc>
      </w:tr>
      <w:tr w:rsidR="00A60943" w:rsidRPr="00414345" w:rsidTr="00A609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367,082,174.90</w:t>
            </w:r>
          </w:p>
        </w:tc>
      </w:tr>
      <w:tr w:rsidR="00A60943" w:rsidRPr="00414345" w:rsidTr="00A609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0.2997</w:t>
            </w:r>
          </w:p>
        </w:tc>
      </w:tr>
      <w:tr w:rsidR="00A60943" w:rsidRPr="00414345" w:rsidTr="00A609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3,205,112,483.00</w:t>
            </w:r>
          </w:p>
        </w:tc>
      </w:tr>
      <w:tr w:rsidR="00A60943" w:rsidRPr="00414345" w:rsidTr="00A6094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2.433</w:t>
            </w:r>
          </w:p>
        </w:tc>
      </w:tr>
    </w:tbl>
    <w:p w:rsidR="009E1EF9" w:rsidRDefault="00A6094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E1EF9">
        <w:trPr>
          <w:jc w:val="center"/>
        </w:trPr>
        <w:tc>
          <w:tcPr>
            <w:tcW w:w="1701" w:type="dxa"/>
            <w:vAlign w:val="center"/>
          </w:tcPr>
          <w:p w:rsidR="009E1EF9" w:rsidRDefault="00A60943">
            <w:pPr>
              <w:jc w:val="left"/>
            </w:pPr>
            <w:r>
              <w:rPr>
                <w:color w:val="000000"/>
                <w:sz w:val="24"/>
                <w:szCs w:val="24"/>
              </w:rPr>
              <w:t>过去三个月</w:t>
            </w:r>
          </w:p>
        </w:tc>
        <w:tc>
          <w:tcPr>
            <w:tcW w:w="1045" w:type="dxa"/>
            <w:vAlign w:val="center"/>
          </w:tcPr>
          <w:p w:rsidR="009E1EF9" w:rsidRDefault="00A60943">
            <w:pPr>
              <w:jc w:val="center"/>
            </w:pPr>
            <w:r>
              <w:rPr>
                <w:color w:val="000000"/>
                <w:sz w:val="24"/>
                <w:szCs w:val="24"/>
              </w:rPr>
              <w:t>14.23%</w:t>
            </w:r>
          </w:p>
        </w:tc>
        <w:tc>
          <w:tcPr>
            <w:tcW w:w="1344" w:type="dxa"/>
            <w:vAlign w:val="center"/>
          </w:tcPr>
          <w:p w:rsidR="009E1EF9" w:rsidRDefault="00A60943">
            <w:pPr>
              <w:jc w:val="center"/>
            </w:pPr>
            <w:r>
              <w:rPr>
                <w:color w:val="000000"/>
                <w:sz w:val="24"/>
                <w:szCs w:val="24"/>
              </w:rPr>
              <w:t>0.91%</w:t>
            </w:r>
          </w:p>
        </w:tc>
        <w:tc>
          <w:tcPr>
            <w:tcW w:w="1194" w:type="dxa"/>
            <w:vAlign w:val="center"/>
          </w:tcPr>
          <w:p w:rsidR="009E1EF9" w:rsidRDefault="00A60943">
            <w:pPr>
              <w:jc w:val="center"/>
            </w:pPr>
            <w:r>
              <w:rPr>
                <w:color w:val="000000"/>
                <w:sz w:val="24"/>
                <w:szCs w:val="24"/>
              </w:rPr>
              <w:t>4.31%</w:t>
            </w:r>
          </w:p>
        </w:tc>
        <w:tc>
          <w:tcPr>
            <w:tcW w:w="1492" w:type="dxa"/>
            <w:vAlign w:val="center"/>
          </w:tcPr>
          <w:p w:rsidR="009E1EF9" w:rsidRDefault="00A60943">
            <w:pPr>
              <w:jc w:val="center"/>
            </w:pPr>
            <w:r>
              <w:rPr>
                <w:color w:val="000000"/>
                <w:sz w:val="24"/>
                <w:szCs w:val="24"/>
              </w:rPr>
              <w:t>0.66%</w:t>
            </w:r>
          </w:p>
        </w:tc>
        <w:tc>
          <w:tcPr>
            <w:tcW w:w="1194" w:type="dxa"/>
            <w:vAlign w:val="center"/>
          </w:tcPr>
          <w:p w:rsidR="009E1EF9" w:rsidRDefault="00A60943">
            <w:pPr>
              <w:jc w:val="center"/>
            </w:pPr>
            <w:r>
              <w:rPr>
                <w:color w:val="000000"/>
                <w:sz w:val="24"/>
                <w:szCs w:val="24"/>
              </w:rPr>
              <w:t>9.92%</w:t>
            </w:r>
          </w:p>
        </w:tc>
        <w:tc>
          <w:tcPr>
            <w:tcW w:w="898" w:type="dxa"/>
            <w:vAlign w:val="center"/>
          </w:tcPr>
          <w:p w:rsidR="009E1EF9" w:rsidRDefault="00A60943">
            <w:pPr>
              <w:jc w:val="center"/>
            </w:pPr>
            <w:r>
              <w:rPr>
                <w:color w:val="000000"/>
                <w:sz w:val="24"/>
                <w:szCs w:val="24"/>
              </w:rPr>
              <w:t>0.25%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6094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E1EF9">
        <w:trPr>
          <w:jc w:val="center"/>
        </w:trPr>
        <w:tc>
          <w:tcPr>
            <w:tcW w:w="846" w:type="dxa"/>
            <w:vAlign w:val="center"/>
          </w:tcPr>
          <w:p w:rsidR="009E1EF9" w:rsidRDefault="00A60943">
            <w:pPr>
              <w:jc w:val="center"/>
            </w:pPr>
            <w:r>
              <w:rPr>
                <w:color w:val="000000"/>
                <w:sz w:val="24"/>
                <w:szCs w:val="24"/>
              </w:rPr>
              <w:t>任相栋</w:t>
            </w:r>
          </w:p>
        </w:tc>
        <w:tc>
          <w:tcPr>
            <w:tcW w:w="845" w:type="dxa"/>
            <w:vAlign w:val="center"/>
          </w:tcPr>
          <w:p w:rsidR="009E1EF9" w:rsidRDefault="00A60943">
            <w:pPr>
              <w:jc w:val="center"/>
            </w:pPr>
            <w:r>
              <w:rPr>
                <w:color w:val="000000"/>
                <w:sz w:val="24"/>
                <w:szCs w:val="24"/>
              </w:rPr>
              <w:t>交银先进制造混合、交银经济新动力混合的基金</w:t>
            </w:r>
            <w:r>
              <w:rPr>
                <w:color w:val="000000"/>
                <w:sz w:val="24"/>
                <w:szCs w:val="24"/>
              </w:rPr>
              <w:lastRenderedPageBreak/>
              <w:t>经理</w:t>
            </w:r>
          </w:p>
        </w:tc>
        <w:tc>
          <w:tcPr>
            <w:tcW w:w="1549" w:type="dxa"/>
            <w:vAlign w:val="center"/>
          </w:tcPr>
          <w:p w:rsidR="009E1EF9" w:rsidRDefault="00A60943">
            <w:pPr>
              <w:jc w:val="center"/>
            </w:pPr>
            <w:r>
              <w:rPr>
                <w:color w:val="000000"/>
                <w:sz w:val="24"/>
                <w:szCs w:val="24"/>
              </w:rPr>
              <w:lastRenderedPageBreak/>
              <w:t>2015-01-21</w:t>
            </w:r>
          </w:p>
        </w:tc>
        <w:tc>
          <w:tcPr>
            <w:tcW w:w="1548" w:type="dxa"/>
            <w:vAlign w:val="center"/>
          </w:tcPr>
          <w:p w:rsidR="009E1EF9" w:rsidRDefault="00A60943">
            <w:pPr>
              <w:jc w:val="center"/>
            </w:pPr>
            <w:r>
              <w:rPr>
                <w:color w:val="000000"/>
                <w:sz w:val="24"/>
                <w:szCs w:val="24"/>
              </w:rPr>
              <w:t>-</w:t>
            </w:r>
          </w:p>
        </w:tc>
        <w:tc>
          <w:tcPr>
            <w:tcW w:w="1407" w:type="dxa"/>
            <w:vAlign w:val="center"/>
          </w:tcPr>
          <w:p w:rsidR="009E1EF9" w:rsidRDefault="00A60943">
            <w:pPr>
              <w:jc w:val="center"/>
            </w:pPr>
            <w:r>
              <w:rPr>
                <w:color w:val="000000"/>
                <w:sz w:val="24"/>
                <w:szCs w:val="24"/>
              </w:rPr>
              <w:t>7</w:t>
            </w:r>
            <w:r>
              <w:rPr>
                <w:color w:val="000000"/>
                <w:sz w:val="24"/>
                <w:szCs w:val="24"/>
              </w:rPr>
              <w:t>年</w:t>
            </w:r>
          </w:p>
        </w:tc>
        <w:tc>
          <w:tcPr>
            <w:tcW w:w="2673" w:type="dxa"/>
            <w:vAlign w:val="center"/>
          </w:tcPr>
          <w:p w:rsidR="009E1EF9" w:rsidRDefault="00A60943">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E1EF9" w:rsidRDefault="00A6094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E1EF9" w:rsidRDefault="00A6094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E1EF9" w:rsidRDefault="00A6094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E1EF9" w:rsidRDefault="00A60943">
      <w:pPr>
        <w:spacing w:before="29" w:line="288" w:lineRule="auto"/>
        <w:ind w:firstLineChars="200" w:firstLine="480"/>
        <w:rPr>
          <w:color w:val="000000"/>
          <w:sz w:val="24"/>
          <w:szCs w:val="24"/>
        </w:rPr>
      </w:pPr>
      <w:r>
        <w:rPr>
          <w:color w:val="000000"/>
          <w:sz w:val="24"/>
          <w:szCs w:val="24"/>
        </w:rPr>
        <w:t>在金融去杠杆暂告段落、经济复苏带动下，三季度市场涨幅明显，市场的主线是有色、钢铁、采掘等周期性板块和</w:t>
      </w:r>
      <w:r>
        <w:rPr>
          <w:color w:val="000000"/>
          <w:sz w:val="24"/>
          <w:szCs w:val="24"/>
        </w:rPr>
        <w:t>5G</w:t>
      </w:r>
      <w:r>
        <w:rPr>
          <w:color w:val="000000"/>
          <w:sz w:val="24"/>
          <w:szCs w:val="24"/>
        </w:rPr>
        <w:t>、电动汽车等新兴板块。创业板的表现仍落后于上证综指和中小板指数，背后市场的逻辑仍然围绕</w:t>
      </w:r>
      <w:r>
        <w:rPr>
          <w:color w:val="000000"/>
          <w:sz w:val="24"/>
          <w:szCs w:val="24"/>
        </w:rPr>
        <w:t>“</w:t>
      </w:r>
      <w:r>
        <w:rPr>
          <w:color w:val="000000"/>
          <w:sz w:val="24"/>
          <w:szCs w:val="24"/>
        </w:rPr>
        <w:t>估值和业绩</w:t>
      </w:r>
      <w:r>
        <w:rPr>
          <w:color w:val="000000"/>
          <w:sz w:val="24"/>
          <w:szCs w:val="24"/>
        </w:rPr>
        <w:t>”</w:t>
      </w:r>
      <w:r>
        <w:rPr>
          <w:color w:val="000000"/>
          <w:sz w:val="24"/>
          <w:szCs w:val="24"/>
        </w:rPr>
        <w:t>的逻辑，而不是</w:t>
      </w:r>
      <w:r>
        <w:rPr>
          <w:color w:val="000000"/>
          <w:sz w:val="24"/>
          <w:szCs w:val="24"/>
        </w:rPr>
        <w:t>“</w:t>
      </w:r>
      <w:r>
        <w:rPr>
          <w:color w:val="000000"/>
          <w:sz w:val="24"/>
          <w:szCs w:val="24"/>
        </w:rPr>
        <w:t>远期</w:t>
      </w:r>
      <w:r>
        <w:rPr>
          <w:color w:val="000000"/>
          <w:sz w:val="24"/>
          <w:szCs w:val="24"/>
        </w:rPr>
        <w:t>”</w:t>
      </w:r>
      <w:r>
        <w:rPr>
          <w:color w:val="000000"/>
          <w:sz w:val="24"/>
          <w:szCs w:val="24"/>
        </w:rPr>
        <w:t>梦</w:t>
      </w:r>
      <w:r>
        <w:rPr>
          <w:color w:val="000000"/>
          <w:sz w:val="24"/>
          <w:szCs w:val="24"/>
        </w:rPr>
        <w:lastRenderedPageBreak/>
        <w:t>想的逻辑。</w:t>
      </w:r>
    </w:p>
    <w:p w:rsidR="009E1EF9" w:rsidRDefault="00A60943">
      <w:pPr>
        <w:spacing w:before="29" w:line="288" w:lineRule="auto"/>
        <w:ind w:firstLineChars="200" w:firstLine="480"/>
        <w:rPr>
          <w:color w:val="000000"/>
          <w:sz w:val="24"/>
          <w:szCs w:val="24"/>
        </w:rPr>
      </w:pPr>
      <w:r>
        <w:rPr>
          <w:color w:val="000000"/>
          <w:sz w:val="24"/>
          <w:szCs w:val="24"/>
        </w:rPr>
        <w:t>本基金三季度跑赢业绩比较基准，主要是把握了市场反弹中相关个股的投资机会。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我们认为市场更加注重估值和业绩的主逻辑不会变化，部分高估值且缺乏业绩驱动力的股票虽然有短期反弹的可能，但难有持续性的表现。四季度整体市场的表现较难预测，主要在于经济是否会在四季度有明显的阶段性回落，重大政治社会事件对风险偏好的影响，以及未来的经济金融政策都有较大的不确定性。本基金四季度将维持中性仓位，力求控制好业绩回撤，同时部分回避年初以来涨幅较好的板块和方向以防受到上涨回调的影响，在滞胀板块和个股中寻找投资机会。本基金将继续致力于在控制好风险的情况下，努力为持有人取得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2.433</w:t>
      </w:r>
      <w:r w:rsidRPr="00414345">
        <w:rPr>
          <w:color w:val="000000"/>
          <w:sz w:val="24"/>
          <w:szCs w:val="24"/>
        </w:rPr>
        <w:t>元，本报告期份额净值增长率为</w:t>
      </w:r>
      <w:r w:rsidRPr="00414345">
        <w:rPr>
          <w:color w:val="000000"/>
          <w:sz w:val="24"/>
          <w:szCs w:val="24"/>
        </w:rPr>
        <w:t>14.23%</w:t>
      </w:r>
      <w:r w:rsidRPr="00414345">
        <w:rPr>
          <w:color w:val="000000"/>
          <w:sz w:val="24"/>
          <w:szCs w:val="24"/>
        </w:rPr>
        <w:t>，同期业绩比较基准增长率</w:t>
      </w:r>
      <w:r w:rsidRPr="00414345">
        <w:rPr>
          <w:color w:val="000000"/>
          <w:sz w:val="24"/>
          <w:szCs w:val="24"/>
        </w:rPr>
        <w:t>4.31%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6094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2,626,260,604.99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2,626,260,604.99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142,604,000.00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142,604,000.00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284,933,067.40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8.68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198,868,668.64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6.06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30,195,891.68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0.92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3,282,862,232.71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39,793.60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2,186,116,616.02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15,691,309.44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26,777,225.00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26,380.90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139,104,646.02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85,639,641.05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63,203,202.16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115,299.99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109,520,918.90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2,626,260,604.99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81.94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w:t>
            </w:r>
            <w:r w:rsidRPr="00414345">
              <w:rPr>
                <w:color w:val="000000"/>
                <w:sz w:val="24"/>
                <w:szCs w:val="24"/>
              </w:rPr>
              <w:lastRenderedPageBreak/>
              <w:t>净值比例</w:t>
            </w:r>
            <w:r w:rsidR="00B47982" w:rsidRPr="00414345">
              <w:rPr>
                <w:color w:val="000000"/>
                <w:sz w:val="24"/>
              </w:rPr>
              <w:t>（％）</w:t>
            </w:r>
          </w:p>
        </w:tc>
      </w:tr>
      <w:tr w:rsidR="009E1EF9">
        <w:trPr>
          <w:jc w:val="center"/>
        </w:trPr>
        <w:tc>
          <w:tcPr>
            <w:tcW w:w="855" w:type="dxa"/>
            <w:vAlign w:val="center"/>
          </w:tcPr>
          <w:p w:rsidR="009E1EF9" w:rsidRDefault="00A60943">
            <w:pPr>
              <w:jc w:val="center"/>
            </w:pPr>
            <w:r>
              <w:rPr>
                <w:color w:val="000000"/>
                <w:sz w:val="24"/>
                <w:szCs w:val="24"/>
              </w:rPr>
              <w:lastRenderedPageBreak/>
              <w:t>1</w:t>
            </w:r>
          </w:p>
        </w:tc>
        <w:tc>
          <w:tcPr>
            <w:tcW w:w="1334" w:type="dxa"/>
            <w:vAlign w:val="center"/>
          </w:tcPr>
          <w:p w:rsidR="009E1EF9" w:rsidRDefault="00A60943">
            <w:pPr>
              <w:jc w:val="center"/>
            </w:pPr>
            <w:r>
              <w:rPr>
                <w:color w:val="000000"/>
                <w:sz w:val="24"/>
                <w:szCs w:val="24"/>
              </w:rPr>
              <w:t>300129</w:t>
            </w:r>
          </w:p>
        </w:tc>
        <w:tc>
          <w:tcPr>
            <w:tcW w:w="1777" w:type="dxa"/>
            <w:vAlign w:val="center"/>
          </w:tcPr>
          <w:p w:rsidR="009E1EF9" w:rsidRDefault="00A60943">
            <w:pPr>
              <w:jc w:val="center"/>
            </w:pPr>
            <w:r>
              <w:rPr>
                <w:color w:val="000000"/>
                <w:sz w:val="24"/>
                <w:szCs w:val="24"/>
              </w:rPr>
              <w:t>泰胜风能</w:t>
            </w:r>
          </w:p>
        </w:tc>
        <w:tc>
          <w:tcPr>
            <w:tcW w:w="1334" w:type="dxa"/>
            <w:vAlign w:val="center"/>
          </w:tcPr>
          <w:p w:rsidR="009E1EF9" w:rsidRDefault="00A60943">
            <w:pPr>
              <w:jc w:val="right"/>
            </w:pPr>
            <w:r>
              <w:rPr>
                <w:color w:val="000000"/>
                <w:sz w:val="24"/>
                <w:szCs w:val="24"/>
              </w:rPr>
              <w:t>32,105,552</w:t>
            </w:r>
          </w:p>
        </w:tc>
        <w:tc>
          <w:tcPr>
            <w:tcW w:w="1924" w:type="dxa"/>
            <w:vAlign w:val="center"/>
          </w:tcPr>
          <w:p w:rsidR="009E1EF9" w:rsidRDefault="00A60943">
            <w:pPr>
              <w:jc w:val="right"/>
            </w:pPr>
            <w:r>
              <w:rPr>
                <w:color w:val="000000"/>
                <w:sz w:val="24"/>
                <w:szCs w:val="24"/>
              </w:rPr>
              <w:t>246,570,639.36</w:t>
            </w:r>
          </w:p>
        </w:tc>
        <w:tc>
          <w:tcPr>
            <w:tcW w:w="1644" w:type="dxa"/>
            <w:vAlign w:val="center"/>
          </w:tcPr>
          <w:p w:rsidR="009E1EF9" w:rsidRDefault="00A60943">
            <w:pPr>
              <w:jc w:val="right"/>
            </w:pPr>
            <w:r>
              <w:rPr>
                <w:color w:val="000000"/>
                <w:sz w:val="24"/>
                <w:szCs w:val="24"/>
              </w:rPr>
              <w:t>7.69</w:t>
            </w:r>
          </w:p>
        </w:tc>
      </w:tr>
      <w:tr w:rsidR="009E1EF9">
        <w:trPr>
          <w:jc w:val="center"/>
        </w:trPr>
        <w:tc>
          <w:tcPr>
            <w:tcW w:w="855" w:type="dxa"/>
            <w:vAlign w:val="center"/>
          </w:tcPr>
          <w:p w:rsidR="009E1EF9" w:rsidRDefault="00A60943">
            <w:pPr>
              <w:jc w:val="center"/>
            </w:pPr>
            <w:r>
              <w:rPr>
                <w:color w:val="000000"/>
                <w:sz w:val="24"/>
                <w:szCs w:val="24"/>
              </w:rPr>
              <w:t>2</w:t>
            </w:r>
          </w:p>
        </w:tc>
        <w:tc>
          <w:tcPr>
            <w:tcW w:w="1334" w:type="dxa"/>
            <w:vAlign w:val="center"/>
          </w:tcPr>
          <w:p w:rsidR="009E1EF9" w:rsidRDefault="00A60943">
            <w:pPr>
              <w:jc w:val="center"/>
            </w:pPr>
            <w:r>
              <w:rPr>
                <w:color w:val="000000"/>
                <w:sz w:val="24"/>
                <w:szCs w:val="24"/>
              </w:rPr>
              <w:t>600066</w:t>
            </w:r>
          </w:p>
        </w:tc>
        <w:tc>
          <w:tcPr>
            <w:tcW w:w="1777" w:type="dxa"/>
            <w:vAlign w:val="center"/>
          </w:tcPr>
          <w:p w:rsidR="009E1EF9" w:rsidRDefault="00A60943">
            <w:pPr>
              <w:jc w:val="center"/>
            </w:pPr>
            <w:r>
              <w:rPr>
                <w:color w:val="000000"/>
                <w:sz w:val="24"/>
                <w:szCs w:val="24"/>
              </w:rPr>
              <w:t>宇通客车</w:t>
            </w:r>
          </w:p>
        </w:tc>
        <w:tc>
          <w:tcPr>
            <w:tcW w:w="1334" w:type="dxa"/>
            <w:vAlign w:val="center"/>
          </w:tcPr>
          <w:p w:rsidR="009E1EF9" w:rsidRDefault="00A60943">
            <w:pPr>
              <w:jc w:val="right"/>
            </w:pPr>
            <w:r>
              <w:rPr>
                <w:color w:val="000000"/>
                <w:sz w:val="24"/>
                <w:szCs w:val="24"/>
              </w:rPr>
              <w:t>7,662,814</w:t>
            </w:r>
          </w:p>
        </w:tc>
        <w:tc>
          <w:tcPr>
            <w:tcW w:w="1924" w:type="dxa"/>
            <w:vAlign w:val="center"/>
          </w:tcPr>
          <w:p w:rsidR="009E1EF9" w:rsidRDefault="00A60943">
            <w:pPr>
              <w:jc w:val="right"/>
            </w:pPr>
            <w:r>
              <w:rPr>
                <w:color w:val="000000"/>
                <w:sz w:val="24"/>
                <w:szCs w:val="24"/>
              </w:rPr>
              <w:t>188,505,224.40</w:t>
            </w:r>
          </w:p>
        </w:tc>
        <w:tc>
          <w:tcPr>
            <w:tcW w:w="1644" w:type="dxa"/>
            <w:vAlign w:val="center"/>
          </w:tcPr>
          <w:p w:rsidR="009E1EF9" w:rsidRDefault="00A60943">
            <w:pPr>
              <w:jc w:val="right"/>
            </w:pPr>
            <w:r>
              <w:rPr>
                <w:color w:val="000000"/>
                <w:sz w:val="24"/>
                <w:szCs w:val="24"/>
              </w:rPr>
              <w:t>5.88</w:t>
            </w:r>
          </w:p>
        </w:tc>
      </w:tr>
      <w:tr w:rsidR="009E1EF9">
        <w:trPr>
          <w:jc w:val="center"/>
        </w:trPr>
        <w:tc>
          <w:tcPr>
            <w:tcW w:w="855" w:type="dxa"/>
            <w:vAlign w:val="center"/>
          </w:tcPr>
          <w:p w:rsidR="009E1EF9" w:rsidRDefault="00A60943">
            <w:pPr>
              <w:jc w:val="center"/>
            </w:pPr>
            <w:r>
              <w:rPr>
                <w:color w:val="000000"/>
                <w:sz w:val="24"/>
                <w:szCs w:val="24"/>
              </w:rPr>
              <w:t>3</w:t>
            </w:r>
          </w:p>
        </w:tc>
        <w:tc>
          <w:tcPr>
            <w:tcW w:w="1334" w:type="dxa"/>
            <w:vAlign w:val="center"/>
          </w:tcPr>
          <w:p w:rsidR="009E1EF9" w:rsidRDefault="00A60943">
            <w:pPr>
              <w:jc w:val="center"/>
            </w:pPr>
            <w:r>
              <w:rPr>
                <w:color w:val="000000"/>
                <w:sz w:val="24"/>
                <w:szCs w:val="24"/>
              </w:rPr>
              <w:t>601766</w:t>
            </w:r>
          </w:p>
        </w:tc>
        <w:tc>
          <w:tcPr>
            <w:tcW w:w="1777" w:type="dxa"/>
            <w:vAlign w:val="center"/>
          </w:tcPr>
          <w:p w:rsidR="009E1EF9" w:rsidRDefault="00A60943">
            <w:pPr>
              <w:jc w:val="center"/>
            </w:pPr>
            <w:r>
              <w:rPr>
                <w:color w:val="000000"/>
                <w:sz w:val="24"/>
                <w:szCs w:val="24"/>
              </w:rPr>
              <w:t>中国中车</w:t>
            </w:r>
          </w:p>
        </w:tc>
        <w:tc>
          <w:tcPr>
            <w:tcW w:w="1334" w:type="dxa"/>
            <w:vAlign w:val="center"/>
          </w:tcPr>
          <w:p w:rsidR="009E1EF9" w:rsidRDefault="00A60943">
            <w:pPr>
              <w:jc w:val="right"/>
            </w:pPr>
            <w:r>
              <w:rPr>
                <w:color w:val="000000"/>
                <w:sz w:val="24"/>
                <w:szCs w:val="24"/>
              </w:rPr>
              <w:t>12,932,400</w:t>
            </w:r>
          </w:p>
        </w:tc>
        <w:tc>
          <w:tcPr>
            <w:tcW w:w="1924" w:type="dxa"/>
            <w:vAlign w:val="center"/>
          </w:tcPr>
          <w:p w:rsidR="009E1EF9" w:rsidRDefault="00A60943">
            <w:pPr>
              <w:jc w:val="right"/>
            </w:pPr>
            <w:r>
              <w:rPr>
                <w:color w:val="000000"/>
                <w:sz w:val="24"/>
                <w:szCs w:val="24"/>
              </w:rPr>
              <w:t>125,832,252.00</w:t>
            </w:r>
          </w:p>
        </w:tc>
        <w:tc>
          <w:tcPr>
            <w:tcW w:w="1644" w:type="dxa"/>
            <w:vAlign w:val="center"/>
          </w:tcPr>
          <w:p w:rsidR="009E1EF9" w:rsidRDefault="00A60943">
            <w:pPr>
              <w:jc w:val="right"/>
            </w:pPr>
            <w:r>
              <w:rPr>
                <w:color w:val="000000"/>
                <w:sz w:val="24"/>
                <w:szCs w:val="24"/>
              </w:rPr>
              <w:t>3.93</w:t>
            </w:r>
          </w:p>
        </w:tc>
      </w:tr>
      <w:tr w:rsidR="009E1EF9">
        <w:trPr>
          <w:jc w:val="center"/>
        </w:trPr>
        <w:tc>
          <w:tcPr>
            <w:tcW w:w="855" w:type="dxa"/>
            <w:vAlign w:val="center"/>
          </w:tcPr>
          <w:p w:rsidR="009E1EF9" w:rsidRDefault="00A60943">
            <w:pPr>
              <w:jc w:val="center"/>
            </w:pPr>
            <w:r>
              <w:rPr>
                <w:color w:val="000000"/>
                <w:sz w:val="24"/>
                <w:szCs w:val="24"/>
              </w:rPr>
              <w:t>4</w:t>
            </w:r>
          </w:p>
        </w:tc>
        <w:tc>
          <w:tcPr>
            <w:tcW w:w="1334" w:type="dxa"/>
            <w:vAlign w:val="center"/>
          </w:tcPr>
          <w:p w:rsidR="009E1EF9" w:rsidRDefault="00A60943">
            <w:pPr>
              <w:jc w:val="center"/>
            </w:pPr>
            <w:r>
              <w:rPr>
                <w:color w:val="000000"/>
                <w:sz w:val="24"/>
                <w:szCs w:val="24"/>
              </w:rPr>
              <w:t>600499</w:t>
            </w:r>
          </w:p>
        </w:tc>
        <w:tc>
          <w:tcPr>
            <w:tcW w:w="1777" w:type="dxa"/>
            <w:vAlign w:val="center"/>
          </w:tcPr>
          <w:p w:rsidR="009E1EF9" w:rsidRDefault="00A60943">
            <w:pPr>
              <w:jc w:val="center"/>
            </w:pPr>
            <w:r>
              <w:rPr>
                <w:color w:val="000000"/>
                <w:sz w:val="24"/>
                <w:szCs w:val="24"/>
              </w:rPr>
              <w:t>科达洁能</w:t>
            </w:r>
          </w:p>
        </w:tc>
        <w:tc>
          <w:tcPr>
            <w:tcW w:w="1334" w:type="dxa"/>
            <w:vAlign w:val="center"/>
          </w:tcPr>
          <w:p w:rsidR="009E1EF9" w:rsidRDefault="00A60943">
            <w:pPr>
              <w:jc w:val="right"/>
            </w:pPr>
            <w:r>
              <w:rPr>
                <w:color w:val="000000"/>
                <w:sz w:val="24"/>
                <w:szCs w:val="24"/>
              </w:rPr>
              <w:t>9,315,267</w:t>
            </w:r>
          </w:p>
        </w:tc>
        <w:tc>
          <w:tcPr>
            <w:tcW w:w="1924" w:type="dxa"/>
            <w:vAlign w:val="center"/>
          </w:tcPr>
          <w:p w:rsidR="009E1EF9" w:rsidRDefault="00A60943">
            <w:pPr>
              <w:jc w:val="right"/>
            </w:pPr>
            <w:r>
              <w:rPr>
                <w:color w:val="000000"/>
                <w:sz w:val="24"/>
                <w:szCs w:val="24"/>
              </w:rPr>
              <w:t>107,218,723.17</w:t>
            </w:r>
          </w:p>
        </w:tc>
        <w:tc>
          <w:tcPr>
            <w:tcW w:w="1644" w:type="dxa"/>
            <w:vAlign w:val="center"/>
          </w:tcPr>
          <w:p w:rsidR="009E1EF9" w:rsidRDefault="00A60943">
            <w:pPr>
              <w:jc w:val="right"/>
            </w:pPr>
            <w:r>
              <w:rPr>
                <w:color w:val="000000"/>
                <w:sz w:val="24"/>
                <w:szCs w:val="24"/>
              </w:rPr>
              <w:t>3.35</w:t>
            </w:r>
          </w:p>
        </w:tc>
      </w:tr>
      <w:tr w:rsidR="009E1EF9">
        <w:trPr>
          <w:jc w:val="center"/>
        </w:trPr>
        <w:tc>
          <w:tcPr>
            <w:tcW w:w="855" w:type="dxa"/>
            <w:vAlign w:val="center"/>
          </w:tcPr>
          <w:p w:rsidR="009E1EF9" w:rsidRDefault="00A60943">
            <w:pPr>
              <w:jc w:val="center"/>
            </w:pPr>
            <w:r>
              <w:rPr>
                <w:color w:val="000000"/>
                <w:sz w:val="24"/>
                <w:szCs w:val="24"/>
              </w:rPr>
              <w:t>5</w:t>
            </w:r>
          </w:p>
        </w:tc>
        <w:tc>
          <w:tcPr>
            <w:tcW w:w="1334" w:type="dxa"/>
            <w:vAlign w:val="center"/>
          </w:tcPr>
          <w:p w:rsidR="009E1EF9" w:rsidRDefault="00A60943">
            <w:pPr>
              <w:jc w:val="center"/>
            </w:pPr>
            <w:r>
              <w:rPr>
                <w:color w:val="000000"/>
                <w:sz w:val="24"/>
                <w:szCs w:val="24"/>
              </w:rPr>
              <w:t>300308</w:t>
            </w:r>
          </w:p>
        </w:tc>
        <w:tc>
          <w:tcPr>
            <w:tcW w:w="1777" w:type="dxa"/>
            <w:vAlign w:val="center"/>
          </w:tcPr>
          <w:p w:rsidR="009E1EF9" w:rsidRDefault="00A60943">
            <w:pPr>
              <w:jc w:val="center"/>
            </w:pPr>
            <w:r>
              <w:rPr>
                <w:color w:val="000000"/>
                <w:sz w:val="24"/>
                <w:szCs w:val="24"/>
              </w:rPr>
              <w:t>中际装备</w:t>
            </w:r>
          </w:p>
        </w:tc>
        <w:tc>
          <w:tcPr>
            <w:tcW w:w="1334" w:type="dxa"/>
            <w:vAlign w:val="center"/>
          </w:tcPr>
          <w:p w:rsidR="009E1EF9" w:rsidRDefault="00A60943">
            <w:pPr>
              <w:jc w:val="right"/>
            </w:pPr>
            <w:r>
              <w:rPr>
                <w:color w:val="000000"/>
                <w:sz w:val="24"/>
                <w:szCs w:val="24"/>
              </w:rPr>
              <w:t>2,118,391</w:t>
            </w:r>
          </w:p>
        </w:tc>
        <w:tc>
          <w:tcPr>
            <w:tcW w:w="1924" w:type="dxa"/>
            <w:vAlign w:val="center"/>
          </w:tcPr>
          <w:p w:rsidR="009E1EF9" w:rsidRDefault="00A60943">
            <w:pPr>
              <w:jc w:val="right"/>
            </w:pPr>
            <w:r>
              <w:rPr>
                <w:color w:val="000000"/>
                <w:sz w:val="24"/>
                <w:szCs w:val="24"/>
              </w:rPr>
              <w:t>102,932,618.69</w:t>
            </w:r>
          </w:p>
        </w:tc>
        <w:tc>
          <w:tcPr>
            <w:tcW w:w="1644" w:type="dxa"/>
            <w:vAlign w:val="center"/>
          </w:tcPr>
          <w:p w:rsidR="009E1EF9" w:rsidRDefault="00A60943">
            <w:pPr>
              <w:jc w:val="right"/>
            </w:pPr>
            <w:r>
              <w:rPr>
                <w:color w:val="000000"/>
                <w:sz w:val="24"/>
                <w:szCs w:val="24"/>
              </w:rPr>
              <w:t>3.21</w:t>
            </w:r>
          </w:p>
        </w:tc>
      </w:tr>
      <w:tr w:rsidR="009E1EF9">
        <w:trPr>
          <w:jc w:val="center"/>
        </w:trPr>
        <w:tc>
          <w:tcPr>
            <w:tcW w:w="855" w:type="dxa"/>
            <w:vAlign w:val="center"/>
          </w:tcPr>
          <w:p w:rsidR="009E1EF9" w:rsidRDefault="00A60943">
            <w:pPr>
              <w:jc w:val="center"/>
            </w:pPr>
            <w:r>
              <w:rPr>
                <w:color w:val="000000"/>
                <w:sz w:val="24"/>
                <w:szCs w:val="24"/>
              </w:rPr>
              <w:t>6</w:t>
            </w:r>
          </w:p>
        </w:tc>
        <w:tc>
          <w:tcPr>
            <w:tcW w:w="1334" w:type="dxa"/>
            <w:vAlign w:val="center"/>
          </w:tcPr>
          <w:p w:rsidR="009E1EF9" w:rsidRDefault="00A60943">
            <w:pPr>
              <w:jc w:val="center"/>
            </w:pPr>
            <w:r>
              <w:rPr>
                <w:color w:val="000000"/>
                <w:sz w:val="24"/>
                <w:szCs w:val="24"/>
              </w:rPr>
              <w:t>002624</w:t>
            </w:r>
          </w:p>
        </w:tc>
        <w:tc>
          <w:tcPr>
            <w:tcW w:w="1777" w:type="dxa"/>
            <w:vAlign w:val="center"/>
          </w:tcPr>
          <w:p w:rsidR="009E1EF9" w:rsidRDefault="00A60943">
            <w:pPr>
              <w:jc w:val="center"/>
            </w:pPr>
            <w:r>
              <w:rPr>
                <w:color w:val="000000"/>
                <w:sz w:val="24"/>
                <w:szCs w:val="24"/>
              </w:rPr>
              <w:t>完美世界</w:t>
            </w:r>
          </w:p>
        </w:tc>
        <w:tc>
          <w:tcPr>
            <w:tcW w:w="1334" w:type="dxa"/>
            <w:vAlign w:val="center"/>
          </w:tcPr>
          <w:p w:rsidR="009E1EF9" w:rsidRDefault="00A60943">
            <w:pPr>
              <w:jc w:val="right"/>
            </w:pPr>
            <w:r>
              <w:rPr>
                <w:color w:val="000000"/>
                <w:sz w:val="24"/>
                <w:szCs w:val="24"/>
              </w:rPr>
              <w:t>3,122,509</w:t>
            </w:r>
          </w:p>
        </w:tc>
        <w:tc>
          <w:tcPr>
            <w:tcW w:w="1924" w:type="dxa"/>
            <w:vAlign w:val="center"/>
          </w:tcPr>
          <w:p w:rsidR="009E1EF9" w:rsidRDefault="00A60943">
            <w:pPr>
              <w:jc w:val="right"/>
            </w:pPr>
            <w:r>
              <w:rPr>
                <w:color w:val="000000"/>
                <w:sz w:val="24"/>
                <w:szCs w:val="24"/>
              </w:rPr>
              <w:t>102,293,394.84</w:t>
            </w:r>
          </w:p>
        </w:tc>
        <w:tc>
          <w:tcPr>
            <w:tcW w:w="1644" w:type="dxa"/>
            <w:vAlign w:val="center"/>
          </w:tcPr>
          <w:p w:rsidR="009E1EF9" w:rsidRDefault="00A60943">
            <w:pPr>
              <w:jc w:val="right"/>
            </w:pPr>
            <w:r>
              <w:rPr>
                <w:color w:val="000000"/>
                <w:sz w:val="24"/>
                <w:szCs w:val="24"/>
              </w:rPr>
              <w:t>3.19</w:t>
            </w:r>
          </w:p>
        </w:tc>
      </w:tr>
      <w:tr w:rsidR="009E1EF9">
        <w:trPr>
          <w:jc w:val="center"/>
        </w:trPr>
        <w:tc>
          <w:tcPr>
            <w:tcW w:w="855" w:type="dxa"/>
            <w:vAlign w:val="center"/>
          </w:tcPr>
          <w:p w:rsidR="009E1EF9" w:rsidRDefault="00A60943">
            <w:pPr>
              <w:jc w:val="center"/>
            </w:pPr>
            <w:r>
              <w:rPr>
                <w:color w:val="000000"/>
                <w:sz w:val="24"/>
                <w:szCs w:val="24"/>
              </w:rPr>
              <w:t>7</w:t>
            </w:r>
          </w:p>
        </w:tc>
        <w:tc>
          <w:tcPr>
            <w:tcW w:w="1334" w:type="dxa"/>
            <w:vAlign w:val="center"/>
          </w:tcPr>
          <w:p w:rsidR="009E1EF9" w:rsidRDefault="00A60943">
            <w:pPr>
              <w:jc w:val="center"/>
            </w:pPr>
            <w:r>
              <w:rPr>
                <w:color w:val="000000"/>
                <w:sz w:val="24"/>
                <w:szCs w:val="24"/>
              </w:rPr>
              <w:t>002180</w:t>
            </w:r>
          </w:p>
        </w:tc>
        <w:tc>
          <w:tcPr>
            <w:tcW w:w="1777" w:type="dxa"/>
            <w:vAlign w:val="center"/>
          </w:tcPr>
          <w:p w:rsidR="009E1EF9" w:rsidRDefault="00A60943">
            <w:pPr>
              <w:jc w:val="center"/>
            </w:pPr>
            <w:r>
              <w:rPr>
                <w:color w:val="000000"/>
                <w:sz w:val="24"/>
                <w:szCs w:val="24"/>
              </w:rPr>
              <w:t>纳思达</w:t>
            </w:r>
          </w:p>
        </w:tc>
        <w:tc>
          <w:tcPr>
            <w:tcW w:w="1334" w:type="dxa"/>
            <w:vAlign w:val="center"/>
          </w:tcPr>
          <w:p w:rsidR="009E1EF9" w:rsidRDefault="00A60943">
            <w:pPr>
              <w:jc w:val="right"/>
            </w:pPr>
            <w:r>
              <w:rPr>
                <w:color w:val="000000"/>
                <w:sz w:val="24"/>
                <w:szCs w:val="24"/>
              </w:rPr>
              <w:t>3,442,189</w:t>
            </w:r>
          </w:p>
        </w:tc>
        <w:tc>
          <w:tcPr>
            <w:tcW w:w="1924" w:type="dxa"/>
            <w:vAlign w:val="center"/>
          </w:tcPr>
          <w:p w:rsidR="009E1EF9" w:rsidRDefault="00A60943">
            <w:pPr>
              <w:jc w:val="right"/>
            </w:pPr>
            <w:r>
              <w:rPr>
                <w:color w:val="000000"/>
                <w:sz w:val="24"/>
                <w:szCs w:val="24"/>
              </w:rPr>
              <w:t>97,689,323.82</w:t>
            </w:r>
          </w:p>
        </w:tc>
        <w:tc>
          <w:tcPr>
            <w:tcW w:w="1644" w:type="dxa"/>
            <w:vAlign w:val="center"/>
          </w:tcPr>
          <w:p w:rsidR="009E1EF9" w:rsidRDefault="00A60943">
            <w:pPr>
              <w:jc w:val="right"/>
            </w:pPr>
            <w:r>
              <w:rPr>
                <w:color w:val="000000"/>
                <w:sz w:val="24"/>
                <w:szCs w:val="24"/>
              </w:rPr>
              <w:t>3.05</w:t>
            </w:r>
          </w:p>
        </w:tc>
      </w:tr>
      <w:tr w:rsidR="009E1EF9">
        <w:trPr>
          <w:jc w:val="center"/>
        </w:trPr>
        <w:tc>
          <w:tcPr>
            <w:tcW w:w="855" w:type="dxa"/>
            <w:vAlign w:val="center"/>
          </w:tcPr>
          <w:p w:rsidR="009E1EF9" w:rsidRDefault="00A60943">
            <w:pPr>
              <w:jc w:val="center"/>
            </w:pPr>
            <w:r>
              <w:rPr>
                <w:color w:val="000000"/>
                <w:sz w:val="24"/>
                <w:szCs w:val="24"/>
              </w:rPr>
              <w:t>8</w:t>
            </w:r>
          </w:p>
        </w:tc>
        <w:tc>
          <w:tcPr>
            <w:tcW w:w="1334" w:type="dxa"/>
            <w:vAlign w:val="center"/>
          </w:tcPr>
          <w:p w:rsidR="009E1EF9" w:rsidRDefault="00A60943">
            <w:pPr>
              <w:jc w:val="center"/>
            </w:pPr>
            <w:r>
              <w:rPr>
                <w:color w:val="000000"/>
                <w:sz w:val="24"/>
                <w:szCs w:val="24"/>
              </w:rPr>
              <w:t>000725</w:t>
            </w:r>
          </w:p>
        </w:tc>
        <w:tc>
          <w:tcPr>
            <w:tcW w:w="1777" w:type="dxa"/>
            <w:vAlign w:val="center"/>
          </w:tcPr>
          <w:p w:rsidR="009E1EF9" w:rsidRDefault="00A60943">
            <w:pPr>
              <w:jc w:val="center"/>
            </w:pPr>
            <w:r>
              <w:rPr>
                <w:color w:val="000000"/>
                <w:sz w:val="24"/>
                <w:szCs w:val="24"/>
              </w:rPr>
              <w:t>京东方Ａ</w:t>
            </w:r>
          </w:p>
        </w:tc>
        <w:tc>
          <w:tcPr>
            <w:tcW w:w="1334" w:type="dxa"/>
            <w:vAlign w:val="center"/>
          </w:tcPr>
          <w:p w:rsidR="009E1EF9" w:rsidRDefault="00A60943">
            <w:pPr>
              <w:jc w:val="right"/>
            </w:pPr>
            <w:r>
              <w:rPr>
                <w:color w:val="000000"/>
                <w:sz w:val="24"/>
                <w:szCs w:val="24"/>
              </w:rPr>
              <w:t>22,002,630</w:t>
            </w:r>
          </w:p>
        </w:tc>
        <w:tc>
          <w:tcPr>
            <w:tcW w:w="1924" w:type="dxa"/>
            <w:vAlign w:val="center"/>
          </w:tcPr>
          <w:p w:rsidR="009E1EF9" w:rsidRDefault="00A60943">
            <w:pPr>
              <w:jc w:val="right"/>
            </w:pPr>
            <w:r>
              <w:rPr>
                <w:color w:val="000000"/>
                <w:sz w:val="24"/>
                <w:szCs w:val="24"/>
              </w:rPr>
              <w:t>96,811,572.00</w:t>
            </w:r>
          </w:p>
        </w:tc>
        <w:tc>
          <w:tcPr>
            <w:tcW w:w="1644" w:type="dxa"/>
            <w:vAlign w:val="center"/>
          </w:tcPr>
          <w:p w:rsidR="009E1EF9" w:rsidRDefault="00A60943">
            <w:pPr>
              <w:jc w:val="right"/>
            </w:pPr>
            <w:r>
              <w:rPr>
                <w:color w:val="000000"/>
                <w:sz w:val="24"/>
                <w:szCs w:val="24"/>
              </w:rPr>
              <w:t>3.02</w:t>
            </w:r>
          </w:p>
        </w:tc>
      </w:tr>
      <w:tr w:rsidR="009E1EF9">
        <w:trPr>
          <w:jc w:val="center"/>
        </w:trPr>
        <w:tc>
          <w:tcPr>
            <w:tcW w:w="855" w:type="dxa"/>
            <w:vAlign w:val="center"/>
          </w:tcPr>
          <w:p w:rsidR="009E1EF9" w:rsidRDefault="00A60943">
            <w:pPr>
              <w:jc w:val="center"/>
            </w:pPr>
            <w:r>
              <w:rPr>
                <w:color w:val="000000"/>
                <w:sz w:val="24"/>
                <w:szCs w:val="24"/>
              </w:rPr>
              <w:t>9</w:t>
            </w:r>
          </w:p>
        </w:tc>
        <w:tc>
          <w:tcPr>
            <w:tcW w:w="1334" w:type="dxa"/>
            <w:vAlign w:val="center"/>
          </w:tcPr>
          <w:p w:rsidR="009E1EF9" w:rsidRDefault="00A60943">
            <w:pPr>
              <w:jc w:val="center"/>
            </w:pPr>
            <w:r>
              <w:rPr>
                <w:color w:val="000000"/>
                <w:sz w:val="24"/>
                <w:szCs w:val="24"/>
              </w:rPr>
              <w:t>600967</w:t>
            </w:r>
          </w:p>
        </w:tc>
        <w:tc>
          <w:tcPr>
            <w:tcW w:w="1777" w:type="dxa"/>
            <w:vAlign w:val="center"/>
          </w:tcPr>
          <w:p w:rsidR="009E1EF9" w:rsidRDefault="00A60943">
            <w:pPr>
              <w:jc w:val="center"/>
            </w:pPr>
            <w:r>
              <w:rPr>
                <w:color w:val="000000"/>
                <w:sz w:val="24"/>
                <w:szCs w:val="24"/>
              </w:rPr>
              <w:t>内蒙一机</w:t>
            </w:r>
          </w:p>
        </w:tc>
        <w:tc>
          <w:tcPr>
            <w:tcW w:w="1334" w:type="dxa"/>
            <w:vAlign w:val="center"/>
          </w:tcPr>
          <w:p w:rsidR="009E1EF9" w:rsidRDefault="00A60943">
            <w:pPr>
              <w:jc w:val="right"/>
            </w:pPr>
            <w:r>
              <w:rPr>
                <w:color w:val="000000"/>
                <w:sz w:val="24"/>
                <w:szCs w:val="24"/>
              </w:rPr>
              <w:t>5,886,917</w:t>
            </w:r>
          </w:p>
        </w:tc>
        <w:tc>
          <w:tcPr>
            <w:tcW w:w="1924" w:type="dxa"/>
            <w:vAlign w:val="center"/>
          </w:tcPr>
          <w:p w:rsidR="009E1EF9" w:rsidRDefault="00A60943">
            <w:pPr>
              <w:jc w:val="right"/>
            </w:pPr>
            <w:r>
              <w:rPr>
                <w:color w:val="000000"/>
                <w:sz w:val="24"/>
                <w:szCs w:val="24"/>
              </w:rPr>
              <w:t>79,591,117.84</w:t>
            </w:r>
          </w:p>
        </w:tc>
        <w:tc>
          <w:tcPr>
            <w:tcW w:w="1644" w:type="dxa"/>
            <w:vAlign w:val="center"/>
          </w:tcPr>
          <w:p w:rsidR="009E1EF9" w:rsidRDefault="00A60943">
            <w:pPr>
              <w:jc w:val="right"/>
            </w:pPr>
            <w:r>
              <w:rPr>
                <w:color w:val="000000"/>
                <w:sz w:val="24"/>
                <w:szCs w:val="24"/>
              </w:rPr>
              <w:t>2.48</w:t>
            </w:r>
          </w:p>
        </w:tc>
      </w:tr>
      <w:tr w:rsidR="009E1EF9">
        <w:trPr>
          <w:jc w:val="center"/>
        </w:trPr>
        <w:tc>
          <w:tcPr>
            <w:tcW w:w="855" w:type="dxa"/>
            <w:vAlign w:val="center"/>
          </w:tcPr>
          <w:p w:rsidR="009E1EF9" w:rsidRDefault="00A60943">
            <w:pPr>
              <w:jc w:val="center"/>
            </w:pPr>
            <w:r>
              <w:rPr>
                <w:color w:val="000000"/>
                <w:sz w:val="24"/>
                <w:szCs w:val="24"/>
              </w:rPr>
              <w:t>10</w:t>
            </w:r>
          </w:p>
        </w:tc>
        <w:tc>
          <w:tcPr>
            <w:tcW w:w="1334" w:type="dxa"/>
            <w:vAlign w:val="center"/>
          </w:tcPr>
          <w:p w:rsidR="009E1EF9" w:rsidRDefault="00A60943">
            <w:pPr>
              <w:jc w:val="center"/>
            </w:pPr>
            <w:r>
              <w:rPr>
                <w:color w:val="000000"/>
                <w:sz w:val="24"/>
                <w:szCs w:val="24"/>
              </w:rPr>
              <w:t>002045</w:t>
            </w:r>
          </w:p>
        </w:tc>
        <w:tc>
          <w:tcPr>
            <w:tcW w:w="1777" w:type="dxa"/>
            <w:vAlign w:val="center"/>
          </w:tcPr>
          <w:p w:rsidR="009E1EF9" w:rsidRDefault="00A60943">
            <w:pPr>
              <w:jc w:val="center"/>
            </w:pPr>
            <w:r>
              <w:rPr>
                <w:color w:val="000000"/>
                <w:sz w:val="24"/>
                <w:szCs w:val="24"/>
              </w:rPr>
              <w:t>国光电器</w:t>
            </w:r>
          </w:p>
        </w:tc>
        <w:tc>
          <w:tcPr>
            <w:tcW w:w="1334" w:type="dxa"/>
            <w:vAlign w:val="center"/>
          </w:tcPr>
          <w:p w:rsidR="009E1EF9" w:rsidRDefault="00A60943">
            <w:pPr>
              <w:jc w:val="right"/>
            </w:pPr>
            <w:r>
              <w:rPr>
                <w:color w:val="000000"/>
                <w:sz w:val="24"/>
                <w:szCs w:val="24"/>
              </w:rPr>
              <w:t>4,560,331</w:t>
            </w:r>
          </w:p>
        </w:tc>
        <w:tc>
          <w:tcPr>
            <w:tcW w:w="1924" w:type="dxa"/>
            <w:vAlign w:val="center"/>
          </w:tcPr>
          <w:p w:rsidR="009E1EF9" w:rsidRDefault="00A60943">
            <w:pPr>
              <w:jc w:val="right"/>
            </w:pPr>
            <w:r>
              <w:rPr>
                <w:color w:val="000000"/>
                <w:sz w:val="24"/>
                <w:szCs w:val="24"/>
              </w:rPr>
              <w:t>78,620,106.44</w:t>
            </w:r>
          </w:p>
        </w:tc>
        <w:tc>
          <w:tcPr>
            <w:tcW w:w="1644" w:type="dxa"/>
            <w:vAlign w:val="center"/>
          </w:tcPr>
          <w:p w:rsidR="009E1EF9" w:rsidRDefault="00A60943">
            <w:pPr>
              <w:jc w:val="right"/>
            </w:pPr>
            <w:r>
              <w:rPr>
                <w:color w:val="000000"/>
                <w:sz w:val="24"/>
                <w:szCs w:val="24"/>
              </w:rPr>
              <w:t>2.45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142,604,000.00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142,604,000.00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142,604,000.00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E1EF9">
        <w:trPr>
          <w:jc w:val="center"/>
        </w:trPr>
        <w:tc>
          <w:tcPr>
            <w:tcW w:w="850" w:type="dxa"/>
            <w:vAlign w:val="center"/>
          </w:tcPr>
          <w:p w:rsidR="009E1EF9" w:rsidRDefault="00A60943">
            <w:pPr>
              <w:jc w:val="center"/>
            </w:pPr>
            <w:r>
              <w:rPr>
                <w:color w:val="000000"/>
                <w:sz w:val="24"/>
                <w:szCs w:val="24"/>
              </w:rPr>
              <w:t>1</w:t>
            </w:r>
          </w:p>
        </w:tc>
        <w:tc>
          <w:tcPr>
            <w:tcW w:w="1475" w:type="dxa"/>
            <w:vAlign w:val="center"/>
          </w:tcPr>
          <w:p w:rsidR="009E1EF9" w:rsidRDefault="00A60943">
            <w:pPr>
              <w:jc w:val="center"/>
            </w:pPr>
            <w:r>
              <w:rPr>
                <w:color w:val="000000"/>
                <w:sz w:val="24"/>
                <w:szCs w:val="24"/>
              </w:rPr>
              <w:t>170207</w:t>
            </w:r>
          </w:p>
        </w:tc>
        <w:tc>
          <w:tcPr>
            <w:tcW w:w="1769" w:type="dxa"/>
            <w:vAlign w:val="center"/>
          </w:tcPr>
          <w:p w:rsidR="009E1EF9" w:rsidRDefault="00A60943">
            <w:pPr>
              <w:jc w:val="center"/>
            </w:pPr>
            <w:r>
              <w:rPr>
                <w:color w:val="000000"/>
                <w:sz w:val="24"/>
                <w:szCs w:val="24"/>
              </w:rPr>
              <w:t>17</w:t>
            </w:r>
            <w:r>
              <w:rPr>
                <w:color w:val="000000"/>
                <w:sz w:val="24"/>
                <w:szCs w:val="24"/>
              </w:rPr>
              <w:t>国开</w:t>
            </w:r>
            <w:r>
              <w:rPr>
                <w:color w:val="000000"/>
                <w:sz w:val="24"/>
                <w:szCs w:val="24"/>
              </w:rPr>
              <w:t>07</w:t>
            </w:r>
          </w:p>
        </w:tc>
        <w:tc>
          <w:tcPr>
            <w:tcW w:w="1387" w:type="dxa"/>
            <w:vAlign w:val="center"/>
          </w:tcPr>
          <w:p w:rsidR="009E1EF9" w:rsidRDefault="00A60943">
            <w:pPr>
              <w:jc w:val="right"/>
            </w:pPr>
            <w:r>
              <w:rPr>
                <w:color w:val="000000"/>
                <w:sz w:val="24"/>
                <w:szCs w:val="24"/>
              </w:rPr>
              <w:t>1,000,000</w:t>
            </w:r>
          </w:p>
        </w:tc>
        <w:tc>
          <w:tcPr>
            <w:tcW w:w="2150" w:type="dxa"/>
            <w:vAlign w:val="center"/>
          </w:tcPr>
          <w:p w:rsidR="009E1EF9" w:rsidRDefault="00A60943">
            <w:pPr>
              <w:jc w:val="right"/>
            </w:pPr>
            <w:r>
              <w:rPr>
                <w:color w:val="000000"/>
                <w:sz w:val="24"/>
                <w:szCs w:val="24"/>
              </w:rPr>
              <w:t>99,690,000.00</w:t>
            </w:r>
          </w:p>
        </w:tc>
        <w:tc>
          <w:tcPr>
            <w:tcW w:w="1237" w:type="dxa"/>
            <w:vAlign w:val="center"/>
          </w:tcPr>
          <w:p w:rsidR="009E1EF9" w:rsidRDefault="00A60943">
            <w:pPr>
              <w:jc w:val="right"/>
            </w:pPr>
            <w:r>
              <w:rPr>
                <w:color w:val="000000"/>
                <w:sz w:val="24"/>
                <w:szCs w:val="24"/>
              </w:rPr>
              <w:t>3.11</w:t>
            </w:r>
          </w:p>
        </w:tc>
      </w:tr>
      <w:tr w:rsidR="009E1EF9">
        <w:trPr>
          <w:jc w:val="center"/>
        </w:trPr>
        <w:tc>
          <w:tcPr>
            <w:tcW w:w="850" w:type="dxa"/>
            <w:vAlign w:val="center"/>
          </w:tcPr>
          <w:p w:rsidR="009E1EF9" w:rsidRDefault="00A60943">
            <w:pPr>
              <w:jc w:val="center"/>
            </w:pPr>
            <w:r>
              <w:rPr>
                <w:color w:val="000000"/>
                <w:sz w:val="24"/>
                <w:szCs w:val="24"/>
              </w:rPr>
              <w:lastRenderedPageBreak/>
              <w:t>2</w:t>
            </w:r>
          </w:p>
        </w:tc>
        <w:tc>
          <w:tcPr>
            <w:tcW w:w="1475" w:type="dxa"/>
            <w:vAlign w:val="center"/>
          </w:tcPr>
          <w:p w:rsidR="009E1EF9" w:rsidRDefault="00A60943">
            <w:pPr>
              <w:jc w:val="center"/>
            </w:pPr>
            <w:r>
              <w:rPr>
                <w:color w:val="000000"/>
                <w:sz w:val="24"/>
                <w:szCs w:val="24"/>
              </w:rPr>
              <w:t>108601</w:t>
            </w:r>
          </w:p>
        </w:tc>
        <w:tc>
          <w:tcPr>
            <w:tcW w:w="1769" w:type="dxa"/>
            <w:vAlign w:val="center"/>
          </w:tcPr>
          <w:p w:rsidR="009E1EF9" w:rsidRDefault="00A60943">
            <w:pPr>
              <w:jc w:val="center"/>
            </w:pPr>
            <w:r>
              <w:rPr>
                <w:color w:val="000000"/>
                <w:sz w:val="24"/>
                <w:szCs w:val="24"/>
              </w:rPr>
              <w:t>国开</w:t>
            </w:r>
            <w:r>
              <w:rPr>
                <w:color w:val="000000"/>
                <w:sz w:val="24"/>
                <w:szCs w:val="24"/>
              </w:rPr>
              <w:t>1703</w:t>
            </w:r>
          </w:p>
        </w:tc>
        <w:tc>
          <w:tcPr>
            <w:tcW w:w="1387" w:type="dxa"/>
            <w:vAlign w:val="center"/>
          </w:tcPr>
          <w:p w:rsidR="009E1EF9" w:rsidRDefault="00A60943">
            <w:pPr>
              <w:jc w:val="right"/>
            </w:pPr>
            <w:r>
              <w:rPr>
                <w:color w:val="000000"/>
                <w:sz w:val="24"/>
                <w:szCs w:val="24"/>
              </w:rPr>
              <w:t>430,000</w:t>
            </w:r>
          </w:p>
        </w:tc>
        <w:tc>
          <w:tcPr>
            <w:tcW w:w="2150" w:type="dxa"/>
            <w:vAlign w:val="center"/>
          </w:tcPr>
          <w:p w:rsidR="009E1EF9" w:rsidRDefault="00A60943">
            <w:pPr>
              <w:jc w:val="right"/>
            </w:pPr>
            <w:r>
              <w:rPr>
                <w:color w:val="000000"/>
                <w:sz w:val="24"/>
                <w:szCs w:val="24"/>
              </w:rPr>
              <w:t>42,914,000.00</w:t>
            </w:r>
          </w:p>
        </w:tc>
        <w:tc>
          <w:tcPr>
            <w:tcW w:w="1237" w:type="dxa"/>
            <w:vAlign w:val="center"/>
          </w:tcPr>
          <w:p w:rsidR="009E1EF9" w:rsidRDefault="00A60943">
            <w:pPr>
              <w:jc w:val="right"/>
            </w:pPr>
            <w:r>
              <w:rPr>
                <w:color w:val="000000"/>
                <w:sz w:val="24"/>
                <w:szCs w:val="24"/>
              </w:rPr>
              <w:t>1.34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2,108,578.68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15,381,558.04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1,667,757.02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11,037,867.94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30,195,891.68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1,347,549,576.99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646,730,333.93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676,678,359.93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1,317,601,550.99</w:t>
            </w:r>
          </w:p>
        </w:tc>
      </w:tr>
    </w:tbl>
    <w:p w:rsidR="009E1EF9" w:rsidRDefault="00A6094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60943">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A60943" w:rsidRDefault="00A60943" w:rsidP="00A60943">
      <w:pPr>
        <w:spacing w:line="288" w:lineRule="auto"/>
        <w:jc w:val="left"/>
        <w:rPr>
          <w:sz w:val="24"/>
          <w:szCs w:val="24"/>
        </w:rPr>
      </w:pPr>
      <w:r>
        <w:rPr>
          <w:b/>
          <w:sz w:val="24"/>
        </w:rPr>
        <w:t xml:space="preserve">7.1 </w:t>
      </w:r>
      <w:r>
        <w:rPr>
          <w:rFonts w:hint="eastAsia"/>
          <w:b/>
          <w:sz w:val="24"/>
        </w:rPr>
        <w:t>基金管理人持有本基金份额变动情况</w:t>
      </w:r>
    </w:p>
    <w:p w:rsidR="00A60943" w:rsidRDefault="00A60943" w:rsidP="00A60943">
      <w:pPr>
        <w:autoSpaceDE w:val="0"/>
        <w:autoSpaceDN w:val="0"/>
        <w:adjustRightInd w:val="0"/>
        <w:spacing w:before="29" w:line="288" w:lineRule="auto"/>
        <w:jc w:val="left"/>
        <w:rPr>
          <w:rFonts w:eastAsiaTheme="minorEastAsia"/>
          <w:color w:val="000000"/>
          <w:sz w:val="24"/>
        </w:rPr>
      </w:pPr>
      <w:r>
        <w:rPr>
          <w:rFonts w:eastAsiaTheme="minorEastAsia" w:hint="eastAsia"/>
          <w:color w:val="000000"/>
          <w:sz w:val="24"/>
        </w:rPr>
        <w:t>本报告期内未发生基金管理人运用固有资金投资本基金的情况。</w:t>
      </w:r>
    </w:p>
    <w:p w:rsidR="00A60943" w:rsidRDefault="00A60943" w:rsidP="00A60943">
      <w:pPr>
        <w:autoSpaceDE w:val="0"/>
        <w:autoSpaceDN w:val="0"/>
        <w:adjustRightInd w:val="0"/>
        <w:spacing w:before="29" w:line="288" w:lineRule="auto"/>
        <w:jc w:val="left"/>
        <w:rPr>
          <w:rFonts w:eastAsiaTheme="minorEastAsia"/>
          <w:color w:val="000000"/>
          <w:sz w:val="24"/>
        </w:rPr>
      </w:pPr>
    </w:p>
    <w:p w:rsidR="00A60943" w:rsidRDefault="00A60943" w:rsidP="00A60943">
      <w:pPr>
        <w:spacing w:line="288" w:lineRule="auto"/>
        <w:jc w:val="left"/>
        <w:rPr>
          <w:b/>
          <w:sz w:val="24"/>
        </w:rPr>
      </w:pPr>
      <w:r>
        <w:rPr>
          <w:b/>
          <w:sz w:val="24"/>
        </w:rPr>
        <w:t>7.2</w:t>
      </w:r>
      <w:r>
        <w:rPr>
          <w:rFonts w:hint="eastAsia"/>
          <w:b/>
          <w:sz w:val="24"/>
        </w:rPr>
        <w:t>基金管理人运用固有资金投资本基金交易明细</w:t>
      </w:r>
    </w:p>
    <w:p w:rsidR="00A60943" w:rsidRDefault="00A60943" w:rsidP="00A60943">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480B35" w:rsidRPr="00A60943" w:rsidRDefault="00480B35" w:rsidP="00C15CAC">
      <w:pPr>
        <w:autoSpaceDE w:val="0"/>
        <w:autoSpaceDN w:val="0"/>
        <w:adjustRightInd w:val="0"/>
        <w:spacing w:before="29" w:line="288" w:lineRule="auto"/>
        <w:jc w:val="left"/>
        <w:rPr>
          <w:color w:val="000000"/>
          <w:sz w:val="24"/>
        </w:rPr>
      </w:pPr>
    </w:p>
    <w:p w:rsidR="00B22DEE" w:rsidRPr="00E02660" w:rsidRDefault="004061AC" w:rsidP="00A6094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E1EF9" w:rsidRDefault="00A6094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r>
        <w:rPr>
          <w:color w:val="000000"/>
          <w:sz w:val="24"/>
          <w:szCs w:val="24"/>
        </w:rPr>
        <w:t xml:space="preserve"> </w:t>
      </w:r>
    </w:p>
    <w:p w:rsidR="009E1EF9" w:rsidRDefault="00A60943">
      <w:pPr>
        <w:spacing w:before="29" w:line="288" w:lineRule="auto"/>
        <w:ind w:firstLineChars="200" w:firstLine="480"/>
        <w:rPr>
          <w:color w:val="000000"/>
          <w:sz w:val="24"/>
          <w:szCs w:val="24"/>
        </w:rPr>
      </w:pPr>
      <w:r>
        <w:rPr>
          <w:color w:val="000000"/>
          <w:sz w:val="24"/>
          <w:szCs w:val="24"/>
        </w:rPr>
        <w:lastRenderedPageBreak/>
        <w:t>2</w:t>
      </w:r>
      <w:r>
        <w:rPr>
          <w:color w:val="000000"/>
          <w:sz w:val="24"/>
          <w:szCs w:val="24"/>
        </w:rPr>
        <w:t>、《交银施罗德先进制造混合型证券投资基金基金合同》；</w:t>
      </w:r>
      <w:r>
        <w:rPr>
          <w:color w:val="000000"/>
          <w:sz w:val="24"/>
          <w:szCs w:val="24"/>
        </w:rPr>
        <w:t xml:space="preserve"> </w:t>
      </w:r>
    </w:p>
    <w:p w:rsidR="009E1EF9" w:rsidRDefault="00A6094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、《交银施罗德先进制造混合型证券投资基金招募说明书》；</w:t>
      </w:r>
      <w:r>
        <w:rPr>
          <w:color w:val="000000"/>
          <w:sz w:val="24"/>
          <w:szCs w:val="24"/>
        </w:rPr>
        <w:t xml:space="preserve"> </w:t>
      </w:r>
    </w:p>
    <w:p w:rsidR="009E1EF9" w:rsidRDefault="00A6094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、《交银施罗德先进制造混合型证券投资基金托管协议》；</w:t>
      </w:r>
    </w:p>
    <w:p w:rsidR="009E1EF9" w:rsidRDefault="00A60943">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、关于募集交银施罗德先进制造股票证券投资基金之法律意见书；</w:t>
      </w:r>
    </w:p>
    <w:p w:rsidR="009E1EF9" w:rsidRDefault="00A6094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9E1EF9" w:rsidRDefault="00A6094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、报告期内交银施罗德先进制造混合型证券投资基金在指定报刊上各项公告的原稿。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E1EF9" w:rsidRDefault="00A6094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7F6" w:rsidRDefault="004647F6" w:rsidP="00876D65">
      <w:r>
        <w:separator/>
      </w:r>
    </w:p>
  </w:endnote>
  <w:endnote w:type="continuationSeparator" w:id="0">
    <w:p w:rsidR="004647F6" w:rsidRDefault="004647F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9E1EF9">
      <w:rPr>
        <w:kern w:val="0"/>
        <w:szCs w:val="21"/>
      </w:rPr>
      <w:fldChar w:fldCharType="begin"/>
    </w:r>
    <w:r>
      <w:rPr>
        <w:kern w:val="0"/>
        <w:szCs w:val="21"/>
      </w:rPr>
      <w:instrText xml:space="preserve"> PAGE </w:instrText>
    </w:r>
    <w:r w:rsidR="009E1EF9">
      <w:rPr>
        <w:kern w:val="0"/>
        <w:szCs w:val="21"/>
      </w:rPr>
      <w:fldChar w:fldCharType="separate"/>
    </w:r>
    <w:r w:rsidR="00FE2A25">
      <w:rPr>
        <w:noProof/>
        <w:kern w:val="0"/>
        <w:szCs w:val="21"/>
      </w:rPr>
      <w:t>1</w:t>
    </w:r>
    <w:r w:rsidR="009E1EF9">
      <w:rPr>
        <w:kern w:val="0"/>
        <w:szCs w:val="21"/>
      </w:rPr>
      <w:fldChar w:fldCharType="end"/>
    </w:r>
    <w:r>
      <w:rPr>
        <w:rFonts w:hint="eastAsia"/>
        <w:kern w:val="0"/>
        <w:szCs w:val="21"/>
      </w:rPr>
      <w:t>页共</w:t>
    </w:r>
    <w:r w:rsidR="009E1EF9">
      <w:rPr>
        <w:kern w:val="0"/>
        <w:szCs w:val="21"/>
      </w:rPr>
      <w:fldChar w:fldCharType="begin"/>
    </w:r>
    <w:r>
      <w:rPr>
        <w:kern w:val="0"/>
        <w:szCs w:val="21"/>
      </w:rPr>
      <w:instrText xml:space="preserve"> NUMPAGES </w:instrText>
    </w:r>
    <w:r w:rsidR="009E1EF9">
      <w:rPr>
        <w:kern w:val="0"/>
        <w:szCs w:val="21"/>
      </w:rPr>
      <w:fldChar w:fldCharType="separate"/>
    </w:r>
    <w:r w:rsidR="00FE2A25">
      <w:rPr>
        <w:noProof/>
        <w:kern w:val="0"/>
        <w:szCs w:val="21"/>
      </w:rPr>
      <w:t>11</w:t>
    </w:r>
    <w:r w:rsidR="009E1EF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7F6" w:rsidRDefault="004647F6" w:rsidP="00876D65">
      <w:r>
        <w:separator/>
      </w:r>
    </w:p>
  </w:footnote>
  <w:footnote w:type="continuationSeparator" w:id="0">
    <w:p w:rsidR="004647F6" w:rsidRDefault="004647F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647F6"/>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1EF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0943"/>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E2A25"/>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B17655-8A3B-41F2-9C18-F700DB6E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8072">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C68B1-5A23-4A07-9C52-71EA1FED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11</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567</cp:revision>
  <dcterms:created xsi:type="dcterms:W3CDTF">2012-10-16T06:07:00Z</dcterms:created>
  <dcterms:modified xsi:type="dcterms:W3CDTF">2017-10-23T07:04:00Z</dcterms:modified>
</cp:coreProperties>
</file>