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交银施罗德信用添利债券证券投资基金（LOF）</w:t>
      </w:r>
    </w:p>
    <w:p w:rsidR="002279D3" w:rsidRPr="0081286B" w:rsidRDefault="002279D3" w:rsidP="00C15CAC">
      <w:pPr>
        <w:spacing w:before="29" w:line="288" w:lineRule="auto"/>
        <w:jc w:val="center"/>
        <w:rPr>
          <w:b/>
          <w:sz w:val="36"/>
          <w:szCs w:val="36"/>
        </w:rPr>
      </w:pPr>
      <w:r w:rsidRPr="0081286B">
        <w:rPr>
          <w:b/>
          <w:sz w:val="36"/>
          <w:szCs w:val="36"/>
        </w:rPr>
        <w:t>2017年第3季度报告</w:t>
      </w:r>
    </w:p>
    <w:p w:rsidR="004061AC" w:rsidRPr="0081286B" w:rsidRDefault="00655CD8" w:rsidP="00C15CAC">
      <w:pPr>
        <w:spacing w:before="29" w:line="288" w:lineRule="auto"/>
        <w:jc w:val="center"/>
        <w:rPr>
          <w:b/>
          <w:sz w:val="36"/>
          <w:szCs w:val="36"/>
        </w:rPr>
      </w:pPr>
      <w:r w:rsidRPr="0081286B">
        <w:rPr>
          <w:b/>
          <w:sz w:val="36"/>
          <w:szCs w:val="36"/>
        </w:rPr>
        <w:t>2017年9月30日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二〇一七年十月二十五日</w:t>
      </w:r>
    </w:p>
    <w:p w:rsidR="004061AC" w:rsidRPr="00414345" w:rsidRDefault="004061AC" w:rsidP="00EE49FE">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szCs w:val="24"/>
        </w:rPr>
      </w:pPr>
      <w:r>
        <w:rPr>
          <w:color w:val="000000"/>
          <w:sz w:val="24"/>
          <w:szCs w:val="24"/>
        </w:rPr>
        <w:t xml:space="preserve">基金托管人中国农业银行股份有限公司根据本基金合同规定，于2017年10月24日复核了本报告中的财务指标、净值表现和投资组合报告等内容，保证复核内容不存在虚假记载、误导性陈述或者重大遗漏。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Chars="200" w:firstLine="48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本报告期自2017年7月1日起至9月30日止。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交银信用添利债券（LOF）</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2011年1月27日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166,415,401.35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80%×中债企业债总全价指数收益率+20%×中债国债总全价指数收益率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根据本基金《基金合同》及《招募说明书》的相关规定，本基金在基金合同生效之日起三年(含三年)的期间内，采取封闭式运作，在深圳证券交易所上市交易，封闭期结束后转为上市开放式基金（LOF）。本基金封闭期自2011年1月27日(基金合同生效日)起至2014年1月27日止，自2014年1月28日起基金运作方式转为“上市契约型开放式”，并于同日起开放本基金的申购、赎回业务。本基金在募集期仅开通前端基金份额的认购，转为上市开放式基金（LOF）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(2017年7月1日-2017年9月30日)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2,123,252.48</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2,127,802.92</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0.0118</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229,949,123.86</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1.382</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0.88%</w:t>
            </w:r>
          </w:p>
        </w:tc>
        <w:tc>
          <w:tcPr>
            <w:vAlign w:val="center"/>
          </w:tcPr>
          <w:p>
            <w:pPr>
              <w:jc w:val="center"/>
            </w:pPr>
            <w:r>
              <w:rPr>
                <w:color w:val="000000"/>
                <w:sz w:val="24"/>
                <w:szCs w:val="24"/>
              </w:rPr>
              <w:t>0.07%</w:t>
            </w:r>
          </w:p>
        </w:tc>
        <w:tc>
          <w:tcPr>
            <w:vAlign w:val="center"/>
          </w:tcPr>
          <w:p>
            <w:pPr>
              <w:jc w:val="center"/>
            </w:pPr>
            <w:r>
              <w:rPr>
                <w:color w:val="000000"/>
                <w:sz w:val="24"/>
                <w:szCs w:val="24"/>
              </w:rPr>
              <w:t>-1.56%</w:t>
            </w:r>
          </w:p>
        </w:tc>
        <w:tc>
          <w:tcPr>
            <w:vAlign w:val="center"/>
          </w:tcPr>
          <w:p>
            <w:pPr>
              <w:jc w:val="center"/>
            </w:pPr>
            <w:r>
              <w:rPr>
                <w:color w:val="000000"/>
                <w:sz w:val="24"/>
                <w:szCs w:val="24"/>
              </w:rPr>
              <w:t>0.04%</w:t>
            </w:r>
          </w:p>
        </w:tc>
        <w:tc>
          <w:tcPr>
            <w:vAlign w:val="center"/>
          </w:tcPr>
          <w:p>
            <w:pPr>
              <w:jc w:val="center"/>
            </w:pPr>
            <w:r>
              <w:rPr>
                <w:color w:val="000000"/>
                <w:sz w:val="24"/>
                <w:szCs w:val="24"/>
              </w:rPr>
              <w:t>2.44%</w:t>
            </w:r>
          </w:p>
        </w:tc>
        <w:tc>
          <w:tcPr>
            <w:vAlign w:val="center"/>
          </w:tcPr>
          <w:p>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交银施罗德信用添利债券证券投资基金（LOF）</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2011年1月27日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2017年9月30日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唐赟</w:t>
            </w:r>
          </w:p>
        </w:tc>
        <w:tc>
          <w:tcPr>
            <w:vAlign w:val="center"/>
          </w:tcPr>
          <w:p>
            <w:pPr>
              <w:jc w:val="center"/>
            </w:pPr>
            <w:r>
              <w:rPr>
                <w:color w:val="000000"/>
                <w:sz w:val="24"/>
                <w:szCs w:val="24"/>
              </w:rPr>
              <w:t>交银信用添利债券(LOF)、交银双利债券、交银双轮动债券、交银荣和保本混合、交银裕通纯债债券的基金经理</w:t>
            </w:r>
          </w:p>
        </w:tc>
        <w:tc>
          <w:tcPr>
            <w:vAlign w:val="center"/>
          </w:tcPr>
          <w:p>
            <w:pPr>
              <w:jc w:val="center"/>
            </w:pPr>
            <w:r>
              <w:rPr>
                <w:color w:val="000000"/>
                <w:sz w:val="24"/>
                <w:szCs w:val="24"/>
              </w:rPr>
              <w:t>2015-08-04</w:t>
            </w:r>
          </w:p>
        </w:tc>
        <w:tc>
          <w:tcPr>
            <w:vAlign w:val="center"/>
          </w:tcPr>
          <w:p>
            <w:pPr>
              <w:jc w:val="center"/>
            </w:pPr>
            <w:r>
              <w:rPr>
                <w:color w:val="000000"/>
                <w:sz w:val="24"/>
                <w:szCs w:val="24"/>
              </w:rPr>
              <w:t>-</w:t>
            </w:r>
          </w:p>
        </w:tc>
        <w:tc>
          <w:tcPr>
            <w:vAlign w:val="center"/>
          </w:tcPr>
          <w:p>
            <w:pPr>
              <w:jc w:val="center"/>
            </w:pPr>
            <w:r>
              <w:rPr>
                <w:color w:val="000000"/>
                <w:sz w:val="24"/>
                <w:szCs w:val="24"/>
              </w:rPr>
              <w:t>5年</w:t>
            </w:r>
          </w:p>
        </w:tc>
        <w:tc>
          <w:tcPr>
            <w:vAlign w:val="center"/>
          </w:tcPr>
          <w:p>
            <w:pPr>
              <w:jc w:val="both"/>
            </w:pPr>
            <w:r>
              <w:rPr>
                <w:color w:val="000000"/>
                <w:sz w:val="24"/>
                <w:szCs w:val="24"/>
              </w:rPr>
              <w:t>唐赟先生，香港城市大学电子工程硕士。历任渣打银行环球企业部助理客户经理、平安资产管理公司信用分析员。2012年加入交银施罗德基金管理有限公司，历任固定收益研究员、基金经理助理。</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											</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本报告期内，供给侧改革继续推进、环保限产趋严带来了工业品价格的剧烈波动，引发了市场对经济增长预期和通胀预期的变化。货币政策维持中性，在超储率位于低位的情况下，伴随着缴准、缴税等时点资金面不时出现紧张局面，非银机构融资成本上升。美元指数大幅走低，人民币升值明显，但外汇占款依然维持流出状态。在国内外多重因素的影响下，报告期内债券市场收益率震荡走高。</w:t>
      </w:r>
    </w:p>
    <w:p>
      <w:pPr>
        <w:spacing w:before="29" w:line="288" w:lineRule="auto"/>
        <w:ind w:firstLineChars="200" w:firstLine="480"/>
        <w:rPr>
          <w:color w:val="000000"/>
          <w:sz w:val="24"/>
          <w:szCs w:val="24"/>
        </w:rPr>
      </w:pPr>
      <w:r>
        <w:rPr>
          <w:color w:val="000000"/>
          <w:sz w:val="24"/>
          <w:szCs w:val="24"/>
        </w:rPr>
        <w:t>报告期内，本基金始终维持存单、短融为主的短久期底仓组合，在市场收益率震荡上行的过程中获取了稳定的票息收入，同时择机进行了长久期债券的波段操作，增强组合收益，也配置一定的转债仓位，选择正股基本面稳健、转债估值合理的个券，为组合提供弹性。</w:t>
      </w:r>
    </w:p>
    <w:p>
      <w:pPr>
        <w:spacing w:before="29" w:line="288" w:lineRule="auto"/>
        <w:ind w:firstLineChars="200" w:firstLine="480"/>
        <w:rPr>
          <w:color w:val="000000"/>
          <w:sz w:val="24"/>
          <w:szCs w:val="24"/>
        </w:rPr>
      </w:pPr>
      <w:r>
        <w:rPr>
          <w:color w:val="000000"/>
          <w:sz w:val="24"/>
          <w:szCs w:val="24"/>
        </w:rPr>
        <w:t>展望2017年四季度，经济基本面会对债市形成一定支撑，上半年需求较强的房地产、基建和出口均显出一定的疲态，我们预计这些因素将带动名义增速逐步下行，但是监管政策仍未落地、通胀预期升温、海外货币政策紧缩等因素对债券市场仍然存在制约，我们判断债券市场收益率会震荡下行。信用债的信用利差又仍处于历史低位，尤其是低等级信用债利差未能充分反应未来的信用风险，我们将一如既往地规避中低评级信用债。在利率曲线平坦的情况下，我们将维持目前的债券偏短的久期配置，并将根据宏观及监管政策的变化择机拉长久期。</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对于可转债，我们认为随着新的发行办法确定，转债供给将会明显提速，目前存量转债估值相对较高，行业分布有限，我们将更加关注转债新券的机会，期待四季度可转债资产的表现。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截至2017年9月30日，本基金份额净值为1.382元，本报告期份额净值增长率为0.88%，同期业绩比较基准增长率为-1.56%。</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1,416,800.00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0.54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1,416,800.00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0.54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256,997,200.00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256,997,200.00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2,184,283.67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0.82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4,173,166.84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264,771,450.51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r w:rsidRPr="00414345">
              <w:rPr>
                <w:color w:val="000000"/>
                <w:sz w:val="24"/>
                <w:szCs w:val="24"/>
              </w:rPr>
              <w:lastRenderedPageBreak/>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1,416,800.00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1,416,800.00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0.62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002241</w:t>
            </w:r>
          </w:p>
        </w:tc>
        <w:tc>
          <w:tcPr>
            <w:vAlign w:val="center"/>
          </w:tcPr>
          <w:p>
            <w:pPr>
              <w:jc w:val="center"/>
            </w:pPr>
            <w:r>
              <w:rPr>
                <w:color w:val="000000"/>
                <w:sz w:val="24"/>
                <w:szCs w:val="24"/>
              </w:rPr>
              <w:t>歌尔股份</w:t>
            </w:r>
          </w:p>
        </w:tc>
        <w:tc>
          <w:tcPr>
            <w:vAlign w:val="center"/>
          </w:tcPr>
          <w:p>
            <w:pPr>
              <w:jc w:val="right"/>
            </w:pPr>
            <w:r>
              <w:rPr>
                <w:color w:val="000000"/>
                <w:sz w:val="24"/>
                <w:szCs w:val="24"/>
              </w:rPr>
              <w:t>70,000</w:t>
            </w:r>
          </w:p>
        </w:tc>
        <w:tc>
          <w:tcPr>
            <w:vAlign w:val="center"/>
          </w:tcPr>
          <w:p>
            <w:pPr>
              <w:jc w:val="right"/>
            </w:pPr>
            <w:r>
              <w:rPr>
                <w:color w:val="000000"/>
                <w:sz w:val="24"/>
                <w:szCs w:val="24"/>
              </w:rPr>
              <w:t>1,416,800.00</w:t>
            </w:r>
          </w:p>
        </w:tc>
        <w:tc>
          <w:tcPr>
            <w:vAlign w:val="center"/>
          </w:tcPr>
          <w:p>
            <w:pPr>
              <w:jc w:val="right"/>
            </w:pPr>
            <w:r>
              <w:rPr>
                <w:color w:val="000000"/>
                <w:sz w:val="24"/>
                <w:szCs w:val="24"/>
              </w:rPr>
              <w:t>0.62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3,792,780.00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39,610,000.00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17.23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39,610,000.00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17.23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49,387,500.00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21.48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110,425,000.00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48.02</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50,337,000.00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21.89</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3,444,920.00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256,997,200.00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111.76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170215</w:t>
            </w:r>
          </w:p>
        </w:tc>
        <w:tc>
          <w:tcPr>
            <w:vAlign w:val="center"/>
          </w:tcPr>
          <w:p>
            <w:pPr>
              <w:jc w:val="center"/>
            </w:pPr>
            <w:r>
              <w:rPr>
                <w:color w:val="000000"/>
                <w:sz w:val="24"/>
                <w:szCs w:val="24"/>
              </w:rPr>
              <w:t>17国开15</w:t>
            </w:r>
          </w:p>
        </w:tc>
        <w:tc>
          <w:tcPr>
            <w:vAlign w:val="center"/>
          </w:tcPr>
          <w:p>
            <w:pPr>
              <w:jc w:val="right"/>
            </w:pPr>
            <w:r>
              <w:rPr>
                <w:color w:val="000000"/>
                <w:sz w:val="24"/>
                <w:szCs w:val="24"/>
              </w:rPr>
              <w:t>300,000</w:t>
            </w:r>
          </w:p>
        </w:tc>
        <w:tc>
          <w:tcPr>
            <w:vAlign w:val="center"/>
          </w:tcPr>
          <w:p>
            <w:pPr>
              <w:jc w:val="right"/>
            </w:pPr>
            <w:r>
              <w:rPr>
                <w:color w:val="000000"/>
                <w:sz w:val="24"/>
                <w:szCs w:val="24"/>
              </w:rPr>
              <w:t>30,129,000.00</w:t>
            </w:r>
          </w:p>
        </w:tc>
        <w:tc>
          <w:tcPr>
            <w:vAlign w:val="center"/>
          </w:tcPr>
          <w:p>
            <w:pPr>
              <w:jc w:val="right"/>
            </w:pPr>
            <w:r>
              <w:rPr>
                <w:color w:val="000000"/>
                <w:sz w:val="24"/>
                <w:szCs w:val="24"/>
              </w:rPr>
              <w:t>13.10</w:t>
            </w:r>
          </w:p>
        </w:tc>
      </w:tr>
      <w:tr>
        <w:tc>
          <w:tcPr>
            <w:vAlign w:val="center"/>
          </w:tcPr>
          <w:p>
            <w:pPr>
              <w:jc w:val="center"/>
            </w:pPr>
            <w:r>
              <w:rPr>
                <w:color w:val="000000"/>
                <w:sz w:val="24"/>
                <w:szCs w:val="24"/>
              </w:rPr>
              <w:t>2</w:t>
            </w:r>
          </w:p>
        </w:tc>
        <w:tc>
          <w:tcPr>
            <w:vAlign w:val="center"/>
          </w:tcPr>
          <w:p>
            <w:pPr>
              <w:jc w:val="center"/>
            </w:pPr>
            <w:r>
              <w:rPr>
                <w:color w:val="000000"/>
                <w:sz w:val="24"/>
                <w:szCs w:val="24"/>
              </w:rPr>
              <w:t>1382136</w:t>
            </w:r>
          </w:p>
        </w:tc>
        <w:tc>
          <w:tcPr>
            <w:vAlign w:val="center"/>
          </w:tcPr>
          <w:p>
            <w:pPr>
              <w:jc w:val="center"/>
            </w:pPr>
            <w:r>
              <w:rPr>
                <w:color w:val="000000"/>
                <w:sz w:val="24"/>
                <w:szCs w:val="24"/>
              </w:rPr>
              <w:t>13乌兰煤MTN1</w:t>
            </w:r>
          </w:p>
        </w:tc>
        <w:tc>
          <w:tcPr>
            <w:vAlign w:val="center"/>
          </w:tcPr>
          <w:p>
            <w:pPr>
              <w:jc w:val="right"/>
            </w:pPr>
            <w:r>
              <w:rPr>
                <w:color w:val="000000"/>
                <w:sz w:val="24"/>
                <w:szCs w:val="24"/>
              </w:rPr>
              <w:t>200,000</w:t>
            </w:r>
          </w:p>
        </w:tc>
        <w:tc>
          <w:tcPr>
            <w:vAlign w:val="center"/>
          </w:tcPr>
          <w:p>
            <w:pPr>
              <w:jc w:val="right"/>
            </w:pPr>
            <w:r>
              <w:rPr>
                <w:color w:val="000000"/>
                <w:sz w:val="24"/>
                <w:szCs w:val="24"/>
              </w:rPr>
              <w:t>20,098,000.00</w:t>
            </w:r>
          </w:p>
        </w:tc>
        <w:tc>
          <w:tcPr>
            <w:vAlign w:val="center"/>
          </w:tcPr>
          <w:p>
            <w:pPr>
              <w:jc w:val="right"/>
            </w:pPr>
            <w:r>
              <w:rPr>
                <w:color w:val="000000"/>
                <w:sz w:val="24"/>
                <w:szCs w:val="24"/>
              </w:rPr>
              <w:t>8.74</w:t>
            </w:r>
          </w:p>
        </w:tc>
      </w:tr>
      <w:tr>
        <w:tc>
          <w:tcPr>
            <w:vAlign w:val="center"/>
          </w:tcPr>
          <w:p>
            <w:pPr>
              <w:jc w:val="center"/>
            </w:pPr>
            <w:r>
              <w:rPr>
                <w:color w:val="000000"/>
                <w:sz w:val="24"/>
                <w:szCs w:val="24"/>
              </w:rPr>
              <w:t>3</w:t>
            </w:r>
          </w:p>
        </w:tc>
        <w:tc>
          <w:tcPr>
            <w:vAlign w:val="center"/>
          </w:tcPr>
          <w:p>
            <w:pPr>
              <w:jc w:val="center"/>
            </w:pPr>
            <w:r>
              <w:rPr>
                <w:color w:val="000000"/>
                <w:sz w:val="24"/>
                <w:szCs w:val="24"/>
              </w:rPr>
              <w:t>041662052</w:t>
            </w:r>
          </w:p>
        </w:tc>
        <w:tc>
          <w:tcPr>
            <w:vAlign w:val="center"/>
          </w:tcPr>
          <w:p>
            <w:pPr>
              <w:jc w:val="center"/>
            </w:pPr>
            <w:r>
              <w:rPr>
                <w:color w:val="000000"/>
                <w:sz w:val="24"/>
                <w:szCs w:val="24"/>
              </w:rPr>
              <w:t>16常熟投资CP001</w:t>
            </w:r>
          </w:p>
        </w:tc>
        <w:tc>
          <w:tcPr>
            <w:vAlign w:val="center"/>
          </w:tcPr>
          <w:p>
            <w:pPr>
              <w:jc w:val="right"/>
            </w:pPr>
            <w:r>
              <w:rPr>
                <w:color w:val="000000"/>
                <w:sz w:val="24"/>
                <w:szCs w:val="24"/>
              </w:rPr>
              <w:t>200,000</w:t>
            </w:r>
          </w:p>
        </w:tc>
        <w:tc>
          <w:tcPr>
            <w:vAlign w:val="center"/>
          </w:tcPr>
          <w:p>
            <w:pPr>
              <w:jc w:val="right"/>
            </w:pPr>
            <w:r>
              <w:rPr>
                <w:color w:val="000000"/>
                <w:sz w:val="24"/>
                <w:szCs w:val="24"/>
              </w:rPr>
              <w:t>20,090,000.00</w:t>
            </w:r>
          </w:p>
        </w:tc>
        <w:tc>
          <w:tcPr>
            <w:vAlign w:val="center"/>
          </w:tcPr>
          <w:p>
            <w:pPr>
              <w:jc w:val="right"/>
            </w:pPr>
            <w:r>
              <w:rPr>
                <w:color w:val="000000"/>
                <w:sz w:val="24"/>
                <w:szCs w:val="24"/>
              </w:rPr>
              <w:t>8.74</w:t>
            </w:r>
          </w:p>
        </w:tc>
      </w:tr>
      <w:tr>
        <w:tc>
          <w:tcPr>
            <w:vAlign w:val="center"/>
          </w:tcPr>
          <w:p>
            <w:pPr>
              <w:jc w:val="center"/>
            </w:pPr>
            <w:r>
              <w:rPr>
                <w:color w:val="000000"/>
                <w:sz w:val="24"/>
                <w:szCs w:val="24"/>
              </w:rPr>
              <w:t>4</w:t>
            </w:r>
          </w:p>
        </w:tc>
        <w:tc>
          <w:tcPr>
            <w:vAlign w:val="center"/>
          </w:tcPr>
          <w:p>
            <w:pPr>
              <w:jc w:val="center"/>
            </w:pPr>
            <w:r>
              <w:rPr>
                <w:color w:val="000000"/>
                <w:sz w:val="24"/>
                <w:szCs w:val="24"/>
              </w:rPr>
              <w:t>041760016</w:t>
            </w:r>
          </w:p>
        </w:tc>
        <w:tc>
          <w:tcPr>
            <w:vAlign w:val="center"/>
          </w:tcPr>
          <w:p>
            <w:pPr>
              <w:jc w:val="center"/>
            </w:pPr>
            <w:r>
              <w:rPr>
                <w:color w:val="000000"/>
                <w:sz w:val="24"/>
                <w:szCs w:val="24"/>
              </w:rPr>
              <w:t>17乐清国投CP001</w:t>
            </w:r>
          </w:p>
        </w:tc>
        <w:tc>
          <w:tcPr>
            <w:vAlign w:val="center"/>
          </w:tcPr>
          <w:p>
            <w:pPr>
              <w:jc w:val="right"/>
            </w:pPr>
            <w:r>
              <w:rPr>
                <w:color w:val="000000"/>
                <w:sz w:val="24"/>
                <w:szCs w:val="24"/>
              </w:rPr>
              <w:t>200,000</w:t>
            </w:r>
          </w:p>
        </w:tc>
        <w:tc>
          <w:tcPr>
            <w:vAlign w:val="center"/>
          </w:tcPr>
          <w:p>
            <w:pPr>
              <w:jc w:val="right"/>
            </w:pPr>
            <w:r>
              <w:rPr>
                <w:color w:val="000000"/>
                <w:sz w:val="24"/>
                <w:szCs w:val="24"/>
              </w:rPr>
              <w:t>20,040,000.00</w:t>
            </w:r>
          </w:p>
        </w:tc>
        <w:tc>
          <w:tcPr>
            <w:vAlign w:val="center"/>
          </w:tcPr>
          <w:p>
            <w:pPr>
              <w:jc w:val="right"/>
            </w:pPr>
            <w:r>
              <w:rPr>
                <w:color w:val="000000"/>
                <w:sz w:val="24"/>
                <w:szCs w:val="24"/>
              </w:rPr>
              <w:t>8.71</w:t>
            </w:r>
          </w:p>
        </w:tc>
      </w:tr>
      <w:tr>
        <w:tc>
          <w:tcPr>
            <w:vAlign w:val="center"/>
          </w:tcPr>
          <w:p>
            <w:pPr>
              <w:jc w:val="center"/>
            </w:pPr>
            <w:r>
              <w:rPr>
                <w:color w:val="000000"/>
                <w:sz w:val="24"/>
                <w:szCs w:val="24"/>
              </w:rPr>
              <w:t>5</w:t>
            </w:r>
          </w:p>
        </w:tc>
        <w:tc>
          <w:tcPr>
            <w:vAlign w:val="center"/>
          </w:tcPr>
          <w:p>
            <w:pPr>
              <w:jc w:val="center"/>
            </w:pPr>
            <w:r>
              <w:rPr>
                <w:color w:val="000000"/>
                <w:sz w:val="24"/>
                <w:szCs w:val="24"/>
              </w:rPr>
              <w:t>1182277</w:t>
            </w:r>
          </w:p>
        </w:tc>
        <w:tc>
          <w:tcPr>
            <w:vAlign w:val="center"/>
          </w:tcPr>
          <w:p>
            <w:pPr>
              <w:jc w:val="center"/>
            </w:pPr>
            <w:r>
              <w:rPr>
                <w:color w:val="000000"/>
                <w:sz w:val="24"/>
                <w:szCs w:val="24"/>
              </w:rPr>
              <w:t>11中铁建MTN1</w:t>
            </w:r>
          </w:p>
        </w:tc>
        <w:tc>
          <w:tcPr>
            <w:vAlign w:val="center"/>
          </w:tcPr>
          <w:p>
            <w:pPr>
              <w:jc w:val="right"/>
            </w:pPr>
            <w:r>
              <w:rPr>
                <w:color w:val="000000"/>
                <w:sz w:val="24"/>
                <w:szCs w:val="24"/>
              </w:rPr>
              <w:t>100,000</w:t>
            </w:r>
          </w:p>
        </w:tc>
        <w:tc>
          <w:tcPr>
            <w:vAlign w:val="center"/>
          </w:tcPr>
          <w:p>
            <w:pPr>
              <w:jc w:val="right"/>
            </w:pPr>
            <w:r>
              <w:rPr>
                <w:color w:val="000000"/>
                <w:sz w:val="24"/>
                <w:szCs w:val="24"/>
              </w:rPr>
              <w:t>10,294,000.00</w:t>
            </w:r>
          </w:p>
        </w:tc>
        <w:tc>
          <w:tcPr>
            <w:vAlign w:val="center"/>
          </w:tcPr>
          <w:p>
            <w:pPr>
              <w:jc w:val="right"/>
            </w:pPr>
            <w:r>
              <w:rPr>
                <w:color w:val="000000"/>
                <w:sz w:val="24"/>
                <w:szCs w:val="24"/>
              </w:rPr>
              <w:t>4.48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16,989.26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4,155,227.90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949.68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4,173,166.84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132005</w:t>
            </w:r>
          </w:p>
        </w:tc>
        <w:tc>
          <w:tcPr>
            <w:vAlign w:val="center"/>
          </w:tcPr>
          <w:p>
            <w:pPr>
              <w:jc w:val="center"/>
            </w:pPr>
            <w:r>
              <w:rPr>
                <w:color w:val="000000"/>
                <w:sz w:val="24"/>
                <w:szCs w:val="24"/>
              </w:rPr>
              <w:t>15国资EB</w:t>
            </w:r>
          </w:p>
        </w:tc>
        <w:tc>
          <w:tcPr>
            <w:vAlign w:val="center"/>
          </w:tcPr>
          <w:p>
            <w:pPr>
              <w:jc w:val="right"/>
            </w:pPr>
            <w:r>
              <w:rPr>
                <w:color w:val="000000"/>
                <w:sz w:val="24"/>
                <w:szCs w:val="24"/>
              </w:rPr>
              <w:t>1,215,000.00</w:t>
            </w:r>
          </w:p>
        </w:tc>
        <w:tc>
          <w:tcPr>
            <w:vAlign w:val="center"/>
          </w:tcPr>
          <w:p>
            <w:pPr>
              <w:jc w:val="right"/>
            </w:pPr>
            <w:r>
              <w:rPr>
                <w:color w:val="000000"/>
                <w:sz w:val="24"/>
                <w:szCs w:val="24"/>
              </w:rPr>
              <w:t>0.53</w:t>
            </w:r>
          </w:p>
        </w:tc>
      </w:tr>
      <w:tr>
        <w:tc>
          <w:tcPr>
            <w:vAlign w:val="center"/>
          </w:tcPr>
          <w:p>
            <w:pPr>
              <w:jc w:val="center"/>
            </w:pPr>
            <w:r>
              <w:rPr>
                <w:color w:val="000000"/>
                <w:sz w:val="24"/>
                <w:szCs w:val="24"/>
              </w:rPr>
              <w:t>2</w:t>
            </w:r>
          </w:p>
        </w:tc>
        <w:tc>
          <w:tcPr>
            <w:vAlign w:val="center"/>
          </w:tcPr>
          <w:p>
            <w:pPr>
              <w:jc w:val="center"/>
            </w:pPr>
            <w:r>
              <w:rPr>
                <w:color w:val="000000"/>
                <w:sz w:val="24"/>
                <w:szCs w:val="24"/>
              </w:rPr>
              <w:t>132006</w:t>
            </w:r>
          </w:p>
        </w:tc>
        <w:tc>
          <w:tcPr>
            <w:vAlign w:val="center"/>
          </w:tcPr>
          <w:p>
            <w:pPr>
              <w:jc w:val="center"/>
            </w:pPr>
            <w:r>
              <w:rPr>
                <w:color w:val="000000"/>
                <w:sz w:val="24"/>
                <w:szCs w:val="24"/>
              </w:rPr>
              <w:t>16皖新EB</w:t>
            </w:r>
          </w:p>
        </w:tc>
        <w:tc>
          <w:tcPr>
            <w:vAlign w:val="center"/>
          </w:tcPr>
          <w:p>
            <w:pPr>
              <w:jc w:val="right"/>
            </w:pPr>
            <w:r>
              <w:rPr>
                <w:color w:val="000000"/>
                <w:sz w:val="24"/>
                <w:szCs w:val="24"/>
              </w:rPr>
              <w:t>2,229,920.00</w:t>
            </w:r>
          </w:p>
        </w:tc>
        <w:tc>
          <w:tcPr>
            <w:vAlign w:val="center"/>
          </w:tcPr>
          <w:p>
            <w:pPr>
              <w:jc w:val="right"/>
            </w:pPr>
            <w:r>
              <w:rPr>
                <w:color w:val="000000"/>
                <w:sz w:val="24"/>
                <w:szCs w:val="24"/>
              </w:rPr>
              <w:t>0.97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192,913,668.89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30,401,668.73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56,899,936.27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166,415,401.35</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EE49FE">
      <w:pPr>
        <w:pStyle w:val="1"/>
        <w:tabs>
          <w:tab w:val="center" w:pos="4156"/>
          <w:tab w:val="right" w:pos="8312"/>
        </w:tabs>
        <w:spacing w:beforeLines="100" w:after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sz w:val="24"/>
        </w:rPr>
        <w:t/>
      </w:r>
      <w:r w:rsidRPr="00ED2620">
        <w:rPr>
          <w:rFonts w:eastAsiaTheme="minorEastAsia" w:hAnsiTheme="minorEastAsia"/>
          <w:color w:val="000000"/>
          <w:kern w:val="0"/>
          <w:sz w:val="24"/>
        </w:rPr>
        <w:t>单位：份</w:t>
      </w:r>
    </w:p>
    <w:tbl>
      <w:tblPr>
        <w:tblW w:w="8868" w:type="dxa"/>
        <w:jc w:val="center"/>
        <w:tblLayout w:type="fixed"/>
        <w:tblLook w:val="04A0"/>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r w:rsidRPr="00ED2620">
              <w:rPr>
                <w:rFonts w:eastAsiaTheme="minorEastAsia"/>
              </w:rPr>
              <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73,528,676.47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73,528,676.47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44.18</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2017/7/1-2017/9/30</w:t>
            </w:r>
          </w:p>
        </w:tc>
        <w:tc>
          <w:tcPr>
            <w:vAlign w:val="center"/>
          </w:tcPr>
          <w:p>
            <w:pPr>
              <w:jc w:val="center"/>
            </w:pPr>
            <w:r>
              <w:rPr>
                <w:rFonts w:ascii="宋体" w:hAnsi="宋体"/>
                <w:color w:val="000000"/>
                <w:kern w:val="0"/>
              </w:rPr>
              <w:t>73,528,676.47</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73,528,676.47</w:t>
            </w:r>
          </w:p>
        </w:tc>
        <w:tc>
          <w:tcPr>
            <w:vAlign w:val="center"/>
          </w:tcPr>
          <w:p>
            <w:pPr>
              <w:jc w:val="center"/>
            </w:pPr>
            <w:r>
              <w:rPr>
                <w:rFonts w:ascii="宋体" w:hAnsi="宋体"/>
                <w:color w:val="000000"/>
                <w:kern w:val="0"/>
              </w:rPr>
              <w:t>44.18%</w:t>
            </w:r>
          </w:p>
        </w:tc>
      </w:tr>
    </w:tbl>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2"/>
      </w:tblGrid>
      <w:tr w:rsidR="003C50AD" w:rsidRPr="004F4D27" w:rsidTr="00424D30">
        <w:tc>
          <w:tcPr>
            <w:tcW w:w="9212" w:type="dxa"/>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w="9212" w:type="dxa"/>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R="00B22DEE" w:rsidRPr="00E02660"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 xml:space="preserve">1、中国证监会核准交银施罗德信用添利债券证券投资基金募集的文件； </w:t>
      </w:r>
    </w:p>
    <w:p>
      <w:pPr>
        <w:spacing w:before="29" w:line="288" w:lineRule="auto"/>
        <w:ind w:firstLineChars="200" w:firstLine="480"/>
        <w:rPr>
          <w:color w:val="000000"/>
          <w:sz w:val="24"/>
          <w:szCs w:val="24"/>
        </w:rPr>
      </w:pPr>
      <w:r>
        <w:rPr>
          <w:color w:val="000000"/>
          <w:sz w:val="24"/>
          <w:szCs w:val="24"/>
        </w:rPr>
        <w:t>2、《交银施罗德信用添利债券证券投资基金基金合同》；</w:t>
      </w:r>
    </w:p>
    <w:p>
      <w:pPr>
        <w:spacing w:before="29" w:line="288" w:lineRule="auto"/>
        <w:ind w:firstLineChars="200" w:firstLine="480"/>
        <w:rPr>
          <w:color w:val="000000"/>
          <w:sz w:val="24"/>
          <w:szCs w:val="24"/>
        </w:rPr>
      </w:pPr>
      <w:r>
        <w:rPr>
          <w:color w:val="000000"/>
          <w:sz w:val="24"/>
          <w:szCs w:val="24"/>
        </w:rPr>
        <w:t xml:space="preserve">3、《交银施罗德信用添利债券证券投资基金招募说明书》； </w:t>
      </w:r>
    </w:p>
    <w:p>
      <w:pPr>
        <w:spacing w:before="29" w:line="288" w:lineRule="auto"/>
        <w:ind w:firstLineChars="200" w:firstLine="480"/>
        <w:rPr>
          <w:color w:val="000000"/>
          <w:sz w:val="24"/>
          <w:szCs w:val="24"/>
        </w:rPr>
      </w:pPr>
      <w:r>
        <w:rPr>
          <w:color w:val="000000"/>
          <w:sz w:val="24"/>
          <w:szCs w:val="24"/>
        </w:rPr>
        <w:t xml:space="preserve">4、《交银施罗德信用添利债券证券投资基金托管协议》； </w:t>
      </w:r>
    </w:p>
    <w:p>
      <w:pPr>
        <w:spacing w:before="29" w:line="288" w:lineRule="auto"/>
        <w:ind w:firstLineChars="200" w:firstLine="480"/>
        <w:rPr>
          <w:color w:val="000000"/>
          <w:sz w:val="24"/>
          <w:szCs w:val="24"/>
        </w:rPr>
      </w:pPr>
      <w:r>
        <w:rPr>
          <w:color w:val="000000"/>
          <w:sz w:val="24"/>
          <w:szCs w:val="24"/>
        </w:rPr>
        <w:t>5、基金管理人业务资格批件、营业执照；</w:t>
      </w:r>
    </w:p>
    <w:p>
      <w:pPr>
        <w:spacing w:before="29" w:line="288" w:lineRule="auto"/>
        <w:ind w:firstLineChars="200" w:firstLine="480"/>
        <w:rPr>
          <w:color w:val="000000"/>
          <w:sz w:val="24"/>
          <w:szCs w:val="24"/>
        </w:rPr>
      </w:pPr>
      <w:r>
        <w:rPr>
          <w:color w:val="000000"/>
          <w:sz w:val="24"/>
          <w:szCs w:val="24"/>
        </w:rPr>
        <w:t>6、基金托管人业务资格批件、营业执照；</w:t>
      </w:r>
    </w:p>
    <w:p>
      <w:pPr>
        <w:spacing w:before="29" w:line="288" w:lineRule="auto"/>
        <w:ind w:firstLineChars="200" w:firstLine="480"/>
        <w:rPr>
          <w:color w:val="000000"/>
          <w:sz w:val="24"/>
          <w:szCs w:val="24"/>
        </w:rPr>
      </w:pPr>
      <w:r>
        <w:rPr>
          <w:color w:val="000000"/>
          <w:sz w:val="24"/>
          <w:szCs w:val="24"/>
        </w:rPr>
        <w:t>7、关于申请募集交银施罗德信用添利债券证券投资基金之法律意见书；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A33" w:rsidRDefault="005A0A33" w:rsidP="00876D65">
      <w:r>
        <w:separator/>
      </w:r>
    </w:p>
  </w:endnote>
  <w:endnote w:type="continuationSeparator" w:id="1">
    <w:p w:rsidR="005A0A33" w:rsidRDefault="005A0A33"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E49FE">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EE49FE">
      <w:rPr>
        <w:noProof/>
        <w:kern w:val="0"/>
        <w:szCs w:val="21"/>
      </w:rPr>
      <w:t>15</w:t>
    </w:r>
    <w:r w:rsidR="0052479B">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A33" w:rsidRDefault="005A0A33" w:rsidP="00876D65">
      <w:r>
        <w:separator/>
      </w:r>
    </w:p>
  </w:footnote>
  <w:footnote w:type="continuationSeparator" w:id="1">
    <w:p w:rsidR="005A0A33" w:rsidRDefault="005A0A33"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fontTable.xml" Type="http://schemas.openxmlformats.org/officeDocument/2006/relationships/fontTable"/>
<Relationship Id="rId12" Target="theme/theme1.xml" Type="http://schemas.openxmlformats.org/officeDocument/2006/relationships/theme"/>
<Relationship Id="rId13"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AE05-B3B4-4DEC-B1E6-C012F8D9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15</Pages>
  <Words>3756</Words>
  <Characters>21412</Characters>
  <Application>Microsoft Office Word</Application>
  <DocSecurity>0</DocSecurity>
  <Lines>178</Lines>
  <Paragraphs>50</Paragraphs>
  <ScaleCrop>false</ScaleCrop>
  <Company/>
  <LinksUpToDate>false</LinksUpToDate>
  <CharactersWithSpaces>25118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China</cp:lastModifiedBy>
  <dcterms:modified xsi:type="dcterms:W3CDTF">2017-07-10T10:13:00Z</dcterms:modified>
  <cp:revision>565</cp:revision>
</cp:coreProperties>
</file>