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交银施罗德先锋混合型证券投资基金</w:t>
      </w:r>
    </w:p>
    <w:p w:rsidR="002279D3" w:rsidRPr="0081286B" w:rsidRDefault="002279D3" w:rsidP="00C15CAC">
      <w:pPr>
        <w:spacing w:before="29" w:line="288" w:lineRule="auto"/>
        <w:jc w:val="center"/>
        <w:rPr>
          <w:b/>
          <w:sz w:val="36"/>
          <w:szCs w:val="36"/>
        </w:rPr>
      </w:pPr>
      <w:r w:rsidRPr="0081286B">
        <w:rPr>
          <w:b/>
          <w:sz w:val="36"/>
          <w:szCs w:val="36"/>
        </w:rPr>
        <w:t>2017</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2017</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二〇一七年十月二十五日</w:t>
      </w:r>
    </w:p>
    <w:p w:rsidR="004061AC" w:rsidRPr="00414345" w:rsidRDefault="004061AC" w:rsidP="0022594C">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3B046C" w:rsidRDefault="0022594C">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3B046C" w:rsidRDefault="0022594C">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2017</w:t>
      </w:r>
      <w:r>
        <w:rPr>
          <w:color w:val="000000"/>
          <w:sz w:val="24"/>
          <w:szCs w:val="24"/>
        </w:rPr>
        <w:t>年</w:t>
      </w:r>
      <w:r>
        <w:rPr>
          <w:color w:val="000000"/>
          <w:sz w:val="24"/>
          <w:szCs w:val="24"/>
        </w:rPr>
        <w:t>10</w:t>
      </w:r>
      <w:r>
        <w:rPr>
          <w:color w:val="000000"/>
          <w:sz w:val="24"/>
          <w:szCs w:val="24"/>
        </w:rPr>
        <w:t>月</w:t>
      </w:r>
      <w:r>
        <w:rPr>
          <w:color w:val="000000"/>
          <w:sz w:val="24"/>
          <w:szCs w:val="24"/>
        </w:rPr>
        <w:t>24</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3B046C" w:rsidRDefault="0022594C">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3B046C" w:rsidRDefault="0022594C">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3B046C" w:rsidRDefault="0022594C">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2017</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22594C">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交银先锋混合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519698</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519698</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519699</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2009</w:t>
            </w:r>
            <w:r w:rsidRPr="00414345">
              <w:rPr>
                <w:color w:val="000000"/>
                <w:kern w:val="0"/>
                <w:sz w:val="24"/>
                <w:szCs w:val="24"/>
              </w:rPr>
              <w:t>年</w:t>
            </w:r>
            <w:r w:rsidRPr="00414345">
              <w:rPr>
                <w:color w:val="000000"/>
                <w:kern w:val="0"/>
                <w:sz w:val="24"/>
                <w:szCs w:val="24"/>
              </w:rPr>
              <w:t>4</w:t>
            </w:r>
            <w:r w:rsidRPr="00414345">
              <w:rPr>
                <w:color w:val="000000"/>
                <w:kern w:val="0"/>
                <w:sz w:val="24"/>
                <w:szCs w:val="24"/>
              </w:rPr>
              <w:t>月</w:t>
            </w:r>
            <w:r w:rsidRPr="00414345">
              <w:rPr>
                <w:color w:val="000000"/>
                <w:kern w:val="0"/>
                <w:sz w:val="24"/>
                <w:szCs w:val="24"/>
              </w:rPr>
              <w:t>10</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999,133,608.99</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本基金主要通过投资于经过严格的品质筛选且具有持续成长潜力企业的股票，特别是处于快速成长过程中的中型及小型企业股票，在适度控制风险的前提下，为基金份额持有人谋求长期持续的资本增值。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运行和行业景气变化，以及上市公司成长潜力的基础上，主要通过优选成长性好、成长具有可持续性、成长质量优良、定价相对合理的股票，特别是处于快速成长过程中的中型及小型企业股票进行投资，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中证</w:t>
            </w:r>
            <w:r w:rsidRPr="00414345">
              <w:rPr>
                <w:color w:val="000000"/>
                <w:kern w:val="0"/>
                <w:sz w:val="24"/>
                <w:szCs w:val="24"/>
              </w:rPr>
              <w:t>700</w:t>
            </w:r>
            <w:r w:rsidRPr="00414345">
              <w:rPr>
                <w:color w:val="000000"/>
                <w:kern w:val="0"/>
                <w:sz w:val="24"/>
                <w:szCs w:val="24"/>
              </w:rPr>
              <w:t>指数</w:t>
            </w:r>
            <w:r w:rsidRPr="00414345">
              <w:rPr>
                <w:color w:val="000000"/>
                <w:kern w:val="0"/>
                <w:sz w:val="24"/>
                <w:szCs w:val="24"/>
              </w:rPr>
              <w:t>+25%×</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本基金是一只混合型基金，以具有持续成长潜力企业</w:t>
            </w:r>
            <w:r w:rsidRPr="00414345">
              <w:rPr>
                <w:color w:val="000000"/>
                <w:kern w:val="0"/>
                <w:sz w:val="24"/>
                <w:szCs w:val="24"/>
              </w:rPr>
              <w:lastRenderedPageBreak/>
              <w:t>的股票，特别是处于快速成长过程中的中型及小型企业为主要投资对象，追求超额收益，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22594C">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22594C" w:rsidRPr="00414345" w:rsidTr="0022594C">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-2017</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22594C" w:rsidRPr="00414345" w:rsidTr="0022594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-48,288,925.68</w:t>
            </w:r>
          </w:p>
        </w:tc>
      </w:tr>
      <w:tr w:rsidR="0022594C" w:rsidRPr="00414345" w:rsidTr="0022594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5,988,848.26</w:t>
            </w:r>
          </w:p>
        </w:tc>
      </w:tr>
      <w:tr w:rsidR="0022594C" w:rsidRPr="00414345" w:rsidTr="0022594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0.0054</w:t>
            </w:r>
          </w:p>
        </w:tc>
      </w:tr>
      <w:tr w:rsidR="0022594C" w:rsidRPr="00414345" w:rsidTr="0022594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1,234,979,828.18</w:t>
            </w:r>
          </w:p>
        </w:tc>
      </w:tr>
      <w:tr w:rsidR="0022594C" w:rsidRPr="00414345" w:rsidTr="0022594C">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1.2361</w:t>
            </w:r>
          </w:p>
        </w:tc>
      </w:tr>
    </w:tbl>
    <w:p w:rsidR="003B046C" w:rsidRDefault="0022594C">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r w:rsidRPr="00414345">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3B046C">
        <w:trPr>
          <w:jc w:val="center"/>
        </w:trPr>
        <w:tc>
          <w:tcPr>
            <w:tcW w:w="1701" w:type="dxa"/>
            <w:vAlign w:val="center"/>
          </w:tcPr>
          <w:p w:rsidR="003B046C" w:rsidRDefault="0022594C">
            <w:pPr>
              <w:jc w:val="left"/>
            </w:pPr>
            <w:r>
              <w:rPr>
                <w:color w:val="000000"/>
                <w:sz w:val="24"/>
                <w:szCs w:val="24"/>
              </w:rPr>
              <w:t>过去三个月</w:t>
            </w:r>
          </w:p>
        </w:tc>
        <w:tc>
          <w:tcPr>
            <w:tcW w:w="1045" w:type="dxa"/>
            <w:vAlign w:val="center"/>
          </w:tcPr>
          <w:p w:rsidR="003B046C" w:rsidRDefault="0022594C">
            <w:pPr>
              <w:jc w:val="center"/>
            </w:pPr>
            <w:r>
              <w:rPr>
                <w:color w:val="000000"/>
                <w:sz w:val="24"/>
                <w:szCs w:val="24"/>
              </w:rPr>
              <w:t>0.42%</w:t>
            </w:r>
          </w:p>
        </w:tc>
        <w:tc>
          <w:tcPr>
            <w:tcW w:w="1344" w:type="dxa"/>
            <w:vAlign w:val="center"/>
          </w:tcPr>
          <w:p w:rsidR="003B046C" w:rsidRDefault="0022594C">
            <w:pPr>
              <w:jc w:val="center"/>
            </w:pPr>
            <w:r>
              <w:rPr>
                <w:color w:val="000000"/>
                <w:sz w:val="24"/>
                <w:szCs w:val="24"/>
              </w:rPr>
              <w:t>1.22%</w:t>
            </w:r>
          </w:p>
        </w:tc>
        <w:tc>
          <w:tcPr>
            <w:tcW w:w="1194" w:type="dxa"/>
            <w:vAlign w:val="center"/>
          </w:tcPr>
          <w:p w:rsidR="003B046C" w:rsidRDefault="0022594C">
            <w:pPr>
              <w:jc w:val="center"/>
            </w:pPr>
            <w:r>
              <w:rPr>
                <w:color w:val="000000"/>
                <w:sz w:val="24"/>
                <w:szCs w:val="24"/>
              </w:rPr>
              <w:t>4.92%</w:t>
            </w:r>
          </w:p>
        </w:tc>
        <w:tc>
          <w:tcPr>
            <w:tcW w:w="1492" w:type="dxa"/>
            <w:vAlign w:val="center"/>
          </w:tcPr>
          <w:p w:rsidR="003B046C" w:rsidRDefault="0022594C">
            <w:pPr>
              <w:jc w:val="center"/>
            </w:pPr>
            <w:r>
              <w:rPr>
                <w:color w:val="000000"/>
                <w:sz w:val="24"/>
                <w:szCs w:val="24"/>
              </w:rPr>
              <w:t>0.64%</w:t>
            </w:r>
          </w:p>
        </w:tc>
        <w:tc>
          <w:tcPr>
            <w:tcW w:w="1194" w:type="dxa"/>
            <w:vAlign w:val="center"/>
          </w:tcPr>
          <w:p w:rsidR="003B046C" w:rsidRDefault="0022594C">
            <w:pPr>
              <w:jc w:val="center"/>
            </w:pPr>
            <w:r>
              <w:rPr>
                <w:color w:val="000000"/>
                <w:sz w:val="24"/>
                <w:szCs w:val="24"/>
              </w:rPr>
              <w:t>-4.50%</w:t>
            </w:r>
          </w:p>
        </w:tc>
        <w:tc>
          <w:tcPr>
            <w:tcW w:w="898" w:type="dxa"/>
            <w:vAlign w:val="center"/>
          </w:tcPr>
          <w:p w:rsidR="003B046C" w:rsidRDefault="0022594C">
            <w:pPr>
              <w:jc w:val="center"/>
            </w:pPr>
            <w:r>
              <w:rPr>
                <w:color w:val="000000"/>
                <w:sz w:val="24"/>
                <w:szCs w:val="24"/>
              </w:rPr>
              <w:t>0.58%</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中证</w:t>
      </w:r>
      <w:r w:rsidRPr="00414345">
        <w:rPr>
          <w:color w:val="000000"/>
          <w:sz w:val="24"/>
          <w:szCs w:val="24"/>
        </w:rPr>
        <w:t>700</w:t>
      </w:r>
      <w:r w:rsidRPr="00414345">
        <w:rPr>
          <w:color w:val="000000"/>
          <w:sz w:val="24"/>
          <w:szCs w:val="24"/>
        </w:rPr>
        <w:t>指数</w:t>
      </w:r>
      <w:r w:rsidRPr="00414345">
        <w:rPr>
          <w:color w:val="000000"/>
          <w:sz w:val="24"/>
          <w:szCs w:val="24"/>
        </w:rPr>
        <w:t>+25%×</w:t>
      </w:r>
      <w:r w:rsidRPr="00414345">
        <w:rPr>
          <w:color w:val="000000"/>
          <w:sz w:val="24"/>
          <w:szCs w:val="24"/>
        </w:rPr>
        <w:t>中信全债指数</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中证</w:t>
      </w:r>
      <w:r w:rsidRPr="00414345">
        <w:rPr>
          <w:color w:val="000000"/>
          <w:sz w:val="24"/>
          <w:szCs w:val="24"/>
        </w:rPr>
        <w:t>700</w:t>
      </w:r>
      <w:r w:rsidRPr="00414345">
        <w:rPr>
          <w:color w:val="000000"/>
          <w:sz w:val="24"/>
          <w:szCs w:val="24"/>
        </w:rPr>
        <w:t>指数</w:t>
      </w:r>
      <w:r w:rsidRPr="00414345">
        <w:rPr>
          <w:color w:val="000000"/>
          <w:sz w:val="24"/>
          <w:szCs w:val="24"/>
        </w:rPr>
        <w:t>+25%×</w:t>
      </w:r>
      <w:r w:rsidRPr="00414345">
        <w:rPr>
          <w:color w:val="000000"/>
          <w:sz w:val="24"/>
          <w:szCs w:val="24"/>
        </w:rPr>
        <w:t>中证综合债券指数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w:t>
      </w:r>
      <w:r w:rsidRPr="00414345">
        <w:rPr>
          <w:color w:val="000000"/>
          <w:sz w:val="24"/>
          <w:szCs w:val="24"/>
        </w:rPr>
        <w:lastRenderedPageBreak/>
        <w:t>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交银施罗德先锋混合型证券投资基金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2009</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4</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10</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22594C">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3B046C">
        <w:trPr>
          <w:jc w:val="center"/>
        </w:trPr>
        <w:tc>
          <w:tcPr>
            <w:tcW w:w="846" w:type="dxa"/>
            <w:vAlign w:val="center"/>
          </w:tcPr>
          <w:p w:rsidR="003B046C" w:rsidRDefault="0022594C">
            <w:pPr>
              <w:jc w:val="center"/>
            </w:pPr>
            <w:r>
              <w:rPr>
                <w:color w:val="000000"/>
                <w:sz w:val="24"/>
                <w:szCs w:val="24"/>
              </w:rPr>
              <w:t>芮晨</w:t>
            </w:r>
          </w:p>
        </w:tc>
        <w:tc>
          <w:tcPr>
            <w:tcW w:w="845" w:type="dxa"/>
            <w:vAlign w:val="center"/>
          </w:tcPr>
          <w:p w:rsidR="003B046C" w:rsidRDefault="0022594C">
            <w:pPr>
              <w:jc w:val="center"/>
            </w:pPr>
            <w:r>
              <w:rPr>
                <w:color w:val="000000"/>
                <w:sz w:val="24"/>
                <w:szCs w:val="24"/>
              </w:rPr>
              <w:t>交银先锋混合、交银科技创新</w:t>
            </w:r>
            <w:r>
              <w:rPr>
                <w:color w:val="000000"/>
                <w:sz w:val="24"/>
                <w:szCs w:val="24"/>
              </w:rPr>
              <w:lastRenderedPageBreak/>
              <w:t>灵活配置混合、交银数据产业灵活配置混合的基金经理</w:t>
            </w:r>
          </w:p>
        </w:tc>
        <w:tc>
          <w:tcPr>
            <w:tcW w:w="1549" w:type="dxa"/>
            <w:vAlign w:val="center"/>
          </w:tcPr>
          <w:p w:rsidR="003B046C" w:rsidRDefault="0022594C">
            <w:pPr>
              <w:jc w:val="center"/>
            </w:pPr>
            <w:r>
              <w:rPr>
                <w:color w:val="000000"/>
                <w:sz w:val="24"/>
                <w:szCs w:val="24"/>
              </w:rPr>
              <w:lastRenderedPageBreak/>
              <w:t>2015-05-18</w:t>
            </w:r>
          </w:p>
        </w:tc>
        <w:tc>
          <w:tcPr>
            <w:tcW w:w="1548" w:type="dxa"/>
            <w:vAlign w:val="center"/>
          </w:tcPr>
          <w:p w:rsidR="003B046C" w:rsidRDefault="0022594C">
            <w:pPr>
              <w:jc w:val="center"/>
            </w:pPr>
            <w:r>
              <w:rPr>
                <w:color w:val="000000"/>
                <w:sz w:val="24"/>
                <w:szCs w:val="24"/>
              </w:rPr>
              <w:t>-</w:t>
            </w:r>
          </w:p>
        </w:tc>
        <w:tc>
          <w:tcPr>
            <w:tcW w:w="1407" w:type="dxa"/>
            <w:vAlign w:val="center"/>
          </w:tcPr>
          <w:p w:rsidR="003B046C" w:rsidRDefault="0022594C">
            <w:pPr>
              <w:jc w:val="center"/>
            </w:pPr>
            <w:r>
              <w:rPr>
                <w:color w:val="000000"/>
                <w:sz w:val="24"/>
                <w:szCs w:val="24"/>
              </w:rPr>
              <w:t>10</w:t>
            </w:r>
            <w:r>
              <w:rPr>
                <w:color w:val="000000"/>
                <w:sz w:val="24"/>
                <w:szCs w:val="24"/>
              </w:rPr>
              <w:t>年</w:t>
            </w:r>
          </w:p>
        </w:tc>
        <w:tc>
          <w:tcPr>
            <w:tcW w:w="2673" w:type="dxa"/>
            <w:vAlign w:val="center"/>
          </w:tcPr>
          <w:p w:rsidR="003B046C" w:rsidRDefault="0022594C">
            <w:r>
              <w:rPr>
                <w:color w:val="000000"/>
                <w:sz w:val="24"/>
                <w:szCs w:val="24"/>
              </w:rPr>
              <w:t>芮晨先生，内蒙古科技大学工学士。历任深圳尚诚资产管理有限公司研究员、研究副总监，国联安基金管理有限公司行业研究员、投资经</w:t>
            </w:r>
            <w:r>
              <w:rPr>
                <w:color w:val="000000"/>
                <w:sz w:val="24"/>
                <w:szCs w:val="24"/>
              </w:rPr>
              <w:lastRenderedPageBreak/>
              <w:t>理，浙商证券资产管理有限公司投资主办。</w:t>
            </w:r>
            <w:r>
              <w:rPr>
                <w:color w:val="000000"/>
                <w:sz w:val="24"/>
                <w:szCs w:val="24"/>
              </w:rPr>
              <w:t>2015</w:t>
            </w:r>
            <w:r>
              <w:rPr>
                <w:color w:val="000000"/>
                <w:sz w:val="24"/>
                <w:szCs w:val="24"/>
              </w:rPr>
              <w:t>年加入交银施罗德基金管理有限公司。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3B046C" w:rsidRDefault="0022594C">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3B046C" w:rsidRDefault="0022594C">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3B046C" w:rsidRDefault="0022594C">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lastRenderedPageBreak/>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3B046C" w:rsidRDefault="0022594C">
      <w:pPr>
        <w:spacing w:before="29" w:line="288" w:lineRule="auto"/>
        <w:ind w:firstLineChars="200" w:firstLine="480"/>
        <w:rPr>
          <w:color w:val="000000"/>
          <w:sz w:val="24"/>
          <w:szCs w:val="24"/>
        </w:rPr>
      </w:pPr>
      <w:r>
        <w:rPr>
          <w:color w:val="000000"/>
          <w:sz w:val="24"/>
          <w:szCs w:val="24"/>
        </w:rPr>
        <w:t>2017</w:t>
      </w:r>
      <w:r>
        <w:rPr>
          <w:color w:val="000000"/>
          <w:sz w:val="24"/>
          <w:szCs w:val="24"/>
        </w:rPr>
        <w:t>年三季度，宏观经济基本是二季度趋势的延续。股票市场持续上涨，基本符合我们之前的判断，我们仍然坚持在几个大类资产类别中，现阶段股票可能是最具配置价值的判断。在股票市场内部，我们维持现阶段成长股越来越具备配置价值的判断。从三季度的表现来看，成长类股票的收益率已经基本达到周期及消费类型的股票的涨幅水平。</w:t>
      </w:r>
    </w:p>
    <w:p w:rsidR="003B046C" w:rsidRDefault="0022594C">
      <w:pPr>
        <w:spacing w:before="29" w:line="288" w:lineRule="auto"/>
        <w:ind w:firstLineChars="200" w:firstLine="480"/>
        <w:rPr>
          <w:color w:val="000000"/>
          <w:sz w:val="24"/>
          <w:szCs w:val="24"/>
        </w:rPr>
      </w:pPr>
      <w:r>
        <w:rPr>
          <w:color w:val="000000"/>
          <w:sz w:val="24"/>
          <w:szCs w:val="24"/>
        </w:rPr>
        <w:t>三季度本基金保持高仓位新兴成长股的配置。</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展望四季度，我们认为成长股的配置价值或将进一步显现。本基金四季度仍将坚持新兴成长股的配置方向。</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2017</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 xml:space="preserve"> 1.2361</w:t>
      </w:r>
      <w:r w:rsidRPr="00414345">
        <w:rPr>
          <w:color w:val="000000"/>
          <w:sz w:val="24"/>
          <w:szCs w:val="24"/>
        </w:rPr>
        <w:t>元，本报告期份额净值增长率为</w:t>
      </w:r>
      <w:r w:rsidRPr="00414345">
        <w:rPr>
          <w:color w:val="000000"/>
          <w:sz w:val="24"/>
          <w:szCs w:val="24"/>
        </w:rPr>
        <w:t>0.42%</w:t>
      </w:r>
      <w:r w:rsidRPr="00414345">
        <w:rPr>
          <w:color w:val="000000"/>
          <w:sz w:val="24"/>
          <w:szCs w:val="24"/>
        </w:rPr>
        <w:t>，同期业绩比较基准增长率为</w:t>
      </w:r>
      <w:r w:rsidRPr="00414345">
        <w:rPr>
          <w:color w:val="000000"/>
          <w:sz w:val="24"/>
          <w:szCs w:val="24"/>
        </w:rPr>
        <w:t>4.92%</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22594C">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1,161,967,127.55</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93.77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1,161,967,127.55</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93.77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76,268,836.26</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6.15</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910,612.24</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0.07</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1,239,146,576.05</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491,904,560.18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39.83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144,806,454.98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11.73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402,866,309.51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32.62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106,282,354.88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8.61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16,107,448.00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1,161,967,127.55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94.09</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lastRenderedPageBreak/>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3B046C">
        <w:trPr>
          <w:jc w:val="center"/>
        </w:trPr>
        <w:tc>
          <w:tcPr>
            <w:tcW w:w="855" w:type="dxa"/>
            <w:vAlign w:val="center"/>
          </w:tcPr>
          <w:p w:rsidR="003B046C" w:rsidRDefault="0022594C">
            <w:pPr>
              <w:jc w:val="center"/>
            </w:pPr>
            <w:r>
              <w:rPr>
                <w:color w:val="000000"/>
                <w:sz w:val="24"/>
                <w:szCs w:val="24"/>
              </w:rPr>
              <w:t>1</w:t>
            </w:r>
          </w:p>
        </w:tc>
        <w:tc>
          <w:tcPr>
            <w:tcW w:w="1334" w:type="dxa"/>
            <w:vAlign w:val="center"/>
          </w:tcPr>
          <w:p w:rsidR="003B046C" w:rsidRDefault="0022594C">
            <w:pPr>
              <w:jc w:val="center"/>
            </w:pPr>
            <w:r>
              <w:rPr>
                <w:color w:val="000000"/>
                <w:sz w:val="24"/>
                <w:szCs w:val="24"/>
              </w:rPr>
              <w:t>300365</w:t>
            </w:r>
          </w:p>
        </w:tc>
        <w:tc>
          <w:tcPr>
            <w:tcW w:w="1777" w:type="dxa"/>
            <w:vAlign w:val="center"/>
          </w:tcPr>
          <w:p w:rsidR="003B046C" w:rsidRDefault="0022594C">
            <w:pPr>
              <w:jc w:val="center"/>
            </w:pPr>
            <w:r>
              <w:rPr>
                <w:color w:val="000000"/>
                <w:sz w:val="24"/>
                <w:szCs w:val="24"/>
              </w:rPr>
              <w:t>恒华科技</w:t>
            </w:r>
          </w:p>
        </w:tc>
        <w:tc>
          <w:tcPr>
            <w:tcW w:w="1334" w:type="dxa"/>
            <w:vAlign w:val="center"/>
          </w:tcPr>
          <w:p w:rsidR="003B046C" w:rsidRDefault="0022594C">
            <w:pPr>
              <w:jc w:val="right"/>
            </w:pPr>
            <w:r>
              <w:rPr>
                <w:color w:val="000000"/>
                <w:sz w:val="24"/>
                <w:szCs w:val="24"/>
              </w:rPr>
              <w:t>3,432,728</w:t>
            </w:r>
          </w:p>
        </w:tc>
        <w:tc>
          <w:tcPr>
            <w:tcW w:w="1924" w:type="dxa"/>
            <w:vAlign w:val="center"/>
          </w:tcPr>
          <w:p w:rsidR="003B046C" w:rsidRDefault="0022594C">
            <w:pPr>
              <w:jc w:val="right"/>
            </w:pPr>
            <w:r>
              <w:rPr>
                <w:color w:val="000000"/>
                <w:sz w:val="24"/>
                <w:szCs w:val="24"/>
              </w:rPr>
              <w:t>128,624,318.16</w:t>
            </w:r>
          </w:p>
        </w:tc>
        <w:tc>
          <w:tcPr>
            <w:tcW w:w="1644" w:type="dxa"/>
            <w:vAlign w:val="center"/>
          </w:tcPr>
          <w:p w:rsidR="003B046C" w:rsidRDefault="0022594C">
            <w:pPr>
              <w:jc w:val="right"/>
            </w:pPr>
            <w:r>
              <w:rPr>
                <w:color w:val="000000"/>
                <w:sz w:val="24"/>
                <w:szCs w:val="24"/>
              </w:rPr>
              <w:t>10.42</w:t>
            </w:r>
          </w:p>
        </w:tc>
      </w:tr>
      <w:tr w:rsidR="003B046C">
        <w:trPr>
          <w:jc w:val="center"/>
        </w:trPr>
        <w:tc>
          <w:tcPr>
            <w:tcW w:w="855" w:type="dxa"/>
            <w:vAlign w:val="center"/>
          </w:tcPr>
          <w:p w:rsidR="003B046C" w:rsidRDefault="0022594C">
            <w:pPr>
              <w:jc w:val="center"/>
            </w:pPr>
            <w:r>
              <w:rPr>
                <w:color w:val="000000"/>
                <w:sz w:val="24"/>
                <w:szCs w:val="24"/>
              </w:rPr>
              <w:t>2</w:t>
            </w:r>
          </w:p>
        </w:tc>
        <w:tc>
          <w:tcPr>
            <w:tcW w:w="1334" w:type="dxa"/>
            <w:vAlign w:val="center"/>
          </w:tcPr>
          <w:p w:rsidR="003B046C" w:rsidRDefault="0022594C">
            <w:pPr>
              <w:jc w:val="center"/>
            </w:pPr>
            <w:r>
              <w:rPr>
                <w:color w:val="000000"/>
                <w:sz w:val="24"/>
                <w:szCs w:val="24"/>
              </w:rPr>
              <w:t>300347</w:t>
            </w:r>
          </w:p>
        </w:tc>
        <w:tc>
          <w:tcPr>
            <w:tcW w:w="1777" w:type="dxa"/>
            <w:vAlign w:val="center"/>
          </w:tcPr>
          <w:p w:rsidR="003B046C" w:rsidRDefault="0022594C">
            <w:pPr>
              <w:jc w:val="center"/>
            </w:pPr>
            <w:r>
              <w:rPr>
                <w:color w:val="000000"/>
                <w:sz w:val="24"/>
                <w:szCs w:val="24"/>
              </w:rPr>
              <w:t>泰格医药</w:t>
            </w:r>
          </w:p>
        </w:tc>
        <w:tc>
          <w:tcPr>
            <w:tcW w:w="1334" w:type="dxa"/>
            <w:vAlign w:val="center"/>
          </w:tcPr>
          <w:p w:rsidR="003B046C" w:rsidRDefault="0022594C">
            <w:pPr>
              <w:jc w:val="right"/>
            </w:pPr>
            <w:r>
              <w:rPr>
                <w:color w:val="000000"/>
                <w:sz w:val="24"/>
                <w:szCs w:val="24"/>
              </w:rPr>
              <w:t>3,668,704</w:t>
            </w:r>
          </w:p>
        </w:tc>
        <w:tc>
          <w:tcPr>
            <w:tcW w:w="1924" w:type="dxa"/>
            <w:vAlign w:val="center"/>
          </w:tcPr>
          <w:p w:rsidR="003B046C" w:rsidRDefault="0022594C">
            <w:pPr>
              <w:jc w:val="right"/>
            </w:pPr>
            <w:r>
              <w:rPr>
                <w:color w:val="000000"/>
                <w:sz w:val="24"/>
                <w:szCs w:val="24"/>
              </w:rPr>
              <w:t>106,282,354.88</w:t>
            </w:r>
          </w:p>
        </w:tc>
        <w:tc>
          <w:tcPr>
            <w:tcW w:w="1644" w:type="dxa"/>
            <w:vAlign w:val="center"/>
          </w:tcPr>
          <w:p w:rsidR="003B046C" w:rsidRDefault="0022594C">
            <w:pPr>
              <w:jc w:val="right"/>
            </w:pPr>
            <w:r>
              <w:rPr>
                <w:color w:val="000000"/>
                <w:sz w:val="24"/>
                <w:szCs w:val="24"/>
              </w:rPr>
              <w:t>8.61</w:t>
            </w:r>
          </w:p>
        </w:tc>
      </w:tr>
      <w:tr w:rsidR="003B046C">
        <w:trPr>
          <w:jc w:val="center"/>
        </w:trPr>
        <w:tc>
          <w:tcPr>
            <w:tcW w:w="855" w:type="dxa"/>
            <w:vAlign w:val="center"/>
          </w:tcPr>
          <w:p w:rsidR="003B046C" w:rsidRDefault="0022594C">
            <w:pPr>
              <w:jc w:val="center"/>
            </w:pPr>
            <w:r>
              <w:rPr>
                <w:color w:val="000000"/>
                <w:sz w:val="24"/>
                <w:szCs w:val="24"/>
              </w:rPr>
              <w:t>3</w:t>
            </w:r>
          </w:p>
        </w:tc>
        <w:tc>
          <w:tcPr>
            <w:tcW w:w="1334" w:type="dxa"/>
            <w:vAlign w:val="center"/>
          </w:tcPr>
          <w:p w:rsidR="003B046C" w:rsidRDefault="0022594C">
            <w:pPr>
              <w:jc w:val="center"/>
            </w:pPr>
            <w:r>
              <w:rPr>
                <w:color w:val="000000"/>
                <w:sz w:val="24"/>
                <w:szCs w:val="24"/>
              </w:rPr>
              <w:t>600693</w:t>
            </w:r>
          </w:p>
        </w:tc>
        <w:tc>
          <w:tcPr>
            <w:tcW w:w="1777" w:type="dxa"/>
            <w:vAlign w:val="center"/>
          </w:tcPr>
          <w:p w:rsidR="003B046C" w:rsidRDefault="0022594C">
            <w:pPr>
              <w:jc w:val="center"/>
            </w:pPr>
            <w:r>
              <w:rPr>
                <w:color w:val="000000"/>
                <w:sz w:val="24"/>
                <w:szCs w:val="24"/>
              </w:rPr>
              <w:t>东百集团</w:t>
            </w:r>
          </w:p>
        </w:tc>
        <w:tc>
          <w:tcPr>
            <w:tcW w:w="1334" w:type="dxa"/>
            <w:vAlign w:val="center"/>
          </w:tcPr>
          <w:p w:rsidR="003B046C" w:rsidRDefault="0022594C">
            <w:pPr>
              <w:jc w:val="right"/>
            </w:pPr>
            <w:r>
              <w:rPr>
                <w:color w:val="000000"/>
                <w:sz w:val="24"/>
                <w:szCs w:val="24"/>
              </w:rPr>
              <w:t>8,856,020</w:t>
            </w:r>
          </w:p>
        </w:tc>
        <w:tc>
          <w:tcPr>
            <w:tcW w:w="1924" w:type="dxa"/>
            <w:vAlign w:val="center"/>
          </w:tcPr>
          <w:p w:rsidR="003B046C" w:rsidRDefault="0022594C">
            <w:pPr>
              <w:jc w:val="right"/>
            </w:pPr>
            <w:r>
              <w:rPr>
                <w:color w:val="000000"/>
                <w:sz w:val="24"/>
                <w:szCs w:val="24"/>
              </w:rPr>
              <w:t>98,921,743.40</w:t>
            </w:r>
          </w:p>
        </w:tc>
        <w:tc>
          <w:tcPr>
            <w:tcW w:w="1644" w:type="dxa"/>
            <w:vAlign w:val="center"/>
          </w:tcPr>
          <w:p w:rsidR="003B046C" w:rsidRDefault="0022594C">
            <w:pPr>
              <w:jc w:val="right"/>
            </w:pPr>
            <w:r>
              <w:rPr>
                <w:color w:val="000000"/>
                <w:sz w:val="24"/>
                <w:szCs w:val="24"/>
              </w:rPr>
              <w:t>8.01</w:t>
            </w:r>
          </w:p>
        </w:tc>
      </w:tr>
      <w:tr w:rsidR="003B046C">
        <w:trPr>
          <w:jc w:val="center"/>
        </w:trPr>
        <w:tc>
          <w:tcPr>
            <w:tcW w:w="855" w:type="dxa"/>
            <w:vAlign w:val="center"/>
          </w:tcPr>
          <w:p w:rsidR="003B046C" w:rsidRDefault="0022594C">
            <w:pPr>
              <w:jc w:val="center"/>
            </w:pPr>
            <w:r>
              <w:rPr>
                <w:color w:val="000000"/>
                <w:sz w:val="24"/>
                <w:szCs w:val="24"/>
              </w:rPr>
              <w:t>4</w:t>
            </w:r>
          </w:p>
        </w:tc>
        <w:tc>
          <w:tcPr>
            <w:tcW w:w="1334" w:type="dxa"/>
            <w:vAlign w:val="center"/>
          </w:tcPr>
          <w:p w:rsidR="003B046C" w:rsidRDefault="0022594C">
            <w:pPr>
              <w:jc w:val="center"/>
            </w:pPr>
            <w:r>
              <w:rPr>
                <w:color w:val="000000"/>
                <w:sz w:val="24"/>
                <w:szCs w:val="24"/>
              </w:rPr>
              <w:t>002599</w:t>
            </w:r>
          </w:p>
        </w:tc>
        <w:tc>
          <w:tcPr>
            <w:tcW w:w="1777" w:type="dxa"/>
            <w:vAlign w:val="center"/>
          </w:tcPr>
          <w:p w:rsidR="003B046C" w:rsidRDefault="0022594C">
            <w:pPr>
              <w:jc w:val="center"/>
            </w:pPr>
            <w:r>
              <w:rPr>
                <w:color w:val="000000"/>
                <w:sz w:val="24"/>
                <w:szCs w:val="24"/>
              </w:rPr>
              <w:t>盛通股份</w:t>
            </w:r>
          </w:p>
        </w:tc>
        <w:tc>
          <w:tcPr>
            <w:tcW w:w="1334" w:type="dxa"/>
            <w:vAlign w:val="center"/>
          </w:tcPr>
          <w:p w:rsidR="003B046C" w:rsidRDefault="0022594C">
            <w:pPr>
              <w:jc w:val="right"/>
            </w:pPr>
            <w:r>
              <w:rPr>
                <w:color w:val="000000"/>
                <w:sz w:val="24"/>
                <w:szCs w:val="24"/>
              </w:rPr>
              <w:t>6,856,841</w:t>
            </w:r>
          </w:p>
        </w:tc>
        <w:tc>
          <w:tcPr>
            <w:tcW w:w="1924" w:type="dxa"/>
            <w:vAlign w:val="center"/>
          </w:tcPr>
          <w:p w:rsidR="003B046C" w:rsidRDefault="0022594C">
            <w:pPr>
              <w:jc w:val="right"/>
            </w:pPr>
            <w:r>
              <w:rPr>
                <w:color w:val="000000"/>
                <w:sz w:val="24"/>
                <w:szCs w:val="24"/>
              </w:rPr>
              <w:t>97,435,710.61</w:t>
            </w:r>
          </w:p>
        </w:tc>
        <w:tc>
          <w:tcPr>
            <w:tcW w:w="1644" w:type="dxa"/>
            <w:vAlign w:val="center"/>
          </w:tcPr>
          <w:p w:rsidR="003B046C" w:rsidRDefault="0022594C">
            <w:pPr>
              <w:jc w:val="right"/>
            </w:pPr>
            <w:r>
              <w:rPr>
                <w:color w:val="000000"/>
                <w:sz w:val="24"/>
                <w:szCs w:val="24"/>
              </w:rPr>
              <w:t>7.89</w:t>
            </w:r>
          </w:p>
        </w:tc>
      </w:tr>
      <w:tr w:rsidR="003B046C">
        <w:trPr>
          <w:jc w:val="center"/>
        </w:trPr>
        <w:tc>
          <w:tcPr>
            <w:tcW w:w="855" w:type="dxa"/>
            <w:vAlign w:val="center"/>
          </w:tcPr>
          <w:p w:rsidR="003B046C" w:rsidRDefault="0022594C">
            <w:pPr>
              <w:jc w:val="center"/>
            </w:pPr>
            <w:r>
              <w:rPr>
                <w:color w:val="000000"/>
                <w:sz w:val="24"/>
                <w:szCs w:val="24"/>
              </w:rPr>
              <w:t>5</w:t>
            </w:r>
          </w:p>
        </w:tc>
        <w:tc>
          <w:tcPr>
            <w:tcW w:w="1334" w:type="dxa"/>
            <w:vAlign w:val="center"/>
          </w:tcPr>
          <w:p w:rsidR="003B046C" w:rsidRDefault="0022594C">
            <w:pPr>
              <w:jc w:val="center"/>
            </w:pPr>
            <w:r>
              <w:rPr>
                <w:color w:val="000000"/>
                <w:sz w:val="24"/>
                <w:szCs w:val="24"/>
              </w:rPr>
              <w:t>300279</w:t>
            </w:r>
          </w:p>
        </w:tc>
        <w:tc>
          <w:tcPr>
            <w:tcW w:w="1777" w:type="dxa"/>
            <w:vAlign w:val="center"/>
          </w:tcPr>
          <w:p w:rsidR="003B046C" w:rsidRDefault="0022594C">
            <w:pPr>
              <w:jc w:val="center"/>
            </w:pPr>
            <w:r>
              <w:rPr>
                <w:color w:val="000000"/>
                <w:sz w:val="24"/>
                <w:szCs w:val="24"/>
              </w:rPr>
              <w:t>和晶科技</w:t>
            </w:r>
          </w:p>
        </w:tc>
        <w:tc>
          <w:tcPr>
            <w:tcW w:w="1334" w:type="dxa"/>
            <w:vAlign w:val="center"/>
          </w:tcPr>
          <w:p w:rsidR="003B046C" w:rsidRDefault="0022594C">
            <w:pPr>
              <w:jc w:val="right"/>
            </w:pPr>
            <w:r>
              <w:rPr>
                <w:color w:val="000000"/>
                <w:sz w:val="24"/>
                <w:szCs w:val="24"/>
              </w:rPr>
              <w:t>7,349,677</w:t>
            </w:r>
          </w:p>
        </w:tc>
        <w:tc>
          <w:tcPr>
            <w:tcW w:w="1924" w:type="dxa"/>
            <w:vAlign w:val="center"/>
          </w:tcPr>
          <w:p w:rsidR="003B046C" w:rsidRDefault="0022594C">
            <w:pPr>
              <w:jc w:val="right"/>
            </w:pPr>
            <w:r>
              <w:rPr>
                <w:color w:val="000000"/>
                <w:sz w:val="24"/>
                <w:szCs w:val="24"/>
              </w:rPr>
              <w:t>88,563,607.85</w:t>
            </w:r>
          </w:p>
        </w:tc>
        <w:tc>
          <w:tcPr>
            <w:tcW w:w="1644" w:type="dxa"/>
            <w:vAlign w:val="center"/>
          </w:tcPr>
          <w:p w:rsidR="003B046C" w:rsidRDefault="0022594C">
            <w:pPr>
              <w:jc w:val="right"/>
            </w:pPr>
            <w:r>
              <w:rPr>
                <w:color w:val="000000"/>
                <w:sz w:val="24"/>
                <w:szCs w:val="24"/>
              </w:rPr>
              <w:t>7.17</w:t>
            </w:r>
          </w:p>
        </w:tc>
      </w:tr>
      <w:tr w:rsidR="003B046C">
        <w:trPr>
          <w:jc w:val="center"/>
        </w:trPr>
        <w:tc>
          <w:tcPr>
            <w:tcW w:w="855" w:type="dxa"/>
            <w:vAlign w:val="center"/>
          </w:tcPr>
          <w:p w:rsidR="003B046C" w:rsidRDefault="0022594C">
            <w:pPr>
              <w:jc w:val="center"/>
            </w:pPr>
            <w:r>
              <w:rPr>
                <w:color w:val="000000"/>
                <w:sz w:val="24"/>
                <w:szCs w:val="24"/>
              </w:rPr>
              <w:t>6</w:t>
            </w:r>
          </w:p>
        </w:tc>
        <w:tc>
          <w:tcPr>
            <w:tcW w:w="1334" w:type="dxa"/>
            <w:vAlign w:val="center"/>
          </w:tcPr>
          <w:p w:rsidR="003B046C" w:rsidRDefault="0022594C">
            <w:pPr>
              <w:jc w:val="center"/>
            </w:pPr>
            <w:r>
              <w:rPr>
                <w:color w:val="000000"/>
                <w:sz w:val="24"/>
                <w:szCs w:val="24"/>
              </w:rPr>
              <w:t>300231</w:t>
            </w:r>
          </w:p>
        </w:tc>
        <w:tc>
          <w:tcPr>
            <w:tcW w:w="1777" w:type="dxa"/>
            <w:vAlign w:val="center"/>
          </w:tcPr>
          <w:p w:rsidR="003B046C" w:rsidRDefault="0022594C">
            <w:pPr>
              <w:jc w:val="center"/>
            </w:pPr>
            <w:r>
              <w:rPr>
                <w:color w:val="000000"/>
                <w:sz w:val="24"/>
                <w:szCs w:val="24"/>
              </w:rPr>
              <w:t>银信科技</w:t>
            </w:r>
          </w:p>
        </w:tc>
        <w:tc>
          <w:tcPr>
            <w:tcW w:w="1334" w:type="dxa"/>
            <w:vAlign w:val="center"/>
          </w:tcPr>
          <w:p w:rsidR="003B046C" w:rsidRDefault="0022594C">
            <w:pPr>
              <w:jc w:val="right"/>
            </w:pPr>
            <w:r>
              <w:rPr>
                <w:color w:val="000000"/>
                <w:sz w:val="24"/>
                <w:szCs w:val="24"/>
              </w:rPr>
              <w:t>5,495,450</w:t>
            </w:r>
          </w:p>
        </w:tc>
        <w:tc>
          <w:tcPr>
            <w:tcW w:w="1924" w:type="dxa"/>
            <w:vAlign w:val="center"/>
          </w:tcPr>
          <w:p w:rsidR="003B046C" w:rsidRDefault="0022594C">
            <w:pPr>
              <w:jc w:val="right"/>
            </w:pPr>
            <w:r>
              <w:rPr>
                <w:color w:val="000000"/>
                <w:sz w:val="24"/>
                <w:szCs w:val="24"/>
              </w:rPr>
              <w:t>70,506,623.50</w:t>
            </w:r>
          </w:p>
        </w:tc>
        <w:tc>
          <w:tcPr>
            <w:tcW w:w="1644" w:type="dxa"/>
            <w:vAlign w:val="center"/>
          </w:tcPr>
          <w:p w:rsidR="003B046C" w:rsidRDefault="0022594C">
            <w:pPr>
              <w:jc w:val="right"/>
            </w:pPr>
            <w:r>
              <w:rPr>
                <w:color w:val="000000"/>
                <w:sz w:val="24"/>
                <w:szCs w:val="24"/>
              </w:rPr>
              <w:t>5.71</w:t>
            </w:r>
          </w:p>
        </w:tc>
      </w:tr>
      <w:tr w:rsidR="003B046C">
        <w:trPr>
          <w:jc w:val="center"/>
        </w:trPr>
        <w:tc>
          <w:tcPr>
            <w:tcW w:w="855" w:type="dxa"/>
            <w:vAlign w:val="center"/>
          </w:tcPr>
          <w:p w:rsidR="003B046C" w:rsidRDefault="0022594C">
            <w:pPr>
              <w:jc w:val="center"/>
            </w:pPr>
            <w:r>
              <w:rPr>
                <w:color w:val="000000"/>
                <w:sz w:val="24"/>
                <w:szCs w:val="24"/>
              </w:rPr>
              <w:t>7</w:t>
            </w:r>
          </w:p>
        </w:tc>
        <w:tc>
          <w:tcPr>
            <w:tcW w:w="1334" w:type="dxa"/>
            <w:vAlign w:val="center"/>
          </w:tcPr>
          <w:p w:rsidR="003B046C" w:rsidRDefault="0022594C">
            <w:pPr>
              <w:jc w:val="center"/>
            </w:pPr>
            <w:r>
              <w:rPr>
                <w:color w:val="000000"/>
                <w:sz w:val="24"/>
                <w:szCs w:val="24"/>
              </w:rPr>
              <w:t>300447</w:t>
            </w:r>
          </w:p>
        </w:tc>
        <w:tc>
          <w:tcPr>
            <w:tcW w:w="1777" w:type="dxa"/>
            <w:vAlign w:val="center"/>
          </w:tcPr>
          <w:p w:rsidR="003B046C" w:rsidRDefault="0022594C">
            <w:pPr>
              <w:jc w:val="center"/>
            </w:pPr>
            <w:r>
              <w:rPr>
                <w:color w:val="000000"/>
                <w:sz w:val="24"/>
                <w:szCs w:val="24"/>
              </w:rPr>
              <w:t>全信股份</w:t>
            </w:r>
          </w:p>
        </w:tc>
        <w:tc>
          <w:tcPr>
            <w:tcW w:w="1334" w:type="dxa"/>
            <w:vAlign w:val="center"/>
          </w:tcPr>
          <w:p w:rsidR="003B046C" w:rsidRDefault="0022594C">
            <w:pPr>
              <w:jc w:val="right"/>
            </w:pPr>
            <w:r>
              <w:rPr>
                <w:color w:val="000000"/>
                <w:sz w:val="24"/>
                <w:szCs w:val="24"/>
              </w:rPr>
              <w:t>2,883,948</w:t>
            </w:r>
          </w:p>
        </w:tc>
        <w:tc>
          <w:tcPr>
            <w:tcW w:w="1924" w:type="dxa"/>
            <w:vAlign w:val="center"/>
          </w:tcPr>
          <w:p w:rsidR="003B046C" w:rsidRDefault="0022594C">
            <w:pPr>
              <w:jc w:val="right"/>
            </w:pPr>
            <w:r>
              <w:rPr>
                <w:color w:val="000000"/>
                <w:sz w:val="24"/>
                <w:szCs w:val="24"/>
              </w:rPr>
              <w:t>68,407,246.56</w:t>
            </w:r>
          </w:p>
        </w:tc>
        <w:tc>
          <w:tcPr>
            <w:tcW w:w="1644" w:type="dxa"/>
            <w:vAlign w:val="center"/>
          </w:tcPr>
          <w:p w:rsidR="003B046C" w:rsidRDefault="0022594C">
            <w:pPr>
              <w:jc w:val="right"/>
            </w:pPr>
            <w:r>
              <w:rPr>
                <w:color w:val="000000"/>
                <w:sz w:val="24"/>
                <w:szCs w:val="24"/>
              </w:rPr>
              <w:t>5.54</w:t>
            </w:r>
          </w:p>
        </w:tc>
      </w:tr>
      <w:tr w:rsidR="003B046C">
        <w:trPr>
          <w:jc w:val="center"/>
        </w:trPr>
        <w:tc>
          <w:tcPr>
            <w:tcW w:w="855" w:type="dxa"/>
            <w:vAlign w:val="center"/>
          </w:tcPr>
          <w:p w:rsidR="003B046C" w:rsidRDefault="0022594C">
            <w:pPr>
              <w:jc w:val="center"/>
            </w:pPr>
            <w:r>
              <w:rPr>
                <w:color w:val="000000"/>
                <w:sz w:val="24"/>
                <w:szCs w:val="24"/>
              </w:rPr>
              <w:t>8</w:t>
            </w:r>
          </w:p>
        </w:tc>
        <w:tc>
          <w:tcPr>
            <w:tcW w:w="1334" w:type="dxa"/>
            <w:vAlign w:val="center"/>
          </w:tcPr>
          <w:p w:rsidR="003B046C" w:rsidRDefault="0022594C">
            <w:pPr>
              <w:jc w:val="center"/>
            </w:pPr>
            <w:r>
              <w:rPr>
                <w:color w:val="000000"/>
                <w:sz w:val="24"/>
                <w:szCs w:val="24"/>
              </w:rPr>
              <w:t>603006</w:t>
            </w:r>
          </w:p>
        </w:tc>
        <w:tc>
          <w:tcPr>
            <w:tcW w:w="1777" w:type="dxa"/>
            <w:vAlign w:val="center"/>
          </w:tcPr>
          <w:p w:rsidR="003B046C" w:rsidRDefault="0022594C">
            <w:pPr>
              <w:jc w:val="center"/>
            </w:pPr>
            <w:r>
              <w:rPr>
                <w:color w:val="000000"/>
                <w:sz w:val="24"/>
                <w:szCs w:val="24"/>
              </w:rPr>
              <w:t>联明股份</w:t>
            </w:r>
          </w:p>
        </w:tc>
        <w:tc>
          <w:tcPr>
            <w:tcW w:w="1334" w:type="dxa"/>
            <w:vAlign w:val="center"/>
          </w:tcPr>
          <w:p w:rsidR="003B046C" w:rsidRDefault="0022594C">
            <w:pPr>
              <w:jc w:val="right"/>
            </w:pPr>
            <w:r>
              <w:rPr>
                <w:color w:val="000000"/>
                <w:sz w:val="24"/>
                <w:szCs w:val="24"/>
              </w:rPr>
              <w:t>3,212,299</w:t>
            </w:r>
          </w:p>
        </w:tc>
        <w:tc>
          <w:tcPr>
            <w:tcW w:w="1924" w:type="dxa"/>
            <w:vAlign w:val="center"/>
          </w:tcPr>
          <w:p w:rsidR="003B046C" w:rsidRDefault="0022594C">
            <w:pPr>
              <w:jc w:val="right"/>
            </w:pPr>
            <w:r>
              <w:rPr>
                <w:color w:val="000000"/>
                <w:sz w:val="24"/>
                <w:szCs w:val="24"/>
              </w:rPr>
              <w:t>66,044,867.44</w:t>
            </w:r>
          </w:p>
        </w:tc>
        <w:tc>
          <w:tcPr>
            <w:tcW w:w="1644" w:type="dxa"/>
            <w:vAlign w:val="center"/>
          </w:tcPr>
          <w:p w:rsidR="003B046C" w:rsidRDefault="0022594C">
            <w:pPr>
              <w:jc w:val="right"/>
            </w:pPr>
            <w:r>
              <w:rPr>
                <w:color w:val="000000"/>
                <w:sz w:val="24"/>
                <w:szCs w:val="24"/>
              </w:rPr>
              <w:t>5.35</w:t>
            </w:r>
          </w:p>
        </w:tc>
      </w:tr>
      <w:tr w:rsidR="003B046C">
        <w:trPr>
          <w:jc w:val="center"/>
        </w:trPr>
        <w:tc>
          <w:tcPr>
            <w:tcW w:w="855" w:type="dxa"/>
            <w:vAlign w:val="center"/>
          </w:tcPr>
          <w:p w:rsidR="003B046C" w:rsidRDefault="0022594C">
            <w:pPr>
              <w:jc w:val="center"/>
            </w:pPr>
            <w:r>
              <w:rPr>
                <w:color w:val="000000"/>
                <w:sz w:val="24"/>
                <w:szCs w:val="24"/>
              </w:rPr>
              <w:t>9</w:t>
            </w:r>
          </w:p>
        </w:tc>
        <w:tc>
          <w:tcPr>
            <w:tcW w:w="1334" w:type="dxa"/>
            <w:vAlign w:val="center"/>
          </w:tcPr>
          <w:p w:rsidR="003B046C" w:rsidRDefault="0022594C">
            <w:pPr>
              <w:jc w:val="center"/>
            </w:pPr>
            <w:r>
              <w:rPr>
                <w:color w:val="000000"/>
                <w:sz w:val="24"/>
                <w:szCs w:val="24"/>
              </w:rPr>
              <w:t>300271</w:t>
            </w:r>
          </w:p>
        </w:tc>
        <w:tc>
          <w:tcPr>
            <w:tcW w:w="1777" w:type="dxa"/>
            <w:vAlign w:val="center"/>
          </w:tcPr>
          <w:p w:rsidR="003B046C" w:rsidRDefault="0022594C">
            <w:pPr>
              <w:jc w:val="center"/>
            </w:pPr>
            <w:r>
              <w:rPr>
                <w:color w:val="000000"/>
                <w:sz w:val="24"/>
                <w:szCs w:val="24"/>
              </w:rPr>
              <w:t>华宇软件</w:t>
            </w:r>
          </w:p>
        </w:tc>
        <w:tc>
          <w:tcPr>
            <w:tcW w:w="1334" w:type="dxa"/>
            <w:vAlign w:val="center"/>
          </w:tcPr>
          <w:p w:rsidR="003B046C" w:rsidRDefault="0022594C">
            <w:pPr>
              <w:jc w:val="right"/>
            </w:pPr>
            <w:r>
              <w:rPr>
                <w:color w:val="000000"/>
                <w:sz w:val="24"/>
                <w:szCs w:val="24"/>
              </w:rPr>
              <w:t>4,086,293</w:t>
            </w:r>
          </w:p>
        </w:tc>
        <w:tc>
          <w:tcPr>
            <w:tcW w:w="1924" w:type="dxa"/>
            <w:vAlign w:val="center"/>
          </w:tcPr>
          <w:p w:rsidR="003B046C" w:rsidRDefault="0022594C">
            <w:pPr>
              <w:jc w:val="right"/>
            </w:pPr>
            <w:r>
              <w:rPr>
                <w:color w:val="000000"/>
                <w:sz w:val="24"/>
                <w:szCs w:val="24"/>
              </w:rPr>
              <w:t>64,032,211.31</w:t>
            </w:r>
          </w:p>
        </w:tc>
        <w:tc>
          <w:tcPr>
            <w:tcW w:w="1644" w:type="dxa"/>
            <w:vAlign w:val="center"/>
          </w:tcPr>
          <w:p w:rsidR="003B046C" w:rsidRDefault="0022594C">
            <w:pPr>
              <w:jc w:val="right"/>
            </w:pPr>
            <w:r>
              <w:rPr>
                <w:color w:val="000000"/>
                <w:sz w:val="24"/>
                <w:szCs w:val="24"/>
              </w:rPr>
              <w:t>5.18</w:t>
            </w:r>
          </w:p>
        </w:tc>
      </w:tr>
      <w:tr w:rsidR="003B046C">
        <w:trPr>
          <w:jc w:val="center"/>
        </w:trPr>
        <w:tc>
          <w:tcPr>
            <w:tcW w:w="855" w:type="dxa"/>
            <w:vAlign w:val="center"/>
          </w:tcPr>
          <w:p w:rsidR="003B046C" w:rsidRDefault="0022594C">
            <w:pPr>
              <w:jc w:val="center"/>
            </w:pPr>
            <w:r>
              <w:rPr>
                <w:color w:val="000000"/>
                <w:sz w:val="24"/>
                <w:szCs w:val="24"/>
              </w:rPr>
              <w:t>10</w:t>
            </w:r>
          </w:p>
        </w:tc>
        <w:tc>
          <w:tcPr>
            <w:tcW w:w="1334" w:type="dxa"/>
            <w:vAlign w:val="center"/>
          </w:tcPr>
          <w:p w:rsidR="003B046C" w:rsidRDefault="0022594C">
            <w:pPr>
              <w:jc w:val="center"/>
            </w:pPr>
            <w:r>
              <w:rPr>
                <w:color w:val="000000"/>
                <w:sz w:val="24"/>
                <w:szCs w:val="24"/>
              </w:rPr>
              <w:t>002094</w:t>
            </w:r>
          </w:p>
        </w:tc>
        <w:tc>
          <w:tcPr>
            <w:tcW w:w="1777" w:type="dxa"/>
            <w:vAlign w:val="center"/>
          </w:tcPr>
          <w:p w:rsidR="003B046C" w:rsidRDefault="0022594C">
            <w:pPr>
              <w:jc w:val="center"/>
            </w:pPr>
            <w:r>
              <w:rPr>
                <w:color w:val="000000"/>
                <w:sz w:val="24"/>
                <w:szCs w:val="24"/>
              </w:rPr>
              <w:t>青岛金王</w:t>
            </w:r>
          </w:p>
        </w:tc>
        <w:tc>
          <w:tcPr>
            <w:tcW w:w="1334" w:type="dxa"/>
            <w:vAlign w:val="center"/>
          </w:tcPr>
          <w:p w:rsidR="003B046C" w:rsidRDefault="0022594C">
            <w:pPr>
              <w:jc w:val="right"/>
            </w:pPr>
            <w:r>
              <w:rPr>
                <w:color w:val="000000"/>
                <w:sz w:val="24"/>
                <w:szCs w:val="24"/>
              </w:rPr>
              <w:t>2,923,434</w:t>
            </w:r>
          </w:p>
        </w:tc>
        <w:tc>
          <w:tcPr>
            <w:tcW w:w="1924" w:type="dxa"/>
            <w:vAlign w:val="center"/>
          </w:tcPr>
          <w:p w:rsidR="003B046C" w:rsidRDefault="0022594C">
            <w:pPr>
              <w:jc w:val="right"/>
            </w:pPr>
            <w:r>
              <w:rPr>
                <w:color w:val="000000"/>
                <w:sz w:val="24"/>
                <w:szCs w:val="24"/>
              </w:rPr>
              <w:t>63,204,643.08</w:t>
            </w:r>
          </w:p>
        </w:tc>
        <w:tc>
          <w:tcPr>
            <w:tcW w:w="1644" w:type="dxa"/>
            <w:vAlign w:val="center"/>
          </w:tcPr>
          <w:p w:rsidR="003B046C" w:rsidRDefault="0022594C">
            <w:pPr>
              <w:jc w:val="right"/>
            </w:pPr>
            <w:r>
              <w:rPr>
                <w:color w:val="000000"/>
                <w:sz w:val="24"/>
                <w:szCs w:val="24"/>
              </w:rPr>
              <w:t>5.12</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236,959.79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15,624.10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658,028.35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910,612.24</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lastRenderedPageBreak/>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1,160,147,756.70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55,836,129.23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216,850,276.94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999,133,608.99</w:t>
            </w:r>
          </w:p>
        </w:tc>
      </w:tr>
    </w:tbl>
    <w:p w:rsidR="003B046C" w:rsidRDefault="0022594C">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22594C">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22594C" w:rsidRPr="00ED2620" w:rsidRDefault="0022594C" w:rsidP="0022594C">
      <w:pPr>
        <w:spacing w:line="288" w:lineRule="auto"/>
        <w:jc w:val="left"/>
        <w:rPr>
          <w:sz w:val="24"/>
          <w:szCs w:val="24"/>
        </w:rPr>
      </w:pPr>
      <w:r w:rsidRPr="00ED2620">
        <w:rPr>
          <w:b/>
          <w:sz w:val="24"/>
        </w:rPr>
        <w:t xml:space="preserve">7.1 </w:t>
      </w:r>
      <w:r w:rsidRPr="00ED2620">
        <w:rPr>
          <w:b/>
          <w:sz w:val="24"/>
        </w:rPr>
        <w:t>基金管理人持有本基金份额变动情况</w:t>
      </w:r>
    </w:p>
    <w:p w:rsidR="0022594C" w:rsidRDefault="0022594C" w:rsidP="0022594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22594C" w:rsidRDefault="0022594C" w:rsidP="0022594C">
      <w:pPr>
        <w:autoSpaceDE w:val="0"/>
        <w:autoSpaceDN w:val="0"/>
        <w:adjustRightInd w:val="0"/>
        <w:spacing w:before="29" w:line="288" w:lineRule="auto"/>
        <w:jc w:val="left"/>
        <w:rPr>
          <w:rFonts w:eastAsiaTheme="minorEastAsia"/>
          <w:color w:val="000000"/>
          <w:sz w:val="24"/>
        </w:rPr>
      </w:pPr>
    </w:p>
    <w:p w:rsidR="0022594C" w:rsidRPr="00BB5E0E" w:rsidRDefault="0022594C" w:rsidP="0022594C">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22594C" w:rsidRPr="00414345" w:rsidRDefault="0022594C" w:rsidP="0022594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22594C" w:rsidRDefault="00480B35" w:rsidP="00C15CAC">
      <w:pPr>
        <w:autoSpaceDE w:val="0"/>
        <w:autoSpaceDN w:val="0"/>
        <w:adjustRightInd w:val="0"/>
        <w:spacing w:before="29" w:line="288" w:lineRule="auto"/>
        <w:jc w:val="left"/>
        <w:rPr>
          <w:color w:val="000000"/>
          <w:sz w:val="24"/>
        </w:rPr>
      </w:pPr>
    </w:p>
    <w:p w:rsidR="003C50AD" w:rsidRPr="00220C32" w:rsidRDefault="003C50AD" w:rsidP="0022594C">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3B046C">
        <w:tc>
          <w:tcPr>
            <w:tcW w:w="993" w:type="dxa"/>
            <w:vMerge w:val="restart"/>
          </w:tcPr>
          <w:p w:rsidR="003B046C" w:rsidRDefault="003B046C"/>
          <w:p w:rsidR="003B046C" w:rsidRDefault="0022594C">
            <w:r>
              <w:rPr>
                <w:rFonts w:ascii="宋体" w:hAnsi="宋体" w:hint="eastAsia"/>
                <w:bCs/>
                <w:color w:val="000000"/>
                <w:kern w:val="0"/>
              </w:rPr>
              <w:t>机构</w:t>
            </w:r>
          </w:p>
        </w:tc>
        <w:tc>
          <w:tcPr>
            <w:tcW w:w="992" w:type="dxa"/>
            <w:vAlign w:val="center"/>
          </w:tcPr>
          <w:p w:rsidR="003B046C" w:rsidRDefault="0022594C">
            <w:pPr>
              <w:jc w:val="center"/>
            </w:pPr>
            <w:r>
              <w:rPr>
                <w:rFonts w:ascii="宋体" w:hAnsi="宋体"/>
                <w:color w:val="000000"/>
                <w:kern w:val="0"/>
              </w:rPr>
              <w:t>1</w:t>
            </w:r>
          </w:p>
        </w:tc>
        <w:tc>
          <w:tcPr>
            <w:tcW w:w="1843" w:type="dxa"/>
            <w:vAlign w:val="center"/>
          </w:tcPr>
          <w:p w:rsidR="003B046C" w:rsidRDefault="0022594C">
            <w:pPr>
              <w:jc w:val="center"/>
            </w:pPr>
            <w:r>
              <w:rPr>
                <w:rFonts w:ascii="宋体" w:hAnsi="宋体"/>
                <w:color w:val="000000"/>
                <w:kern w:val="0"/>
              </w:rPr>
              <w:t>2017/7/1-2017/9/30</w:t>
            </w:r>
          </w:p>
        </w:tc>
        <w:tc>
          <w:tcPr>
            <w:tcW w:w="851" w:type="dxa"/>
            <w:vAlign w:val="center"/>
          </w:tcPr>
          <w:p w:rsidR="003B046C" w:rsidRDefault="0022594C">
            <w:pPr>
              <w:jc w:val="center"/>
            </w:pPr>
            <w:r>
              <w:rPr>
                <w:rFonts w:ascii="宋体" w:hAnsi="宋体"/>
                <w:color w:val="000000"/>
                <w:kern w:val="0"/>
              </w:rPr>
              <w:t>227,792,408.05</w:t>
            </w:r>
          </w:p>
        </w:tc>
        <w:tc>
          <w:tcPr>
            <w:tcW w:w="850" w:type="dxa"/>
            <w:vAlign w:val="center"/>
          </w:tcPr>
          <w:p w:rsidR="003B046C" w:rsidRDefault="0022594C">
            <w:pPr>
              <w:jc w:val="center"/>
            </w:pPr>
            <w:r>
              <w:rPr>
                <w:rFonts w:ascii="宋体" w:hAnsi="宋体"/>
                <w:color w:val="000000"/>
                <w:kern w:val="0"/>
              </w:rPr>
              <w:t>-</w:t>
            </w:r>
          </w:p>
        </w:tc>
        <w:tc>
          <w:tcPr>
            <w:tcW w:w="1134" w:type="dxa"/>
            <w:vAlign w:val="center"/>
          </w:tcPr>
          <w:p w:rsidR="003B046C" w:rsidRDefault="0022594C">
            <w:pPr>
              <w:jc w:val="center"/>
            </w:pPr>
            <w:r>
              <w:rPr>
                <w:rFonts w:ascii="宋体" w:hAnsi="宋体"/>
                <w:color w:val="000000"/>
                <w:kern w:val="0"/>
              </w:rPr>
              <w:t>-</w:t>
            </w:r>
          </w:p>
        </w:tc>
        <w:tc>
          <w:tcPr>
            <w:tcW w:w="1419" w:type="dxa"/>
            <w:vAlign w:val="center"/>
          </w:tcPr>
          <w:p w:rsidR="003B046C" w:rsidRDefault="0022594C">
            <w:pPr>
              <w:jc w:val="center"/>
            </w:pPr>
            <w:r>
              <w:rPr>
                <w:rFonts w:ascii="宋体" w:hAnsi="宋体"/>
                <w:color w:val="000000"/>
                <w:kern w:val="0"/>
              </w:rPr>
              <w:t>227,792,408.05</w:t>
            </w:r>
          </w:p>
        </w:tc>
        <w:tc>
          <w:tcPr>
            <w:tcW w:w="1130" w:type="dxa"/>
            <w:vAlign w:val="center"/>
          </w:tcPr>
          <w:p w:rsidR="003B046C" w:rsidRDefault="0022594C">
            <w:pPr>
              <w:jc w:val="center"/>
            </w:pPr>
            <w:r>
              <w:rPr>
                <w:rFonts w:ascii="宋体" w:hAnsi="宋体"/>
                <w:color w:val="000000"/>
                <w:kern w:val="0"/>
              </w:rPr>
              <w:t>22.80%</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B22DEE" w:rsidRPr="00E02660" w:rsidRDefault="004061AC" w:rsidP="0022594C">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3B046C" w:rsidRDefault="0022594C">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、中国证监会核准交银施罗德先锋股票证券投资基金募集的文件；</w:t>
      </w:r>
    </w:p>
    <w:p w:rsidR="003B046C" w:rsidRDefault="0022594C">
      <w:pPr>
        <w:spacing w:before="29" w:line="288" w:lineRule="auto"/>
        <w:ind w:firstLineChars="200" w:firstLine="480"/>
        <w:rPr>
          <w:color w:val="000000"/>
          <w:sz w:val="24"/>
          <w:szCs w:val="24"/>
        </w:rPr>
      </w:pPr>
      <w:r>
        <w:rPr>
          <w:color w:val="000000"/>
          <w:sz w:val="24"/>
          <w:szCs w:val="24"/>
        </w:rPr>
        <w:lastRenderedPageBreak/>
        <w:t>2</w:t>
      </w:r>
      <w:r>
        <w:rPr>
          <w:color w:val="000000"/>
          <w:sz w:val="24"/>
          <w:szCs w:val="24"/>
        </w:rPr>
        <w:t>、《交银施罗德先锋混合型证券投资基金基金合同》；</w:t>
      </w:r>
    </w:p>
    <w:p w:rsidR="003B046C" w:rsidRDefault="0022594C">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、《交银施罗德先锋混合型证券投资基金招募说明书》；</w:t>
      </w:r>
    </w:p>
    <w:p w:rsidR="003B046C" w:rsidRDefault="0022594C">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、《交银施罗德先锋混合型证券投资基金托管协议》；</w:t>
      </w:r>
    </w:p>
    <w:p w:rsidR="003B046C" w:rsidRDefault="0022594C">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p>
    <w:p w:rsidR="003B046C" w:rsidRDefault="0022594C">
      <w:pPr>
        <w:spacing w:before="29" w:line="288" w:lineRule="auto"/>
        <w:ind w:firstLineChars="200" w:firstLine="480"/>
        <w:rPr>
          <w:color w:val="000000"/>
          <w:sz w:val="24"/>
          <w:szCs w:val="24"/>
        </w:rPr>
      </w:pPr>
      <w:r>
        <w:rPr>
          <w:color w:val="000000"/>
          <w:sz w:val="24"/>
          <w:szCs w:val="24"/>
        </w:rPr>
        <w:t>6</w:t>
      </w:r>
      <w:r>
        <w:rPr>
          <w:color w:val="000000"/>
          <w:sz w:val="24"/>
          <w:szCs w:val="24"/>
        </w:rPr>
        <w:t>、基金托管人业务资格批件、营业执照；</w:t>
      </w:r>
    </w:p>
    <w:p w:rsidR="003B046C" w:rsidRDefault="0022594C">
      <w:pPr>
        <w:spacing w:before="29" w:line="288" w:lineRule="auto"/>
        <w:ind w:firstLineChars="200" w:firstLine="480"/>
        <w:rPr>
          <w:color w:val="000000"/>
          <w:sz w:val="24"/>
          <w:szCs w:val="24"/>
        </w:rPr>
      </w:pPr>
      <w:r>
        <w:rPr>
          <w:color w:val="000000"/>
          <w:sz w:val="24"/>
          <w:szCs w:val="24"/>
        </w:rPr>
        <w:t>7</w:t>
      </w:r>
      <w:r>
        <w:rPr>
          <w:color w:val="000000"/>
          <w:sz w:val="24"/>
          <w:szCs w:val="24"/>
        </w:rPr>
        <w:t>、关于申请募集交银施罗德先锋股票证券投资基金之法律意见书；</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、报告期内交银施罗德先锋混合型证券投资基金在指定报刊上各项公告的原稿。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3B046C" w:rsidRDefault="0022594C">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60F" w:rsidRDefault="0011660F" w:rsidP="00876D65">
      <w:r>
        <w:separator/>
      </w:r>
    </w:p>
  </w:endnote>
  <w:endnote w:type="continuationSeparator" w:id="0">
    <w:p w:rsidR="0011660F" w:rsidRDefault="0011660F"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B046C">
      <w:rPr>
        <w:kern w:val="0"/>
        <w:szCs w:val="21"/>
      </w:rPr>
      <w:fldChar w:fldCharType="begin"/>
    </w:r>
    <w:r>
      <w:rPr>
        <w:kern w:val="0"/>
        <w:szCs w:val="21"/>
      </w:rPr>
      <w:instrText xml:space="preserve"> PAGE </w:instrText>
    </w:r>
    <w:r w:rsidR="003B046C">
      <w:rPr>
        <w:kern w:val="0"/>
        <w:szCs w:val="21"/>
      </w:rPr>
      <w:fldChar w:fldCharType="separate"/>
    </w:r>
    <w:r w:rsidR="00026880">
      <w:rPr>
        <w:noProof/>
        <w:kern w:val="0"/>
        <w:szCs w:val="21"/>
      </w:rPr>
      <w:t>1</w:t>
    </w:r>
    <w:r w:rsidR="003B046C">
      <w:rPr>
        <w:kern w:val="0"/>
        <w:szCs w:val="21"/>
      </w:rPr>
      <w:fldChar w:fldCharType="end"/>
    </w:r>
    <w:r>
      <w:rPr>
        <w:rFonts w:hint="eastAsia"/>
        <w:kern w:val="0"/>
        <w:szCs w:val="21"/>
      </w:rPr>
      <w:t>页共</w:t>
    </w:r>
    <w:r w:rsidR="003B046C">
      <w:rPr>
        <w:kern w:val="0"/>
        <w:szCs w:val="21"/>
      </w:rPr>
      <w:fldChar w:fldCharType="begin"/>
    </w:r>
    <w:r>
      <w:rPr>
        <w:kern w:val="0"/>
        <w:szCs w:val="21"/>
      </w:rPr>
      <w:instrText xml:space="preserve"> NUMPAGES </w:instrText>
    </w:r>
    <w:r w:rsidR="003B046C">
      <w:rPr>
        <w:kern w:val="0"/>
        <w:szCs w:val="21"/>
      </w:rPr>
      <w:fldChar w:fldCharType="separate"/>
    </w:r>
    <w:r w:rsidR="00026880">
      <w:rPr>
        <w:noProof/>
        <w:kern w:val="0"/>
        <w:szCs w:val="21"/>
      </w:rPr>
      <w:t>11</w:t>
    </w:r>
    <w:r w:rsidR="003B046C">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60F" w:rsidRDefault="0011660F" w:rsidP="00876D65">
      <w:r>
        <w:separator/>
      </w:r>
    </w:p>
  </w:footnote>
  <w:footnote w:type="continuationSeparator" w:id="0">
    <w:p w:rsidR="0011660F" w:rsidRDefault="0011660F"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26880"/>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660F"/>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594C"/>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046C"/>
    <w:rsid w:val="003B3494"/>
    <w:rsid w:val="003B5E08"/>
    <w:rsid w:val="003B6FBC"/>
    <w:rsid w:val="003C50AD"/>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A33"/>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04BE1"/>
    <w:rsid w:val="00E215BA"/>
    <w:rsid w:val="00E36549"/>
    <w:rsid w:val="00E40D31"/>
    <w:rsid w:val="00E41260"/>
    <w:rsid w:val="00E44E18"/>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0E54DC-DC3D-437B-9EB5-0CFD338E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6D65D-6A5D-42CB-A0BF-E0CA31E9A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1789</TotalTime>
  <Pages>1</Pages>
  <Words>982</Words>
  <Characters>5600</Characters>
  <Application>Microsoft Office Word</Application>
  <DocSecurity>0</DocSecurity>
  <Lines>46</Lines>
  <Paragraphs>13</Paragraphs>
  <ScaleCrop>false</ScaleCrop>
  <Company/>
  <LinksUpToDate>false</LinksUpToDate>
  <CharactersWithSpaces>6569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荣华</cp:lastModifiedBy>
  <cp:revision>568</cp:revision>
  <dcterms:created xsi:type="dcterms:W3CDTF">2012-10-16T06:07:00Z</dcterms:created>
  <dcterms:modified xsi:type="dcterms:W3CDTF">2017-10-23T05:52:00Z</dcterms:modified>
</cp:coreProperties>
</file>