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bookmarkStart w:id="0" w:name="_GoBack"/>
      <w:bookmarkEnd w:id="0"/>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交银施罗德环球精选价值证券投资基金</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3</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9</w:t>
      </w:r>
      <w:r w:rsidRPr="006A23FB">
        <w:rPr>
          <w:b/>
          <w:sz w:val="36"/>
          <w:szCs w:val="36"/>
        </w:rPr>
        <w:t>月</w:t>
      </w:r>
      <w:r w:rsidRPr="006A23FB">
        <w:rPr>
          <w:b/>
          <w:sz w:val="36"/>
          <w:szCs w:val="36"/>
        </w:rPr>
        <w:t>30</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二〇一七年十月二十五日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ED3DCF">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BB108B" w:rsidRDefault="00794C6D">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BB108B" w:rsidRDefault="00794C6D">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2017</w:t>
      </w:r>
      <w:r>
        <w:rPr>
          <w:color w:val="000000"/>
          <w:sz w:val="24"/>
        </w:rPr>
        <w:t>年</w:t>
      </w:r>
      <w:r>
        <w:rPr>
          <w:color w:val="000000"/>
          <w:sz w:val="24"/>
        </w:rPr>
        <w:t>10</w:t>
      </w:r>
      <w:r>
        <w:rPr>
          <w:color w:val="000000"/>
          <w:sz w:val="24"/>
        </w:rPr>
        <w:t>月</w:t>
      </w:r>
      <w:r>
        <w:rPr>
          <w:color w:val="000000"/>
          <w:sz w:val="24"/>
        </w:rPr>
        <w:t>24</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BB108B" w:rsidRDefault="00794C6D">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BB108B" w:rsidRDefault="00794C6D">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BB108B" w:rsidRDefault="00794C6D">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9</w:t>
      </w:r>
      <w:r w:rsidRPr="008640AE">
        <w:rPr>
          <w:color w:val="000000"/>
          <w:sz w:val="24"/>
        </w:rPr>
        <w:t>月</w:t>
      </w:r>
      <w:r w:rsidRPr="008640AE">
        <w:rPr>
          <w:color w:val="000000"/>
          <w:sz w:val="24"/>
        </w:rPr>
        <w:t>30</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交银环球精选混合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519696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519696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2008</w:t>
            </w:r>
            <w:r w:rsidRPr="008640AE">
              <w:rPr>
                <w:color w:val="000000"/>
                <w:kern w:val="0"/>
                <w:sz w:val="24"/>
              </w:rPr>
              <w:t>年</w:t>
            </w:r>
            <w:r w:rsidRPr="008640AE">
              <w:rPr>
                <w:color w:val="000000"/>
                <w:kern w:val="0"/>
                <w:sz w:val="24"/>
              </w:rPr>
              <w:t>8</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65,542,269.53</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通过全球资产配置和灵活分散投资，在有效分散和控制风险的前提下，实现长期资本增值。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自上而下配置资产，通过对全球宏观经济和各经济体的基本面分析，在不同区域间进行有效资产配置，自下而上精选证券，挖掘定价合理、具备持续竞争优势的上市公司股票进行投资，并有效控制下行风险。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70%×</w:t>
            </w:r>
            <w:r w:rsidRPr="008640AE">
              <w:rPr>
                <w:color w:val="000000"/>
                <w:kern w:val="0"/>
                <w:sz w:val="24"/>
              </w:rPr>
              <w:t>标准普尔全球大中盘指数</w:t>
            </w:r>
            <w:r w:rsidRPr="008640AE">
              <w:rPr>
                <w:color w:val="000000"/>
                <w:kern w:val="0"/>
                <w:sz w:val="24"/>
              </w:rPr>
              <w:t>(S&amp;P Global LargeMidCap Index)+30%×</w:t>
            </w:r>
            <w:r w:rsidRPr="008640AE">
              <w:rPr>
                <w:color w:val="000000"/>
                <w:kern w:val="0"/>
                <w:sz w:val="24"/>
              </w:rPr>
              <w:t>恒生指数</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本基金是一只混合型基金，其风险和预期收益高于债券型基金和货币市场基金，低于股票型基金。属于承担较高风险、预期收益较高的证券投资基金品种。此外，本基金在全球范围内进行投资，除了需要承担国</w:t>
            </w:r>
            <w:r w:rsidRPr="008640AE">
              <w:rPr>
                <w:color w:val="000000"/>
                <w:kern w:val="0"/>
                <w:sz w:val="24"/>
              </w:rPr>
              <w:lastRenderedPageBreak/>
              <w:t>际市场的市场波动风险之外，还面临汇率风险、国别风险、新兴市场风险等海外市场投资所面临的特别投资风险。</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F15536" w:rsidRPr="008640AE" w:rsidTr="00F15536">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7</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w:t>
            </w:r>
            <w:r w:rsidRPr="008640AE">
              <w:rPr>
                <w:color w:val="000000"/>
                <w:sz w:val="24"/>
              </w:rPr>
              <w:t>)</w:t>
            </w:r>
          </w:p>
        </w:tc>
      </w:tr>
      <w:tr w:rsidR="00F15536" w:rsidRPr="008640AE" w:rsidTr="00F1553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1,340,013.04</w:t>
            </w:r>
          </w:p>
        </w:tc>
      </w:tr>
      <w:tr w:rsidR="00F15536" w:rsidRPr="008640AE" w:rsidTr="00F1553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5,600,300.35</w:t>
            </w:r>
          </w:p>
        </w:tc>
      </w:tr>
      <w:tr w:rsidR="00F15536" w:rsidRPr="008640AE" w:rsidTr="00F1553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0.0829</w:t>
            </w:r>
          </w:p>
        </w:tc>
      </w:tr>
      <w:tr w:rsidR="00F15536" w:rsidRPr="008640AE" w:rsidTr="00F1553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117,086,246.51</w:t>
            </w:r>
          </w:p>
        </w:tc>
      </w:tr>
      <w:tr w:rsidR="00F15536" w:rsidRPr="008640AE" w:rsidTr="00F15536">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1.786</w:t>
            </w:r>
          </w:p>
        </w:tc>
      </w:tr>
    </w:tbl>
    <w:p w:rsidR="00BB108B" w:rsidRDefault="00794C6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BB108B">
        <w:trPr>
          <w:jc w:val="center"/>
        </w:trPr>
        <w:tc>
          <w:tcPr>
            <w:tcW w:w="1701" w:type="dxa"/>
            <w:vAlign w:val="center"/>
          </w:tcPr>
          <w:p w:rsidR="00BB108B" w:rsidRDefault="00794C6D">
            <w:pPr>
              <w:jc w:val="left"/>
            </w:pPr>
            <w:r>
              <w:rPr>
                <w:color w:val="000000"/>
                <w:sz w:val="24"/>
              </w:rPr>
              <w:t>过去三个月</w:t>
            </w:r>
          </w:p>
        </w:tc>
        <w:tc>
          <w:tcPr>
            <w:tcW w:w="1194" w:type="dxa"/>
            <w:vAlign w:val="center"/>
          </w:tcPr>
          <w:p w:rsidR="00F15536" w:rsidRPr="00F15536" w:rsidRDefault="00F15536" w:rsidP="00F15536">
            <w:pPr>
              <w:widowControl/>
              <w:jc w:val="right"/>
              <w:rPr>
                <w:color w:val="000000"/>
                <w:sz w:val="24"/>
              </w:rPr>
            </w:pPr>
            <w:r w:rsidRPr="00F15536">
              <w:rPr>
                <w:rFonts w:hint="eastAsia"/>
                <w:color w:val="000000"/>
                <w:sz w:val="24"/>
              </w:rPr>
              <w:t>4.81%</w:t>
            </w:r>
          </w:p>
          <w:p w:rsidR="00BB108B" w:rsidRDefault="00BB108B">
            <w:pPr>
              <w:jc w:val="right"/>
            </w:pPr>
          </w:p>
        </w:tc>
        <w:tc>
          <w:tcPr>
            <w:tcW w:w="1194" w:type="dxa"/>
            <w:vAlign w:val="center"/>
          </w:tcPr>
          <w:p w:rsidR="00BB108B" w:rsidRDefault="00794C6D">
            <w:pPr>
              <w:jc w:val="right"/>
            </w:pPr>
            <w:r>
              <w:rPr>
                <w:color w:val="000000"/>
                <w:sz w:val="24"/>
              </w:rPr>
              <w:lastRenderedPageBreak/>
              <w:t>0.56%</w:t>
            </w:r>
          </w:p>
        </w:tc>
        <w:tc>
          <w:tcPr>
            <w:tcW w:w="1194" w:type="dxa"/>
            <w:vAlign w:val="center"/>
          </w:tcPr>
          <w:p w:rsidR="00BB108B" w:rsidRDefault="00794C6D">
            <w:pPr>
              <w:jc w:val="right"/>
            </w:pPr>
            <w:r>
              <w:rPr>
                <w:color w:val="000000"/>
                <w:sz w:val="24"/>
              </w:rPr>
              <w:t>5.33%</w:t>
            </w:r>
          </w:p>
        </w:tc>
        <w:tc>
          <w:tcPr>
            <w:tcW w:w="1343" w:type="dxa"/>
            <w:vAlign w:val="center"/>
          </w:tcPr>
          <w:p w:rsidR="00BB108B" w:rsidRDefault="00794C6D" w:rsidP="00F15536">
            <w:pPr>
              <w:jc w:val="right"/>
            </w:pPr>
            <w:r>
              <w:rPr>
                <w:color w:val="000000"/>
                <w:sz w:val="24"/>
              </w:rPr>
              <w:t>0.4</w:t>
            </w:r>
            <w:r w:rsidR="00F15536">
              <w:rPr>
                <w:rFonts w:hint="eastAsia"/>
                <w:color w:val="000000"/>
                <w:sz w:val="24"/>
              </w:rPr>
              <w:t>0</w:t>
            </w:r>
            <w:r>
              <w:rPr>
                <w:color w:val="000000"/>
                <w:sz w:val="24"/>
              </w:rPr>
              <w:t>%</w:t>
            </w:r>
          </w:p>
        </w:tc>
        <w:tc>
          <w:tcPr>
            <w:tcW w:w="1194" w:type="dxa"/>
            <w:vAlign w:val="center"/>
          </w:tcPr>
          <w:p w:rsidR="00BB108B" w:rsidRDefault="00794C6D">
            <w:pPr>
              <w:jc w:val="right"/>
            </w:pPr>
            <w:r>
              <w:rPr>
                <w:color w:val="000000"/>
                <w:sz w:val="24"/>
              </w:rPr>
              <w:t>-0.</w:t>
            </w:r>
            <w:r w:rsidR="00F15536">
              <w:rPr>
                <w:rFonts w:hint="eastAsia"/>
                <w:color w:val="000000"/>
                <w:sz w:val="24"/>
              </w:rPr>
              <w:t>52</w:t>
            </w:r>
            <w:r>
              <w:rPr>
                <w:color w:val="000000"/>
                <w:sz w:val="24"/>
              </w:rPr>
              <w:t>%</w:t>
            </w:r>
          </w:p>
        </w:tc>
        <w:tc>
          <w:tcPr>
            <w:tcW w:w="1048" w:type="dxa"/>
            <w:vAlign w:val="center"/>
          </w:tcPr>
          <w:p w:rsidR="00BB108B" w:rsidRDefault="00F15536">
            <w:pPr>
              <w:jc w:val="right"/>
            </w:pPr>
            <w:r>
              <w:rPr>
                <w:color w:val="000000"/>
                <w:sz w:val="24"/>
              </w:rPr>
              <w:t>0.1</w:t>
            </w:r>
            <w:r>
              <w:rPr>
                <w:rFonts w:hint="eastAsia"/>
                <w:color w:val="000000"/>
                <w:sz w:val="24"/>
              </w:rPr>
              <w:t>6</w:t>
            </w:r>
            <w:r w:rsidR="00794C6D">
              <w:rPr>
                <w:color w:val="000000"/>
                <w:sz w:val="24"/>
              </w:rPr>
              <w:t>%</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交银施罗德环球精选价值证券投资基金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2008</w:t>
      </w:r>
      <w:r w:rsidR="00623556" w:rsidRPr="008640AE">
        <w:rPr>
          <w:color w:val="000000"/>
          <w:kern w:val="0"/>
          <w:sz w:val="24"/>
        </w:rPr>
        <w:t>年</w:t>
      </w:r>
      <w:r w:rsidR="00623556" w:rsidRPr="008640AE">
        <w:rPr>
          <w:color w:val="000000"/>
          <w:kern w:val="0"/>
          <w:sz w:val="24"/>
        </w:rPr>
        <w:t>8</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9</w:t>
      </w:r>
      <w:r w:rsidRPr="008640AE">
        <w:rPr>
          <w:color w:val="000000"/>
          <w:kern w:val="0"/>
          <w:sz w:val="24"/>
        </w:rPr>
        <w:t>月</w:t>
      </w:r>
      <w:r w:rsidRPr="008640AE">
        <w:rPr>
          <w:color w:val="000000"/>
          <w:kern w:val="0"/>
          <w:sz w:val="24"/>
        </w:rPr>
        <w:t>30</w:t>
      </w:r>
      <w:r w:rsidRPr="008640AE">
        <w:rPr>
          <w:color w:val="000000"/>
          <w:kern w:val="0"/>
          <w:sz w:val="24"/>
        </w:rPr>
        <w:t>日）</w:t>
      </w:r>
    </w:p>
    <w:p w:rsidR="00A96FD9" w:rsidRPr="008640AE" w:rsidRDefault="00A17BF2" w:rsidP="005546C0">
      <w:pPr>
        <w:tabs>
          <w:tab w:val="left" w:pos="1800"/>
        </w:tabs>
        <w:spacing w:before="29" w:line="288" w:lineRule="auto"/>
        <w:jc w:val="center"/>
        <w:rPr>
          <w:color w:val="000000"/>
          <w:sz w:val="24"/>
        </w:rPr>
      </w:pPr>
      <w:r w:rsidRPr="008640AE">
        <w:rPr>
          <w:noProof/>
          <w:color w:val="000000"/>
          <w:sz w:val="24"/>
        </w:rPr>
        <w:drawing>
          <wp:inline distT="0" distB="0" distL="0" distR="0" wp14:anchorId="55854FCF" wp14:editId="7653AB70">
            <wp:extent cx="5731510" cy="3356610"/>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BB108B">
        <w:trPr>
          <w:jc w:val="center"/>
        </w:trPr>
        <w:tc>
          <w:tcPr>
            <w:tcW w:w="846" w:type="dxa"/>
            <w:vAlign w:val="center"/>
          </w:tcPr>
          <w:p w:rsidR="00BB108B" w:rsidRDefault="00794C6D">
            <w:pPr>
              <w:jc w:val="center"/>
            </w:pPr>
            <w:r>
              <w:rPr>
                <w:color w:val="000000"/>
                <w:sz w:val="24"/>
              </w:rPr>
              <w:t>陈俊华</w:t>
            </w:r>
          </w:p>
        </w:tc>
        <w:tc>
          <w:tcPr>
            <w:tcW w:w="845" w:type="dxa"/>
            <w:vAlign w:val="center"/>
          </w:tcPr>
          <w:p w:rsidR="00BB108B" w:rsidRDefault="00794C6D">
            <w:pPr>
              <w:jc w:val="center"/>
            </w:pPr>
            <w:r>
              <w:rPr>
                <w:color w:val="000000"/>
                <w:sz w:val="24"/>
              </w:rPr>
              <w:t>交银环球精选混合</w:t>
            </w:r>
            <w:r>
              <w:rPr>
                <w:color w:val="000000"/>
                <w:sz w:val="24"/>
              </w:rPr>
              <w:t>(QDII)</w:t>
            </w:r>
            <w:r>
              <w:rPr>
                <w:color w:val="000000"/>
                <w:sz w:val="24"/>
              </w:rPr>
              <w:t>、交</w:t>
            </w:r>
            <w:r>
              <w:rPr>
                <w:color w:val="000000"/>
                <w:sz w:val="24"/>
              </w:rPr>
              <w:lastRenderedPageBreak/>
              <w:t>银全球资源混合</w:t>
            </w:r>
            <w:r>
              <w:rPr>
                <w:color w:val="000000"/>
                <w:sz w:val="24"/>
              </w:rPr>
              <w:t>(QDII)</w:t>
            </w:r>
            <w:r>
              <w:rPr>
                <w:color w:val="000000"/>
                <w:sz w:val="24"/>
              </w:rPr>
              <w:t>、交银沪港深价值精选混合的基金经理</w:t>
            </w:r>
          </w:p>
        </w:tc>
        <w:tc>
          <w:tcPr>
            <w:tcW w:w="1549" w:type="dxa"/>
            <w:vAlign w:val="center"/>
          </w:tcPr>
          <w:p w:rsidR="00BB108B" w:rsidRDefault="00794C6D">
            <w:pPr>
              <w:jc w:val="center"/>
            </w:pPr>
            <w:r>
              <w:rPr>
                <w:color w:val="000000"/>
                <w:sz w:val="24"/>
              </w:rPr>
              <w:lastRenderedPageBreak/>
              <w:t>2015-11-21</w:t>
            </w:r>
          </w:p>
        </w:tc>
        <w:tc>
          <w:tcPr>
            <w:tcW w:w="1548" w:type="dxa"/>
            <w:vAlign w:val="center"/>
          </w:tcPr>
          <w:p w:rsidR="00BB108B" w:rsidRDefault="00794C6D">
            <w:pPr>
              <w:jc w:val="center"/>
            </w:pPr>
            <w:r>
              <w:rPr>
                <w:color w:val="000000"/>
                <w:sz w:val="24"/>
              </w:rPr>
              <w:t>-</w:t>
            </w:r>
          </w:p>
        </w:tc>
        <w:tc>
          <w:tcPr>
            <w:tcW w:w="1407" w:type="dxa"/>
            <w:vAlign w:val="center"/>
          </w:tcPr>
          <w:p w:rsidR="00BB108B" w:rsidRDefault="00794C6D">
            <w:pPr>
              <w:jc w:val="center"/>
            </w:pPr>
            <w:r>
              <w:rPr>
                <w:color w:val="000000"/>
                <w:sz w:val="24"/>
              </w:rPr>
              <w:t>12</w:t>
            </w:r>
            <w:r>
              <w:rPr>
                <w:color w:val="000000"/>
                <w:sz w:val="24"/>
              </w:rPr>
              <w:t>年</w:t>
            </w:r>
          </w:p>
        </w:tc>
        <w:tc>
          <w:tcPr>
            <w:tcW w:w="2673" w:type="dxa"/>
            <w:vAlign w:val="center"/>
          </w:tcPr>
          <w:p w:rsidR="00BB108B" w:rsidRDefault="00794C6D">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lastRenderedPageBreak/>
              <w:t>2015</w:t>
            </w:r>
            <w:r>
              <w:rPr>
                <w:color w:val="000000"/>
                <w:sz w:val="24"/>
              </w:rPr>
              <w:t>年加入交银施罗德基金管理有限公司。</w:t>
            </w:r>
          </w:p>
        </w:tc>
      </w:tr>
      <w:tr w:rsidR="00BB108B">
        <w:trPr>
          <w:jc w:val="center"/>
        </w:trPr>
        <w:tc>
          <w:tcPr>
            <w:tcW w:w="846" w:type="dxa"/>
            <w:vAlign w:val="center"/>
          </w:tcPr>
          <w:p w:rsidR="00BB108B" w:rsidRDefault="00794C6D">
            <w:pPr>
              <w:jc w:val="center"/>
            </w:pPr>
            <w:r>
              <w:rPr>
                <w:color w:val="000000"/>
                <w:sz w:val="24"/>
              </w:rPr>
              <w:lastRenderedPageBreak/>
              <w:t>周中</w:t>
            </w:r>
          </w:p>
        </w:tc>
        <w:tc>
          <w:tcPr>
            <w:tcW w:w="845" w:type="dxa"/>
            <w:vAlign w:val="center"/>
          </w:tcPr>
          <w:p w:rsidR="00BB108B" w:rsidRDefault="00794C6D">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的基金经理</w:t>
            </w:r>
          </w:p>
        </w:tc>
        <w:tc>
          <w:tcPr>
            <w:tcW w:w="1549" w:type="dxa"/>
            <w:vAlign w:val="center"/>
          </w:tcPr>
          <w:p w:rsidR="00BB108B" w:rsidRDefault="00794C6D">
            <w:pPr>
              <w:jc w:val="center"/>
            </w:pPr>
            <w:r>
              <w:rPr>
                <w:color w:val="000000"/>
                <w:sz w:val="24"/>
              </w:rPr>
              <w:t>2015-12-12</w:t>
            </w:r>
          </w:p>
        </w:tc>
        <w:tc>
          <w:tcPr>
            <w:tcW w:w="1548" w:type="dxa"/>
            <w:vAlign w:val="center"/>
          </w:tcPr>
          <w:p w:rsidR="00BB108B" w:rsidRDefault="00794C6D">
            <w:pPr>
              <w:jc w:val="center"/>
            </w:pPr>
            <w:r>
              <w:rPr>
                <w:color w:val="000000"/>
                <w:sz w:val="24"/>
              </w:rPr>
              <w:t>-</w:t>
            </w:r>
          </w:p>
        </w:tc>
        <w:tc>
          <w:tcPr>
            <w:tcW w:w="1407" w:type="dxa"/>
            <w:vAlign w:val="center"/>
          </w:tcPr>
          <w:p w:rsidR="00BB108B" w:rsidRDefault="00794C6D">
            <w:pPr>
              <w:jc w:val="center"/>
            </w:pPr>
            <w:r>
              <w:rPr>
                <w:color w:val="000000"/>
                <w:sz w:val="24"/>
              </w:rPr>
              <w:t>8</w:t>
            </w:r>
            <w:r>
              <w:rPr>
                <w:color w:val="000000"/>
                <w:sz w:val="24"/>
              </w:rPr>
              <w:t>年</w:t>
            </w:r>
          </w:p>
        </w:tc>
        <w:tc>
          <w:tcPr>
            <w:tcW w:w="2673" w:type="dxa"/>
            <w:vAlign w:val="center"/>
          </w:tcPr>
          <w:p w:rsidR="00BB108B" w:rsidRDefault="00794C6D">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BB108B">
        <w:trPr>
          <w:jc w:val="center"/>
        </w:trPr>
        <w:tc>
          <w:tcPr>
            <w:tcW w:w="2070" w:type="dxa"/>
            <w:vAlign w:val="center"/>
          </w:tcPr>
          <w:p w:rsidR="00BB108B" w:rsidRDefault="00794C6D">
            <w:pPr>
              <w:jc w:val="center"/>
            </w:pPr>
            <w:r>
              <w:rPr>
                <w:color w:val="000000"/>
                <w:sz w:val="24"/>
              </w:rPr>
              <w:t>Simon Webber</w:t>
            </w:r>
          </w:p>
        </w:tc>
        <w:tc>
          <w:tcPr>
            <w:tcW w:w="2465" w:type="dxa"/>
            <w:vAlign w:val="center"/>
          </w:tcPr>
          <w:p w:rsidR="00BB108B" w:rsidRDefault="00794C6D">
            <w:pPr>
              <w:jc w:val="center"/>
            </w:pPr>
            <w:r>
              <w:rPr>
                <w:color w:val="000000"/>
                <w:sz w:val="24"/>
              </w:rPr>
              <w:t>施罗德集团多区域（全球及国际）股票投资主管、全球和国际股票基金经理、全球气候变化股票基金经理</w:t>
            </w:r>
          </w:p>
        </w:tc>
        <w:tc>
          <w:tcPr>
            <w:tcW w:w="2116" w:type="dxa"/>
            <w:vAlign w:val="center"/>
          </w:tcPr>
          <w:p w:rsidR="00BB108B" w:rsidRDefault="00794C6D">
            <w:pPr>
              <w:jc w:val="center"/>
            </w:pPr>
            <w:r>
              <w:rPr>
                <w:color w:val="000000"/>
                <w:sz w:val="24"/>
              </w:rPr>
              <w:t>18</w:t>
            </w:r>
            <w:r>
              <w:rPr>
                <w:color w:val="000000"/>
                <w:sz w:val="24"/>
              </w:rPr>
              <w:t>年</w:t>
            </w:r>
          </w:p>
        </w:tc>
        <w:tc>
          <w:tcPr>
            <w:tcW w:w="2217" w:type="dxa"/>
            <w:vAlign w:val="center"/>
          </w:tcPr>
          <w:p w:rsidR="00BB108B" w:rsidRDefault="00794C6D">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BB108B" w:rsidRDefault="00794C6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B108B" w:rsidRDefault="00794C6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BB108B" w:rsidRDefault="00794C6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BB108B" w:rsidRDefault="00794C6D">
      <w:pPr>
        <w:spacing w:before="29" w:line="288" w:lineRule="auto"/>
        <w:ind w:firstLineChars="200" w:firstLine="480"/>
        <w:rPr>
          <w:color w:val="000000"/>
          <w:sz w:val="24"/>
        </w:rPr>
      </w:pPr>
      <w:r>
        <w:rPr>
          <w:color w:val="000000"/>
          <w:sz w:val="24"/>
        </w:rPr>
        <w:t>2017</w:t>
      </w:r>
      <w:r>
        <w:rPr>
          <w:color w:val="000000"/>
          <w:sz w:val="24"/>
        </w:rPr>
        <w:t>年三季度，全球资本市场总体震荡。海外市场流动性边际收紧，美国明确缩表进程，欧洲</w:t>
      </w:r>
      <w:r>
        <w:rPr>
          <w:color w:val="000000"/>
          <w:sz w:val="24"/>
        </w:rPr>
        <w:t>QE</w:t>
      </w:r>
      <w:r>
        <w:rPr>
          <w:color w:val="000000"/>
          <w:sz w:val="24"/>
        </w:rPr>
        <w:t>退出预期渐起。此外，短期的地缘政治扰动因素也引发了资本市场的波动。国内市场在中报过后，投资者对于三、四季度的宏观经济判断分歧较大，总体谨慎，部分有色商品价格的剧烈波动也受到投资者的关注。三季度，本基金仍取得正收益，我们认为主要源自优化持仓结构，通过选股获取超额收益。</w:t>
      </w:r>
    </w:p>
    <w:p w:rsidR="00BB108B" w:rsidRDefault="00794C6D">
      <w:pPr>
        <w:spacing w:before="29" w:line="288" w:lineRule="auto"/>
        <w:ind w:firstLineChars="200" w:firstLine="480"/>
        <w:rPr>
          <w:color w:val="000000"/>
          <w:sz w:val="24"/>
        </w:rPr>
      </w:pPr>
      <w:r>
        <w:rPr>
          <w:color w:val="000000"/>
          <w:sz w:val="24"/>
        </w:rPr>
        <w:lastRenderedPageBreak/>
        <w:t>三季度，本基金继续保持高仓位运行。在欧美市场，我们增加对科技和半导体领域投资，减少机械个股，优化和减少金融个股。在港股市场，我们亦增加在科技领域投资，同时增加汽车、周期品相关投资，减少在金融、轨交和基建领域的配置。总体而言，我们持股较二季度更为精简和集中。</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2017</w:t>
      </w:r>
      <w:r w:rsidRPr="008640AE">
        <w:rPr>
          <w:color w:val="000000"/>
          <w:sz w:val="24"/>
        </w:rPr>
        <w:t>年四季度及</w:t>
      </w:r>
      <w:r w:rsidRPr="008640AE">
        <w:rPr>
          <w:color w:val="000000"/>
          <w:sz w:val="24"/>
        </w:rPr>
        <w:t>2018</w:t>
      </w:r>
      <w:r w:rsidRPr="008640AE">
        <w:rPr>
          <w:color w:val="000000"/>
          <w:sz w:val="24"/>
        </w:rPr>
        <w:t>年，我们谨慎乐观，更看好以中国为基础的港股市场。美国已明确加息和缩表，经济复苏步入相对成熟阶段。我们认为投资者将更为关注企业的业绩兑现度，科技股仍将受到持续关注，能源和消费领域的复苏进展有待观察。欧洲市场基本面向好，货币收紧进度仍需观察。对于香港市场，我们中长期持更为乐观的态度，尽管三季度整体震荡，我们认为这是对前期较大涨幅的一个消化过程，市场结构性机会仍在。我们仍坚持自下而上精选个股，我们偏好消费升级相关领域和科技领域，尤其是进入全球电子产业供应链的中国企业。我们仍将勤勉积极地深入调研，努力地为投资者赚取稳健的投资回报。</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9</w:t>
      </w:r>
      <w:r w:rsidRPr="008640AE">
        <w:rPr>
          <w:color w:val="000000"/>
          <w:sz w:val="24"/>
        </w:rPr>
        <w:t>月</w:t>
      </w:r>
      <w:r w:rsidRPr="008640AE">
        <w:rPr>
          <w:color w:val="000000"/>
          <w:sz w:val="24"/>
        </w:rPr>
        <w:t>30</w:t>
      </w:r>
      <w:r w:rsidRPr="008640AE">
        <w:rPr>
          <w:color w:val="000000"/>
          <w:sz w:val="24"/>
        </w:rPr>
        <w:t>日，本基金份额净值为</w:t>
      </w:r>
      <w:r w:rsidRPr="008640AE">
        <w:rPr>
          <w:color w:val="000000"/>
          <w:sz w:val="24"/>
        </w:rPr>
        <w:t>1.786</w:t>
      </w:r>
      <w:r w:rsidRPr="008640AE">
        <w:rPr>
          <w:color w:val="000000"/>
          <w:sz w:val="24"/>
        </w:rPr>
        <w:t>元，本报告期份额净值增长率为</w:t>
      </w:r>
      <w:r w:rsidR="004A285E">
        <w:rPr>
          <w:color w:val="000000"/>
          <w:sz w:val="24"/>
        </w:rPr>
        <w:t>4.8</w:t>
      </w:r>
      <w:r w:rsidR="004A285E">
        <w:rPr>
          <w:rFonts w:hint="eastAsia"/>
          <w:color w:val="000000"/>
          <w:sz w:val="24"/>
        </w:rPr>
        <w:t>1</w:t>
      </w:r>
      <w:r w:rsidRPr="008640AE">
        <w:rPr>
          <w:color w:val="000000"/>
          <w:sz w:val="24"/>
        </w:rPr>
        <w:t>%</w:t>
      </w:r>
      <w:r w:rsidRPr="008640AE">
        <w:rPr>
          <w:color w:val="000000"/>
          <w:sz w:val="24"/>
        </w:rPr>
        <w:t>，同期业绩比较基准增长率为</w:t>
      </w:r>
      <w:r w:rsidRPr="008640AE">
        <w:rPr>
          <w:color w:val="000000"/>
          <w:sz w:val="24"/>
        </w:rPr>
        <w:t>5.33%</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111,360,005.01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93.28</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109,469,836.40</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91.70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1,890,168.61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1.58</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7,760,701.43</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6.50</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255,700.01</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0.21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119,376,406.45</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BB108B">
        <w:trPr>
          <w:jc w:val="center"/>
        </w:trPr>
        <w:tc>
          <w:tcPr>
            <w:tcW w:w="2484" w:type="dxa"/>
            <w:vAlign w:val="center"/>
          </w:tcPr>
          <w:p w:rsidR="00BB108B" w:rsidRDefault="00794C6D">
            <w:pPr>
              <w:jc w:val="left"/>
            </w:pPr>
            <w:r>
              <w:rPr>
                <w:color w:val="000000"/>
                <w:sz w:val="24"/>
              </w:rPr>
              <w:t>美国</w:t>
            </w:r>
          </w:p>
        </w:tc>
        <w:tc>
          <w:tcPr>
            <w:tcW w:w="3214" w:type="dxa"/>
            <w:vAlign w:val="center"/>
          </w:tcPr>
          <w:p w:rsidR="00BB108B" w:rsidRDefault="00794C6D">
            <w:pPr>
              <w:jc w:val="right"/>
            </w:pPr>
            <w:r w:rsidRPr="00794C6D">
              <w:rPr>
                <w:color w:val="000000"/>
                <w:sz w:val="24"/>
              </w:rPr>
              <w:t>54,513,114.03</w:t>
            </w:r>
          </w:p>
        </w:tc>
        <w:tc>
          <w:tcPr>
            <w:tcW w:w="3170" w:type="dxa"/>
            <w:vAlign w:val="center"/>
          </w:tcPr>
          <w:p w:rsidR="00BB108B" w:rsidRDefault="00794C6D" w:rsidP="00794C6D">
            <w:pPr>
              <w:jc w:val="right"/>
            </w:pPr>
            <w:r>
              <w:rPr>
                <w:color w:val="000000"/>
                <w:sz w:val="24"/>
              </w:rPr>
              <w:t>46.56</w:t>
            </w:r>
          </w:p>
        </w:tc>
      </w:tr>
      <w:tr w:rsidR="00BB108B">
        <w:trPr>
          <w:jc w:val="center"/>
        </w:trPr>
        <w:tc>
          <w:tcPr>
            <w:tcW w:w="2484" w:type="dxa"/>
            <w:vAlign w:val="center"/>
          </w:tcPr>
          <w:p w:rsidR="00BB108B" w:rsidRDefault="00794C6D">
            <w:pPr>
              <w:jc w:val="left"/>
            </w:pPr>
            <w:r>
              <w:rPr>
                <w:color w:val="000000"/>
                <w:sz w:val="24"/>
              </w:rPr>
              <w:t>香港</w:t>
            </w:r>
          </w:p>
        </w:tc>
        <w:tc>
          <w:tcPr>
            <w:tcW w:w="3214" w:type="dxa"/>
            <w:vAlign w:val="center"/>
          </w:tcPr>
          <w:p w:rsidR="00BB108B" w:rsidRDefault="00794C6D">
            <w:pPr>
              <w:jc w:val="right"/>
            </w:pPr>
            <w:r>
              <w:rPr>
                <w:color w:val="000000"/>
                <w:sz w:val="24"/>
              </w:rPr>
              <w:t>34,441,119.25</w:t>
            </w:r>
          </w:p>
        </w:tc>
        <w:tc>
          <w:tcPr>
            <w:tcW w:w="3170" w:type="dxa"/>
            <w:vAlign w:val="center"/>
          </w:tcPr>
          <w:p w:rsidR="00BB108B" w:rsidRDefault="00794C6D">
            <w:pPr>
              <w:jc w:val="right"/>
            </w:pPr>
            <w:r>
              <w:rPr>
                <w:color w:val="000000"/>
                <w:sz w:val="24"/>
              </w:rPr>
              <w:t>29.42</w:t>
            </w:r>
          </w:p>
        </w:tc>
      </w:tr>
      <w:tr w:rsidR="00BB108B">
        <w:trPr>
          <w:jc w:val="center"/>
        </w:trPr>
        <w:tc>
          <w:tcPr>
            <w:tcW w:w="2484" w:type="dxa"/>
            <w:vAlign w:val="center"/>
          </w:tcPr>
          <w:p w:rsidR="00BB108B" w:rsidRDefault="00794C6D">
            <w:pPr>
              <w:jc w:val="left"/>
            </w:pPr>
            <w:r>
              <w:rPr>
                <w:color w:val="000000"/>
                <w:sz w:val="24"/>
              </w:rPr>
              <w:t>日本</w:t>
            </w:r>
          </w:p>
        </w:tc>
        <w:tc>
          <w:tcPr>
            <w:tcW w:w="3214" w:type="dxa"/>
            <w:vAlign w:val="center"/>
          </w:tcPr>
          <w:p w:rsidR="00BB108B" w:rsidRDefault="00794C6D">
            <w:pPr>
              <w:jc w:val="right"/>
            </w:pPr>
            <w:r>
              <w:rPr>
                <w:color w:val="000000"/>
                <w:sz w:val="24"/>
              </w:rPr>
              <w:t>5,255,489.05</w:t>
            </w:r>
          </w:p>
        </w:tc>
        <w:tc>
          <w:tcPr>
            <w:tcW w:w="3170" w:type="dxa"/>
            <w:vAlign w:val="center"/>
          </w:tcPr>
          <w:p w:rsidR="00BB108B" w:rsidRDefault="00794C6D">
            <w:pPr>
              <w:jc w:val="right"/>
            </w:pPr>
            <w:r>
              <w:rPr>
                <w:color w:val="000000"/>
                <w:sz w:val="24"/>
              </w:rPr>
              <w:t>4.49</w:t>
            </w:r>
          </w:p>
        </w:tc>
      </w:tr>
      <w:tr w:rsidR="00BB108B">
        <w:trPr>
          <w:jc w:val="center"/>
        </w:trPr>
        <w:tc>
          <w:tcPr>
            <w:tcW w:w="2484" w:type="dxa"/>
            <w:vAlign w:val="center"/>
          </w:tcPr>
          <w:p w:rsidR="00BB108B" w:rsidRDefault="00794C6D">
            <w:pPr>
              <w:jc w:val="left"/>
            </w:pPr>
            <w:r>
              <w:rPr>
                <w:color w:val="000000"/>
                <w:sz w:val="24"/>
              </w:rPr>
              <w:t>德国</w:t>
            </w:r>
          </w:p>
        </w:tc>
        <w:tc>
          <w:tcPr>
            <w:tcW w:w="3214" w:type="dxa"/>
            <w:vAlign w:val="center"/>
          </w:tcPr>
          <w:p w:rsidR="00BB108B" w:rsidRDefault="00794C6D">
            <w:pPr>
              <w:jc w:val="right"/>
            </w:pPr>
            <w:r>
              <w:rPr>
                <w:color w:val="000000"/>
                <w:sz w:val="24"/>
              </w:rPr>
              <w:t>4,252,697.83</w:t>
            </w:r>
          </w:p>
        </w:tc>
        <w:tc>
          <w:tcPr>
            <w:tcW w:w="3170" w:type="dxa"/>
            <w:vAlign w:val="center"/>
          </w:tcPr>
          <w:p w:rsidR="00BB108B" w:rsidRDefault="00794C6D">
            <w:pPr>
              <w:jc w:val="right"/>
            </w:pPr>
            <w:r>
              <w:rPr>
                <w:color w:val="000000"/>
                <w:sz w:val="24"/>
              </w:rPr>
              <w:t>3.63</w:t>
            </w:r>
          </w:p>
        </w:tc>
      </w:tr>
      <w:tr w:rsidR="00BB108B">
        <w:trPr>
          <w:jc w:val="center"/>
        </w:trPr>
        <w:tc>
          <w:tcPr>
            <w:tcW w:w="2484" w:type="dxa"/>
            <w:vAlign w:val="center"/>
          </w:tcPr>
          <w:p w:rsidR="00BB108B" w:rsidRDefault="00794C6D">
            <w:pPr>
              <w:jc w:val="left"/>
            </w:pPr>
            <w:r>
              <w:rPr>
                <w:color w:val="000000"/>
                <w:sz w:val="24"/>
              </w:rPr>
              <w:t>法国</w:t>
            </w:r>
          </w:p>
        </w:tc>
        <w:tc>
          <w:tcPr>
            <w:tcW w:w="3214" w:type="dxa"/>
            <w:vAlign w:val="center"/>
          </w:tcPr>
          <w:p w:rsidR="00BB108B" w:rsidRDefault="00794C6D">
            <w:pPr>
              <w:jc w:val="right"/>
            </w:pPr>
            <w:r>
              <w:rPr>
                <w:color w:val="000000"/>
                <w:sz w:val="24"/>
              </w:rPr>
              <w:t>2,936,788.47</w:t>
            </w:r>
          </w:p>
        </w:tc>
        <w:tc>
          <w:tcPr>
            <w:tcW w:w="3170" w:type="dxa"/>
            <w:vAlign w:val="center"/>
          </w:tcPr>
          <w:p w:rsidR="00BB108B" w:rsidRDefault="00794C6D">
            <w:pPr>
              <w:jc w:val="right"/>
            </w:pPr>
            <w:r>
              <w:rPr>
                <w:color w:val="000000"/>
                <w:sz w:val="24"/>
              </w:rPr>
              <w:t>2.51</w:t>
            </w:r>
          </w:p>
        </w:tc>
      </w:tr>
      <w:tr w:rsidR="00BB108B">
        <w:trPr>
          <w:jc w:val="center"/>
        </w:trPr>
        <w:tc>
          <w:tcPr>
            <w:tcW w:w="2484" w:type="dxa"/>
            <w:vAlign w:val="center"/>
          </w:tcPr>
          <w:p w:rsidR="00BB108B" w:rsidRDefault="00794C6D">
            <w:pPr>
              <w:jc w:val="left"/>
            </w:pPr>
            <w:r>
              <w:rPr>
                <w:color w:val="000000"/>
                <w:sz w:val="24"/>
              </w:rPr>
              <w:t>荷兰</w:t>
            </w:r>
          </w:p>
        </w:tc>
        <w:tc>
          <w:tcPr>
            <w:tcW w:w="3214" w:type="dxa"/>
            <w:vAlign w:val="center"/>
          </w:tcPr>
          <w:p w:rsidR="00BB108B" w:rsidRDefault="00794C6D">
            <w:pPr>
              <w:jc w:val="right"/>
            </w:pPr>
            <w:r>
              <w:rPr>
                <w:color w:val="000000"/>
                <w:sz w:val="24"/>
              </w:rPr>
              <w:t>1,740,010.61</w:t>
            </w:r>
          </w:p>
        </w:tc>
        <w:tc>
          <w:tcPr>
            <w:tcW w:w="3170" w:type="dxa"/>
            <w:vAlign w:val="center"/>
          </w:tcPr>
          <w:p w:rsidR="00BB108B" w:rsidRDefault="00794C6D">
            <w:pPr>
              <w:jc w:val="right"/>
            </w:pPr>
            <w:r>
              <w:rPr>
                <w:color w:val="000000"/>
                <w:sz w:val="24"/>
              </w:rPr>
              <w:t>1.49</w:t>
            </w:r>
          </w:p>
        </w:tc>
      </w:tr>
      <w:tr w:rsidR="00BB108B">
        <w:trPr>
          <w:jc w:val="center"/>
        </w:trPr>
        <w:tc>
          <w:tcPr>
            <w:tcW w:w="2484" w:type="dxa"/>
            <w:vAlign w:val="center"/>
          </w:tcPr>
          <w:p w:rsidR="00BB108B" w:rsidRDefault="00794C6D">
            <w:pPr>
              <w:jc w:val="left"/>
            </w:pPr>
            <w:r>
              <w:rPr>
                <w:color w:val="000000"/>
                <w:sz w:val="24"/>
              </w:rPr>
              <w:t>瑞士</w:t>
            </w:r>
          </w:p>
        </w:tc>
        <w:tc>
          <w:tcPr>
            <w:tcW w:w="3214" w:type="dxa"/>
            <w:vAlign w:val="center"/>
          </w:tcPr>
          <w:p w:rsidR="00BB108B" w:rsidRDefault="00794C6D">
            <w:pPr>
              <w:jc w:val="right"/>
            </w:pPr>
            <w:r>
              <w:rPr>
                <w:color w:val="000000"/>
                <w:sz w:val="24"/>
              </w:rPr>
              <w:t>1,657,170.19</w:t>
            </w:r>
          </w:p>
        </w:tc>
        <w:tc>
          <w:tcPr>
            <w:tcW w:w="3170" w:type="dxa"/>
            <w:vAlign w:val="center"/>
          </w:tcPr>
          <w:p w:rsidR="00BB108B" w:rsidRDefault="00794C6D">
            <w:pPr>
              <w:jc w:val="right"/>
            </w:pPr>
            <w:r>
              <w:rPr>
                <w:color w:val="000000"/>
                <w:sz w:val="24"/>
              </w:rPr>
              <w:t>1.42</w:t>
            </w:r>
          </w:p>
        </w:tc>
      </w:tr>
      <w:tr w:rsidR="00BB108B">
        <w:trPr>
          <w:jc w:val="center"/>
        </w:trPr>
        <w:tc>
          <w:tcPr>
            <w:tcW w:w="2484" w:type="dxa"/>
            <w:vAlign w:val="center"/>
          </w:tcPr>
          <w:p w:rsidR="00BB108B" w:rsidRDefault="00794C6D">
            <w:pPr>
              <w:jc w:val="left"/>
            </w:pPr>
            <w:r>
              <w:rPr>
                <w:color w:val="000000"/>
                <w:sz w:val="24"/>
              </w:rPr>
              <w:t>英国</w:t>
            </w:r>
          </w:p>
        </w:tc>
        <w:tc>
          <w:tcPr>
            <w:tcW w:w="3214" w:type="dxa"/>
            <w:vAlign w:val="center"/>
          </w:tcPr>
          <w:p w:rsidR="00BB108B" w:rsidRDefault="00794C6D">
            <w:pPr>
              <w:jc w:val="right"/>
            </w:pPr>
            <w:r>
              <w:rPr>
                <w:color w:val="000000"/>
                <w:sz w:val="24"/>
              </w:rPr>
              <w:t>1,623,595.95</w:t>
            </w:r>
          </w:p>
        </w:tc>
        <w:tc>
          <w:tcPr>
            <w:tcW w:w="3170" w:type="dxa"/>
            <w:vAlign w:val="center"/>
          </w:tcPr>
          <w:p w:rsidR="00BB108B" w:rsidRDefault="00794C6D">
            <w:pPr>
              <w:jc w:val="right"/>
            </w:pPr>
            <w:r>
              <w:rPr>
                <w:color w:val="000000"/>
                <w:sz w:val="24"/>
              </w:rPr>
              <w:t>1.39</w:t>
            </w:r>
          </w:p>
        </w:tc>
      </w:tr>
      <w:tr w:rsidR="00731B39">
        <w:trPr>
          <w:jc w:val="center"/>
        </w:trPr>
        <w:tc>
          <w:tcPr>
            <w:tcW w:w="2484" w:type="dxa"/>
            <w:vAlign w:val="center"/>
          </w:tcPr>
          <w:p w:rsidR="00731B39" w:rsidRDefault="00731B39">
            <w:pPr>
              <w:jc w:val="left"/>
              <w:rPr>
                <w:color w:val="000000"/>
                <w:sz w:val="24"/>
              </w:rPr>
            </w:pPr>
            <w:r>
              <w:rPr>
                <w:rFonts w:hint="eastAsia"/>
                <w:color w:val="000000"/>
                <w:sz w:val="24"/>
              </w:rPr>
              <w:t>新加坡</w:t>
            </w:r>
          </w:p>
        </w:tc>
        <w:tc>
          <w:tcPr>
            <w:tcW w:w="3214" w:type="dxa"/>
            <w:vAlign w:val="center"/>
          </w:tcPr>
          <w:p w:rsidR="00731B39" w:rsidRDefault="00731B39">
            <w:pPr>
              <w:jc w:val="right"/>
              <w:rPr>
                <w:color w:val="000000"/>
                <w:sz w:val="24"/>
              </w:rPr>
            </w:pPr>
            <w:r w:rsidRPr="00731B39">
              <w:rPr>
                <w:color w:val="000000"/>
                <w:sz w:val="24"/>
              </w:rPr>
              <w:t>1,041,632.25</w:t>
            </w:r>
          </w:p>
        </w:tc>
        <w:tc>
          <w:tcPr>
            <w:tcW w:w="3170" w:type="dxa"/>
            <w:vAlign w:val="center"/>
          </w:tcPr>
          <w:p w:rsidR="00731B39" w:rsidRDefault="00731B39">
            <w:pPr>
              <w:jc w:val="right"/>
              <w:rPr>
                <w:color w:val="000000"/>
                <w:sz w:val="24"/>
              </w:rPr>
            </w:pPr>
            <w:r>
              <w:rPr>
                <w:rFonts w:hint="eastAsia"/>
                <w:color w:val="000000"/>
                <w:sz w:val="24"/>
              </w:rPr>
              <w:t>0</w:t>
            </w:r>
            <w:r>
              <w:rPr>
                <w:color w:val="000000"/>
                <w:sz w:val="24"/>
              </w:rPr>
              <w:t>.89</w:t>
            </w:r>
          </w:p>
        </w:tc>
      </w:tr>
      <w:tr w:rsidR="00BB108B">
        <w:trPr>
          <w:jc w:val="center"/>
        </w:trPr>
        <w:tc>
          <w:tcPr>
            <w:tcW w:w="2484" w:type="dxa"/>
            <w:vAlign w:val="center"/>
          </w:tcPr>
          <w:p w:rsidR="00BB108B" w:rsidRDefault="00794C6D">
            <w:pPr>
              <w:jc w:val="left"/>
            </w:pPr>
            <w:r>
              <w:rPr>
                <w:color w:val="000000"/>
                <w:sz w:val="24"/>
              </w:rPr>
              <w:t>泰国</w:t>
            </w:r>
          </w:p>
        </w:tc>
        <w:tc>
          <w:tcPr>
            <w:tcW w:w="3214" w:type="dxa"/>
            <w:vAlign w:val="center"/>
          </w:tcPr>
          <w:p w:rsidR="00BB108B" w:rsidRDefault="00794C6D">
            <w:pPr>
              <w:jc w:val="right"/>
            </w:pPr>
            <w:r>
              <w:rPr>
                <w:color w:val="000000"/>
                <w:sz w:val="24"/>
              </w:rPr>
              <w:t>973,196.28</w:t>
            </w:r>
          </w:p>
        </w:tc>
        <w:tc>
          <w:tcPr>
            <w:tcW w:w="3170" w:type="dxa"/>
            <w:vAlign w:val="center"/>
          </w:tcPr>
          <w:p w:rsidR="00BB108B" w:rsidRDefault="00794C6D">
            <w:pPr>
              <w:jc w:val="right"/>
            </w:pPr>
            <w:r>
              <w:rPr>
                <w:color w:val="000000"/>
                <w:sz w:val="24"/>
              </w:rPr>
              <w:t>0.83</w:t>
            </w:r>
          </w:p>
        </w:tc>
      </w:tr>
      <w:tr w:rsidR="00BB108B">
        <w:trPr>
          <w:jc w:val="center"/>
        </w:trPr>
        <w:tc>
          <w:tcPr>
            <w:tcW w:w="2484" w:type="dxa"/>
            <w:vAlign w:val="center"/>
          </w:tcPr>
          <w:p w:rsidR="00BB108B" w:rsidRDefault="00794C6D">
            <w:pPr>
              <w:jc w:val="left"/>
            </w:pPr>
            <w:r>
              <w:rPr>
                <w:color w:val="000000"/>
                <w:sz w:val="24"/>
              </w:rPr>
              <w:t>巴西</w:t>
            </w:r>
          </w:p>
        </w:tc>
        <w:tc>
          <w:tcPr>
            <w:tcW w:w="3214" w:type="dxa"/>
            <w:vAlign w:val="center"/>
          </w:tcPr>
          <w:p w:rsidR="00BB108B" w:rsidRDefault="00794C6D">
            <w:pPr>
              <w:jc w:val="right"/>
            </w:pPr>
            <w:r>
              <w:rPr>
                <w:color w:val="000000"/>
                <w:sz w:val="24"/>
              </w:rPr>
              <w:t>889,410.72</w:t>
            </w:r>
          </w:p>
        </w:tc>
        <w:tc>
          <w:tcPr>
            <w:tcW w:w="3170" w:type="dxa"/>
            <w:vAlign w:val="center"/>
          </w:tcPr>
          <w:p w:rsidR="00BB108B" w:rsidRDefault="00794C6D">
            <w:pPr>
              <w:jc w:val="right"/>
            </w:pPr>
            <w:r>
              <w:rPr>
                <w:color w:val="000000"/>
                <w:sz w:val="24"/>
              </w:rPr>
              <w:t>0.76</w:t>
            </w:r>
          </w:p>
        </w:tc>
      </w:tr>
      <w:tr w:rsidR="00BB108B">
        <w:trPr>
          <w:jc w:val="center"/>
        </w:trPr>
        <w:tc>
          <w:tcPr>
            <w:tcW w:w="2484" w:type="dxa"/>
            <w:vAlign w:val="center"/>
          </w:tcPr>
          <w:p w:rsidR="00BB108B" w:rsidRDefault="00794C6D">
            <w:pPr>
              <w:jc w:val="left"/>
            </w:pPr>
            <w:r>
              <w:rPr>
                <w:color w:val="000000"/>
                <w:sz w:val="24"/>
              </w:rPr>
              <w:t>意大利</w:t>
            </w:r>
          </w:p>
        </w:tc>
        <w:tc>
          <w:tcPr>
            <w:tcW w:w="3214" w:type="dxa"/>
            <w:vAlign w:val="center"/>
          </w:tcPr>
          <w:p w:rsidR="00BB108B" w:rsidRDefault="00794C6D">
            <w:pPr>
              <w:jc w:val="right"/>
            </w:pPr>
            <w:r>
              <w:rPr>
                <w:color w:val="000000"/>
                <w:sz w:val="24"/>
              </w:rPr>
              <w:t>848,444.94</w:t>
            </w:r>
          </w:p>
        </w:tc>
        <w:tc>
          <w:tcPr>
            <w:tcW w:w="3170" w:type="dxa"/>
            <w:vAlign w:val="center"/>
          </w:tcPr>
          <w:p w:rsidR="00BB108B" w:rsidRDefault="00794C6D">
            <w:pPr>
              <w:jc w:val="right"/>
            </w:pPr>
            <w:r>
              <w:rPr>
                <w:color w:val="000000"/>
                <w:sz w:val="24"/>
              </w:rPr>
              <w:t>0.72</w:t>
            </w:r>
          </w:p>
        </w:tc>
      </w:tr>
      <w:tr w:rsidR="00BB108B">
        <w:trPr>
          <w:jc w:val="center"/>
        </w:trPr>
        <w:tc>
          <w:tcPr>
            <w:tcW w:w="2484" w:type="dxa"/>
            <w:vAlign w:val="center"/>
          </w:tcPr>
          <w:p w:rsidR="00BB108B" w:rsidRDefault="00794C6D">
            <w:pPr>
              <w:jc w:val="left"/>
            </w:pPr>
            <w:r>
              <w:rPr>
                <w:color w:val="000000"/>
                <w:sz w:val="24"/>
              </w:rPr>
              <w:t>加拿大</w:t>
            </w:r>
          </w:p>
        </w:tc>
        <w:tc>
          <w:tcPr>
            <w:tcW w:w="3214" w:type="dxa"/>
            <w:vAlign w:val="center"/>
          </w:tcPr>
          <w:p w:rsidR="00BB108B" w:rsidRDefault="00794C6D">
            <w:pPr>
              <w:jc w:val="right"/>
            </w:pPr>
            <w:r>
              <w:rPr>
                <w:color w:val="000000"/>
                <w:sz w:val="24"/>
              </w:rPr>
              <w:t>610,811.07</w:t>
            </w:r>
          </w:p>
        </w:tc>
        <w:tc>
          <w:tcPr>
            <w:tcW w:w="3170" w:type="dxa"/>
            <w:vAlign w:val="center"/>
          </w:tcPr>
          <w:p w:rsidR="00BB108B" w:rsidRDefault="00794C6D">
            <w:pPr>
              <w:jc w:val="right"/>
            </w:pPr>
            <w:r>
              <w:rPr>
                <w:color w:val="000000"/>
                <w:sz w:val="24"/>
              </w:rPr>
              <w:t>0.52</w:t>
            </w:r>
          </w:p>
        </w:tc>
      </w:tr>
      <w:tr w:rsidR="00BB108B">
        <w:trPr>
          <w:jc w:val="center"/>
        </w:trPr>
        <w:tc>
          <w:tcPr>
            <w:tcW w:w="2484" w:type="dxa"/>
            <w:vAlign w:val="center"/>
          </w:tcPr>
          <w:p w:rsidR="00BB108B" w:rsidRDefault="00794C6D">
            <w:pPr>
              <w:jc w:val="left"/>
            </w:pPr>
            <w:r>
              <w:rPr>
                <w:color w:val="000000"/>
                <w:sz w:val="24"/>
              </w:rPr>
              <w:t>瑞典</w:t>
            </w:r>
          </w:p>
        </w:tc>
        <w:tc>
          <w:tcPr>
            <w:tcW w:w="3214" w:type="dxa"/>
            <w:vAlign w:val="center"/>
          </w:tcPr>
          <w:p w:rsidR="00BB108B" w:rsidRDefault="00794C6D">
            <w:pPr>
              <w:jc w:val="right"/>
            </w:pPr>
            <w:r>
              <w:rPr>
                <w:color w:val="000000"/>
                <w:sz w:val="24"/>
              </w:rPr>
              <w:t>576,524.37</w:t>
            </w:r>
          </w:p>
        </w:tc>
        <w:tc>
          <w:tcPr>
            <w:tcW w:w="3170" w:type="dxa"/>
            <w:vAlign w:val="center"/>
          </w:tcPr>
          <w:p w:rsidR="00BB108B" w:rsidRDefault="00794C6D">
            <w:pPr>
              <w:jc w:val="right"/>
            </w:pPr>
            <w:r>
              <w:rPr>
                <w:color w:val="000000"/>
                <w:sz w:val="24"/>
              </w:rPr>
              <w:t>0.49</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111,360,005.01</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95.11</w:t>
            </w:r>
          </w:p>
        </w:tc>
      </w:tr>
    </w:tbl>
    <w:p w:rsidR="00BB108B" w:rsidRDefault="00794C6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BB108B">
        <w:trPr>
          <w:jc w:val="center"/>
        </w:trPr>
        <w:tc>
          <w:tcPr>
            <w:tcW w:w="2904" w:type="dxa"/>
            <w:vAlign w:val="center"/>
          </w:tcPr>
          <w:p w:rsidR="00BB108B" w:rsidRDefault="00794C6D">
            <w:pPr>
              <w:jc w:val="left"/>
            </w:pPr>
            <w:r>
              <w:rPr>
                <w:color w:val="000000"/>
                <w:sz w:val="24"/>
              </w:rPr>
              <w:t>信息技术</w:t>
            </w:r>
          </w:p>
        </w:tc>
        <w:tc>
          <w:tcPr>
            <w:tcW w:w="2657" w:type="dxa"/>
            <w:vAlign w:val="center"/>
          </w:tcPr>
          <w:p w:rsidR="00BB108B" w:rsidRDefault="00794C6D">
            <w:pPr>
              <w:jc w:val="right"/>
            </w:pPr>
            <w:r>
              <w:rPr>
                <w:color w:val="000000"/>
                <w:sz w:val="24"/>
              </w:rPr>
              <w:t>21,887,032.55</w:t>
            </w:r>
          </w:p>
        </w:tc>
        <w:tc>
          <w:tcPr>
            <w:tcW w:w="3307" w:type="dxa"/>
            <w:vAlign w:val="center"/>
          </w:tcPr>
          <w:p w:rsidR="00BB108B" w:rsidRDefault="00794C6D">
            <w:pPr>
              <w:jc w:val="right"/>
            </w:pPr>
            <w:r>
              <w:rPr>
                <w:color w:val="000000"/>
                <w:sz w:val="24"/>
              </w:rPr>
              <w:t>18.69</w:t>
            </w:r>
          </w:p>
        </w:tc>
      </w:tr>
      <w:tr w:rsidR="00BB108B">
        <w:trPr>
          <w:jc w:val="center"/>
        </w:trPr>
        <w:tc>
          <w:tcPr>
            <w:tcW w:w="2904" w:type="dxa"/>
            <w:vAlign w:val="center"/>
          </w:tcPr>
          <w:p w:rsidR="00BB108B" w:rsidRDefault="00794C6D">
            <w:pPr>
              <w:jc w:val="left"/>
            </w:pPr>
            <w:r>
              <w:rPr>
                <w:color w:val="000000"/>
                <w:sz w:val="24"/>
              </w:rPr>
              <w:t>金融</w:t>
            </w:r>
          </w:p>
        </w:tc>
        <w:tc>
          <w:tcPr>
            <w:tcW w:w="2657" w:type="dxa"/>
            <w:vAlign w:val="center"/>
          </w:tcPr>
          <w:p w:rsidR="00BB108B" w:rsidRDefault="00794C6D">
            <w:pPr>
              <w:jc w:val="right"/>
            </w:pPr>
            <w:r>
              <w:rPr>
                <w:color w:val="000000"/>
                <w:sz w:val="24"/>
              </w:rPr>
              <w:t>18,127,319.94</w:t>
            </w:r>
          </w:p>
        </w:tc>
        <w:tc>
          <w:tcPr>
            <w:tcW w:w="3307" w:type="dxa"/>
            <w:vAlign w:val="center"/>
          </w:tcPr>
          <w:p w:rsidR="00BB108B" w:rsidRDefault="00794C6D">
            <w:pPr>
              <w:jc w:val="right"/>
            </w:pPr>
            <w:r>
              <w:rPr>
                <w:color w:val="000000"/>
                <w:sz w:val="24"/>
              </w:rPr>
              <w:t>15.48</w:t>
            </w:r>
          </w:p>
        </w:tc>
      </w:tr>
      <w:tr w:rsidR="00BB108B">
        <w:trPr>
          <w:jc w:val="center"/>
        </w:trPr>
        <w:tc>
          <w:tcPr>
            <w:tcW w:w="2904" w:type="dxa"/>
            <w:vAlign w:val="center"/>
          </w:tcPr>
          <w:p w:rsidR="00BB108B" w:rsidRDefault="00794C6D">
            <w:pPr>
              <w:jc w:val="left"/>
            </w:pPr>
            <w:r>
              <w:rPr>
                <w:color w:val="000000"/>
                <w:sz w:val="24"/>
              </w:rPr>
              <w:t>非必需消费品</w:t>
            </w:r>
          </w:p>
        </w:tc>
        <w:tc>
          <w:tcPr>
            <w:tcW w:w="2657" w:type="dxa"/>
            <w:vAlign w:val="center"/>
          </w:tcPr>
          <w:p w:rsidR="00BB108B" w:rsidRDefault="00794C6D">
            <w:pPr>
              <w:jc w:val="right"/>
            </w:pPr>
            <w:r>
              <w:rPr>
                <w:color w:val="000000"/>
                <w:sz w:val="24"/>
              </w:rPr>
              <w:t>15,711,997.89</w:t>
            </w:r>
          </w:p>
        </w:tc>
        <w:tc>
          <w:tcPr>
            <w:tcW w:w="3307" w:type="dxa"/>
            <w:vAlign w:val="center"/>
          </w:tcPr>
          <w:p w:rsidR="00BB108B" w:rsidRDefault="00794C6D">
            <w:pPr>
              <w:jc w:val="right"/>
            </w:pPr>
            <w:r>
              <w:rPr>
                <w:color w:val="000000"/>
                <w:sz w:val="24"/>
              </w:rPr>
              <w:t>13.42</w:t>
            </w:r>
          </w:p>
        </w:tc>
      </w:tr>
      <w:tr w:rsidR="00BB108B">
        <w:trPr>
          <w:jc w:val="center"/>
        </w:trPr>
        <w:tc>
          <w:tcPr>
            <w:tcW w:w="2904" w:type="dxa"/>
            <w:vAlign w:val="center"/>
          </w:tcPr>
          <w:p w:rsidR="00BB108B" w:rsidRDefault="00794C6D">
            <w:pPr>
              <w:jc w:val="left"/>
            </w:pPr>
            <w:r>
              <w:rPr>
                <w:color w:val="000000"/>
                <w:sz w:val="24"/>
              </w:rPr>
              <w:t>保健</w:t>
            </w:r>
          </w:p>
        </w:tc>
        <w:tc>
          <w:tcPr>
            <w:tcW w:w="2657" w:type="dxa"/>
            <w:vAlign w:val="center"/>
          </w:tcPr>
          <w:p w:rsidR="00BB108B" w:rsidRDefault="00794C6D">
            <w:pPr>
              <w:jc w:val="right"/>
            </w:pPr>
            <w:r>
              <w:rPr>
                <w:color w:val="000000"/>
                <w:sz w:val="24"/>
              </w:rPr>
              <w:t>15,450,733.02</w:t>
            </w:r>
          </w:p>
        </w:tc>
        <w:tc>
          <w:tcPr>
            <w:tcW w:w="3307" w:type="dxa"/>
            <w:vAlign w:val="center"/>
          </w:tcPr>
          <w:p w:rsidR="00BB108B" w:rsidRDefault="00794C6D">
            <w:pPr>
              <w:jc w:val="right"/>
            </w:pPr>
            <w:r>
              <w:rPr>
                <w:color w:val="000000"/>
                <w:sz w:val="24"/>
              </w:rPr>
              <w:t>13.20</w:t>
            </w:r>
          </w:p>
        </w:tc>
      </w:tr>
      <w:tr w:rsidR="00BB108B">
        <w:trPr>
          <w:jc w:val="center"/>
        </w:trPr>
        <w:tc>
          <w:tcPr>
            <w:tcW w:w="2904" w:type="dxa"/>
            <w:vAlign w:val="center"/>
          </w:tcPr>
          <w:p w:rsidR="00BB108B" w:rsidRDefault="00794C6D">
            <w:pPr>
              <w:jc w:val="left"/>
            </w:pPr>
            <w:r>
              <w:rPr>
                <w:color w:val="000000"/>
                <w:sz w:val="24"/>
              </w:rPr>
              <w:t>工业</w:t>
            </w:r>
          </w:p>
        </w:tc>
        <w:tc>
          <w:tcPr>
            <w:tcW w:w="2657" w:type="dxa"/>
            <w:vAlign w:val="center"/>
          </w:tcPr>
          <w:p w:rsidR="00BB108B" w:rsidRDefault="00794C6D">
            <w:pPr>
              <w:jc w:val="right"/>
            </w:pPr>
            <w:r>
              <w:rPr>
                <w:color w:val="000000"/>
                <w:sz w:val="24"/>
              </w:rPr>
              <w:t>13,357,570.18</w:t>
            </w:r>
          </w:p>
        </w:tc>
        <w:tc>
          <w:tcPr>
            <w:tcW w:w="3307" w:type="dxa"/>
            <w:vAlign w:val="center"/>
          </w:tcPr>
          <w:p w:rsidR="00BB108B" w:rsidRDefault="00794C6D">
            <w:pPr>
              <w:jc w:val="right"/>
            </w:pPr>
            <w:r>
              <w:rPr>
                <w:color w:val="000000"/>
                <w:sz w:val="24"/>
              </w:rPr>
              <w:t>11.41</w:t>
            </w:r>
          </w:p>
        </w:tc>
      </w:tr>
      <w:tr w:rsidR="00BB108B">
        <w:trPr>
          <w:jc w:val="center"/>
        </w:trPr>
        <w:tc>
          <w:tcPr>
            <w:tcW w:w="2904" w:type="dxa"/>
            <w:vAlign w:val="center"/>
          </w:tcPr>
          <w:p w:rsidR="00BB108B" w:rsidRDefault="00794C6D">
            <w:pPr>
              <w:jc w:val="left"/>
            </w:pPr>
            <w:r>
              <w:rPr>
                <w:color w:val="000000"/>
                <w:sz w:val="24"/>
              </w:rPr>
              <w:t>必需消费品</w:t>
            </w:r>
          </w:p>
        </w:tc>
        <w:tc>
          <w:tcPr>
            <w:tcW w:w="2657" w:type="dxa"/>
            <w:vAlign w:val="center"/>
          </w:tcPr>
          <w:p w:rsidR="00BB108B" w:rsidRDefault="00794C6D">
            <w:pPr>
              <w:jc w:val="right"/>
            </w:pPr>
            <w:r>
              <w:rPr>
                <w:color w:val="000000"/>
                <w:sz w:val="24"/>
              </w:rPr>
              <w:t>8,822,761.22</w:t>
            </w:r>
          </w:p>
        </w:tc>
        <w:tc>
          <w:tcPr>
            <w:tcW w:w="3307" w:type="dxa"/>
            <w:vAlign w:val="center"/>
          </w:tcPr>
          <w:p w:rsidR="00BB108B" w:rsidRDefault="00794C6D">
            <w:pPr>
              <w:jc w:val="right"/>
            </w:pPr>
            <w:r>
              <w:rPr>
                <w:color w:val="000000"/>
                <w:sz w:val="24"/>
              </w:rPr>
              <w:t>7.54</w:t>
            </w:r>
          </w:p>
        </w:tc>
      </w:tr>
      <w:tr w:rsidR="00BB108B">
        <w:trPr>
          <w:jc w:val="center"/>
        </w:trPr>
        <w:tc>
          <w:tcPr>
            <w:tcW w:w="2904" w:type="dxa"/>
            <w:vAlign w:val="center"/>
          </w:tcPr>
          <w:p w:rsidR="00BB108B" w:rsidRDefault="00794C6D">
            <w:pPr>
              <w:jc w:val="left"/>
            </w:pPr>
            <w:r>
              <w:rPr>
                <w:color w:val="000000"/>
                <w:sz w:val="24"/>
              </w:rPr>
              <w:t>材料</w:t>
            </w:r>
          </w:p>
        </w:tc>
        <w:tc>
          <w:tcPr>
            <w:tcW w:w="2657" w:type="dxa"/>
            <w:vAlign w:val="center"/>
          </w:tcPr>
          <w:p w:rsidR="00BB108B" w:rsidRDefault="00794C6D">
            <w:pPr>
              <w:jc w:val="right"/>
            </w:pPr>
            <w:r>
              <w:rPr>
                <w:color w:val="000000"/>
                <w:sz w:val="24"/>
              </w:rPr>
              <w:t>6,545,737.40</w:t>
            </w:r>
          </w:p>
        </w:tc>
        <w:tc>
          <w:tcPr>
            <w:tcW w:w="3307" w:type="dxa"/>
            <w:vAlign w:val="center"/>
          </w:tcPr>
          <w:p w:rsidR="00BB108B" w:rsidRDefault="00794C6D">
            <w:pPr>
              <w:jc w:val="right"/>
            </w:pPr>
            <w:r>
              <w:rPr>
                <w:color w:val="000000"/>
                <w:sz w:val="24"/>
              </w:rPr>
              <w:t>5.59</w:t>
            </w:r>
          </w:p>
        </w:tc>
      </w:tr>
      <w:tr w:rsidR="00BB108B">
        <w:trPr>
          <w:jc w:val="center"/>
        </w:trPr>
        <w:tc>
          <w:tcPr>
            <w:tcW w:w="2904" w:type="dxa"/>
            <w:vAlign w:val="center"/>
          </w:tcPr>
          <w:p w:rsidR="00BB108B" w:rsidRDefault="00794C6D">
            <w:pPr>
              <w:jc w:val="left"/>
            </w:pPr>
            <w:r>
              <w:rPr>
                <w:color w:val="000000"/>
                <w:sz w:val="24"/>
              </w:rPr>
              <w:t>能源</w:t>
            </w:r>
          </w:p>
        </w:tc>
        <w:tc>
          <w:tcPr>
            <w:tcW w:w="2657" w:type="dxa"/>
            <w:vAlign w:val="center"/>
          </w:tcPr>
          <w:p w:rsidR="00BB108B" w:rsidRDefault="00794C6D">
            <w:pPr>
              <w:jc w:val="right"/>
            </w:pPr>
            <w:r>
              <w:rPr>
                <w:color w:val="000000"/>
                <w:sz w:val="24"/>
              </w:rPr>
              <w:t>6,219,299.57</w:t>
            </w:r>
          </w:p>
        </w:tc>
        <w:tc>
          <w:tcPr>
            <w:tcW w:w="3307" w:type="dxa"/>
            <w:vAlign w:val="center"/>
          </w:tcPr>
          <w:p w:rsidR="00BB108B" w:rsidRDefault="00794C6D">
            <w:pPr>
              <w:jc w:val="right"/>
            </w:pPr>
            <w:r>
              <w:rPr>
                <w:color w:val="000000"/>
                <w:sz w:val="24"/>
              </w:rPr>
              <w:t>5.31</w:t>
            </w:r>
          </w:p>
        </w:tc>
      </w:tr>
      <w:tr w:rsidR="00BB108B">
        <w:trPr>
          <w:jc w:val="center"/>
        </w:trPr>
        <w:tc>
          <w:tcPr>
            <w:tcW w:w="2904" w:type="dxa"/>
            <w:vAlign w:val="center"/>
          </w:tcPr>
          <w:p w:rsidR="00BB108B" w:rsidRDefault="00794C6D">
            <w:pPr>
              <w:jc w:val="left"/>
            </w:pPr>
            <w:r>
              <w:rPr>
                <w:color w:val="000000"/>
                <w:sz w:val="24"/>
              </w:rPr>
              <w:t>电信服务</w:t>
            </w:r>
          </w:p>
        </w:tc>
        <w:tc>
          <w:tcPr>
            <w:tcW w:w="2657" w:type="dxa"/>
            <w:vAlign w:val="center"/>
          </w:tcPr>
          <w:p w:rsidR="00BB108B" w:rsidRDefault="00794C6D">
            <w:pPr>
              <w:jc w:val="right"/>
            </w:pPr>
            <w:r>
              <w:rPr>
                <w:color w:val="000000"/>
                <w:sz w:val="24"/>
              </w:rPr>
              <w:t>3,016,842.97</w:t>
            </w:r>
          </w:p>
        </w:tc>
        <w:tc>
          <w:tcPr>
            <w:tcW w:w="3307" w:type="dxa"/>
            <w:vAlign w:val="center"/>
          </w:tcPr>
          <w:p w:rsidR="00BB108B" w:rsidRDefault="00794C6D">
            <w:pPr>
              <w:jc w:val="right"/>
            </w:pPr>
            <w:r>
              <w:rPr>
                <w:color w:val="000000"/>
                <w:sz w:val="24"/>
              </w:rPr>
              <w:t>2.58</w:t>
            </w:r>
          </w:p>
        </w:tc>
      </w:tr>
      <w:tr w:rsidR="00BB108B">
        <w:trPr>
          <w:jc w:val="center"/>
        </w:trPr>
        <w:tc>
          <w:tcPr>
            <w:tcW w:w="2904" w:type="dxa"/>
            <w:vAlign w:val="center"/>
          </w:tcPr>
          <w:p w:rsidR="00BB108B" w:rsidRDefault="00794C6D">
            <w:pPr>
              <w:jc w:val="left"/>
            </w:pPr>
            <w:r>
              <w:rPr>
                <w:color w:val="000000"/>
                <w:sz w:val="24"/>
              </w:rPr>
              <w:t>房地产</w:t>
            </w:r>
          </w:p>
        </w:tc>
        <w:tc>
          <w:tcPr>
            <w:tcW w:w="2657" w:type="dxa"/>
            <w:vAlign w:val="center"/>
          </w:tcPr>
          <w:p w:rsidR="00BB108B" w:rsidRDefault="00794C6D">
            <w:pPr>
              <w:jc w:val="right"/>
            </w:pPr>
            <w:r>
              <w:rPr>
                <w:color w:val="000000"/>
                <w:sz w:val="24"/>
              </w:rPr>
              <w:t>2,220,710.27</w:t>
            </w:r>
          </w:p>
        </w:tc>
        <w:tc>
          <w:tcPr>
            <w:tcW w:w="3307" w:type="dxa"/>
            <w:vAlign w:val="center"/>
          </w:tcPr>
          <w:p w:rsidR="00BB108B" w:rsidRDefault="00794C6D">
            <w:pPr>
              <w:jc w:val="right"/>
            </w:pPr>
            <w:r>
              <w:rPr>
                <w:color w:val="000000"/>
                <w:sz w:val="24"/>
              </w:rPr>
              <w:t>1.90</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111,360,005.01</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95.11</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BB108B">
        <w:trPr>
          <w:jc w:val="center"/>
        </w:trPr>
        <w:tc>
          <w:tcPr>
            <w:tcW w:w="1243" w:type="dxa"/>
            <w:vAlign w:val="center"/>
          </w:tcPr>
          <w:p w:rsidR="00BB108B" w:rsidRDefault="00794C6D">
            <w:pPr>
              <w:jc w:val="center"/>
            </w:pPr>
            <w:r>
              <w:rPr>
                <w:color w:val="000000"/>
                <w:sz w:val="24"/>
              </w:rPr>
              <w:t>1</w:t>
            </w:r>
          </w:p>
        </w:tc>
        <w:tc>
          <w:tcPr>
            <w:tcW w:w="971" w:type="dxa"/>
            <w:vAlign w:val="center"/>
          </w:tcPr>
          <w:p w:rsidR="00BB108B" w:rsidRDefault="00794C6D">
            <w:pPr>
              <w:jc w:val="center"/>
            </w:pPr>
            <w:r>
              <w:rPr>
                <w:color w:val="000000"/>
                <w:sz w:val="24"/>
              </w:rPr>
              <w:t>Tencent Holdings Ltd</w:t>
            </w:r>
          </w:p>
        </w:tc>
        <w:tc>
          <w:tcPr>
            <w:tcW w:w="993" w:type="dxa"/>
            <w:vAlign w:val="center"/>
          </w:tcPr>
          <w:p w:rsidR="00BB108B" w:rsidRDefault="00794C6D">
            <w:pPr>
              <w:jc w:val="center"/>
            </w:pPr>
            <w:r>
              <w:rPr>
                <w:color w:val="000000"/>
                <w:sz w:val="24"/>
              </w:rPr>
              <w:t>腾讯控股</w:t>
            </w:r>
          </w:p>
        </w:tc>
        <w:tc>
          <w:tcPr>
            <w:tcW w:w="725" w:type="dxa"/>
            <w:vAlign w:val="center"/>
          </w:tcPr>
          <w:p w:rsidR="00BB108B" w:rsidRDefault="00794C6D">
            <w:pPr>
              <w:jc w:val="center"/>
            </w:pPr>
            <w:r>
              <w:rPr>
                <w:color w:val="000000"/>
                <w:sz w:val="24"/>
              </w:rPr>
              <w:t>700 HK</w:t>
            </w:r>
          </w:p>
        </w:tc>
        <w:tc>
          <w:tcPr>
            <w:tcW w:w="747" w:type="dxa"/>
            <w:vAlign w:val="center"/>
          </w:tcPr>
          <w:p w:rsidR="00BB108B" w:rsidRDefault="00794C6D">
            <w:pPr>
              <w:jc w:val="center"/>
            </w:pPr>
            <w:r>
              <w:rPr>
                <w:color w:val="000000"/>
                <w:sz w:val="24"/>
              </w:rPr>
              <w:t>香港证券交易所</w:t>
            </w:r>
          </w:p>
        </w:tc>
        <w:tc>
          <w:tcPr>
            <w:tcW w:w="975" w:type="dxa"/>
            <w:vAlign w:val="center"/>
          </w:tcPr>
          <w:p w:rsidR="00BB108B" w:rsidRDefault="00794C6D">
            <w:pPr>
              <w:jc w:val="center"/>
            </w:pPr>
            <w:r>
              <w:rPr>
                <w:color w:val="000000"/>
                <w:sz w:val="24"/>
              </w:rPr>
              <w:t>香港</w:t>
            </w:r>
          </w:p>
        </w:tc>
        <w:tc>
          <w:tcPr>
            <w:tcW w:w="1175" w:type="dxa"/>
            <w:vAlign w:val="center"/>
          </w:tcPr>
          <w:p w:rsidR="00BB108B" w:rsidRDefault="00794C6D">
            <w:pPr>
              <w:jc w:val="right"/>
            </w:pPr>
            <w:r>
              <w:rPr>
                <w:color w:val="000000"/>
                <w:sz w:val="24"/>
              </w:rPr>
              <w:t>13,000</w:t>
            </w:r>
          </w:p>
        </w:tc>
        <w:tc>
          <w:tcPr>
            <w:tcW w:w="975" w:type="dxa"/>
            <w:vAlign w:val="center"/>
          </w:tcPr>
          <w:p w:rsidR="00BB108B" w:rsidRDefault="00794C6D">
            <w:pPr>
              <w:jc w:val="right"/>
            </w:pPr>
            <w:r>
              <w:rPr>
                <w:color w:val="000000"/>
                <w:sz w:val="24"/>
              </w:rPr>
              <w:t>3,714,086.39</w:t>
            </w:r>
          </w:p>
        </w:tc>
        <w:tc>
          <w:tcPr>
            <w:tcW w:w="1175" w:type="dxa"/>
            <w:vAlign w:val="center"/>
          </w:tcPr>
          <w:p w:rsidR="00BB108B" w:rsidRDefault="00794C6D">
            <w:pPr>
              <w:jc w:val="right"/>
            </w:pPr>
            <w:r>
              <w:rPr>
                <w:color w:val="000000"/>
                <w:sz w:val="24"/>
              </w:rPr>
              <w:t>3.17</w:t>
            </w:r>
          </w:p>
        </w:tc>
      </w:tr>
      <w:tr w:rsidR="00BB108B">
        <w:trPr>
          <w:jc w:val="center"/>
        </w:trPr>
        <w:tc>
          <w:tcPr>
            <w:tcW w:w="1243" w:type="dxa"/>
            <w:vAlign w:val="center"/>
          </w:tcPr>
          <w:p w:rsidR="00BB108B" w:rsidRDefault="00794C6D">
            <w:pPr>
              <w:jc w:val="center"/>
            </w:pPr>
            <w:r>
              <w:rPr>
                <w:color w:val="000000"/>
                <w:sz w:val="24"/>
              </w:rPr>
              <w:t>2</w:t>
            </w:r>
          </w:p>
        </w:tc>
        <w:tc>
          <w:tcPr>
            <w:tcW w:w="971" w:type="dxa"/>
            <w:vAlign w:val="center"/>
          </w:tcPr>
          <w:p w:rsidR="00BB108B" w:rsidRDefault="00794C6D">
            <w:pPr>
              <w:jc w:val="center"/>
            </w:pPr>
            <w:r>
              <w:rPr>
                <w:color w:val="000000"/>
                <w:sz w:val="24"/>
              </w:rPr>
              <w:t>Alphabet Inc</w:t>
            </w:r>
          </w:p>
        </w:tc>
        <w:tc>
          <w:tcPr>
            <w:tcW w:w="993" w:type="dxa"/>
            <w:vAlign w:val="center"/>
          </w:tcPr>
          <w:p w:rsidR="00BB108B" w:rsidRDefault="00794C6D">
            <w:pPr>
              <w:jc w:val="center"/>
            </w:pPr>
            <w:r>
              <w:rPr>
                <w:color w:val="000000"/>
                <w:sz w:val="24"/>
              </w:rPr>
              <w:t>Alphabet</w:t>
            </w:r>
            <w:r>
              <w:rPr>
                <w:color w:val="000000"/>
                <w:sz w:val="24"/>
              </w:rPr>
              <w:t>公司</w:t>
            </w:r>
          </w:p>
        </w:tc>
        <w:tc>
          <w:tcPr>
            <w:tcW w:w="725" w:type="dxa"/>
            <w:vAlign w:val="center"/>
          </w:tcPr>
          <w:p w:rsidR="00BB108B" w:rsidRDefault="00794C6D">
            <w:pPr>
              <w:jc w:val="center"/>
            </w:pPr>
            <w:r>
              <w:rPr>
                <w:color w:val="000000"/>
                <w:sz w:val="24"/>
              </w:rPr>
              <w:t>GOOGL US</w:t>
            </w:r>
          </w:p>
        </w:tc>
        <w:tc>
          <w:tcPr>
            <w:tcW w:w="747" w:type="dxa"/>
            <w:vAlign w:val="center"/>
          </w:tcPr>
          <w:p w:rsidR="00BB108B" w:rsidRDefault="00794C6D">
            <w:pPr>
              <w:jc w:val="center"/>
            </w:pPr>
            <w:r>
              <w:rPr>
                <w:color w:val="000000"/>
                <w:sz w:val="24"/>
              </w:rPr>
              <w:t>美国证券交易所</w:t>
            </w:r>
          </w:p>
        </w:tc>
        <w:tc>
          <w:tcPr>
            <w:tcW w:w="975" w:type="dxa"/>
            <w:vAlign w:val="center"/>
          </w:tcPr>
          <w:p w:rsidR="00BB108B" w:rsidRDefault="00794C6D">
            <w:pPr>
              <w:jc w:val="center"/>
            </w:pPr>
            <w:r>
              <w:rPr>
                <w:color w:val="000000"/>
                <w:sz w:val="24"/>
              </w:rPr>
              <w:t>美国</w:t>
            </w:r>
          </w:p>
        </w:tc>
        <w:tc>
          <w:tcPr>
            <w:tcW w:w="1175" w:type="dxa"/>
            <w:vAlign w:val="center"/>
          </w:tcPr>
          <w:p w:rsidR="00BB108B" w:rsidRDefault="00794C6D">
            <w:pPr>
              <w:jc w:val="right"/>
            </w:pPr>
            <w:r>
              <w:rPr>
                <w:color w:val="000000"/>
                <w:sz w:val="24"/>
              </w:rPr>
              <w:t>396</w:t>
            </w:r>
          </w:p>
        </w:tc>
        <w:tc>
          <w:tcPr>
            <w:tcW w:w="975" w:type="dxa"/>
            <w:vAlign w:val="center"/>
          </w:tcPr>
          <w:p w:rsidR="00BB108B" w:rsidRDefault="00794C6D">
            <w:pPr>
              <w:jc w:val="right"/>
            </w:pPr>
            <w:r>
              <w:rPr>
                <w:color w:val="000000"/>
                <w:sz w:val="24"/>
              </w:rPr>
              <w:t>2,559,142.98</w:t>
            </w:r>
          </w:p>
        </w:tc>
        <w:tc>
          <w:tcPr>
            <w:tcW w:w="1175" w:type="dxa"/>
            <w:vAlign w:val="center"/>
          </w:tcPr>
          <w:p w:rsidR="00BB108B" w:rsidRDefault="00794C6D">
            <w:pPr>
              <w:jc w:val="right"/>
            </w:pPr>
            <w:r>
              <w:rPr>
                <w:color w:val="000000"/>
                <w:sz w:val="24"/>
              </w:rPr>
              <w:t>2.19</w:t>
            </w:r>
          </w:p>
        </w:tc>
      </w:tr>
      <w:tr w:rsidR="00BB108B">
        <w:trPr>
          <w:jc w:val="center"/>
        </w:trPr>
        <w:tc>
          <w:tcPr>
            <w:tcW w:w="1243" w:type="dxa"/>
            <w:vAlign w:val="center"/>
          </w:tcPr>
          <w:p w:rsidR="00BB108B" w:rsidRDefault="00794C6D">
            <w:pPr>
              <w:jc w:val="center"/>
            </w:pPr>
            <w:r>
              <w:rPr>
                <w:color w:val="000000"/>
                <w:sz w:val="24"/>
              </w:rPr>
              <w:t>3</w:t>
            </w:r>
          </w:p>
        </w:tc>
        <w:tc>
          <w:tcPr>
            <w:tcW w:w="971" w:type="dxa"/>
            <w:vAlign w:val="center"/>
          </w:tcPr>
          <w:p w:rsidR="00BB108B" w:rsidRDefault="00794C6D">
            <w:pPr>
              <w:jc w:val="center"/>
            </w:pPr>
            <w:r>
              <w:rPr>
                <w:color w:val="000000"/>
                <w:sz w:val="24"/>
              </w:rPr>
              <w:t>Ping An Insurance (Group</w:t>
            </w:r>
            <w:r>
              <w:rPr>
                <w:color w:val="000000"/>
                <w:sz w:val="24"/>
              </w:rPr>
              <w:lastRenderedPageBreak/>
              <w:t>) Company Of China,Ltd.</w:t>
            </w:r>
          </w:p>
        </w:tc>
        <w:tc>
          <w:tcPr>
            <w:tcW w:w="993" w:type="dxa"/>
            <w:vAlign w:val="center"/>
          </w:tcPr>
          <w:p w:rsidR="00BB108B" w:rsidRDefault="00794C6D">
            <w:pPr>
              <w:jc w:val="center"/>
            </w:pPr>
            <w:r>
              <w:rPr>
                <w:color w:val="000000"/>
                <w:sz w:val="24"/>
              </w:rPr>
              <w:lastRenderedPageBreak/>
              <w:t>中国平安保险</w:t>
            </w:r>
            <w:r>
              <w:rPr>
                <w:color w:val="000000"/>
                <w:sz w:val="24"/>
              </w:rPr>
              <w:t>(</w:t>
            </w:r>
            <w:r>
              <w:rPr>
                <w:color w:val="000000"/>
                <w:sz w:val="24"/>
              </w:rPr>
              <w:t>集团</w:t>
            </w:r>
            <w:r>
              <w:rPr>
                <w:color w:val="000000"/>
                <w:sz w:val="24"/>
              </w:rPr>
              <w:t>)</w:t>
            </w:r>
            <w:r>
              <w:rPr>
                <w:color w:val="000000"/>
                <w:sz w:val="24"/>
              </w:rPr>
              <w:t>股份有限公司</w:t>
            </w:r>
          </w:p>
        </w:tc>
        <w:tc>
          <w:tcPr>
            <w:tcW w:w="725" w:type="dxa"/>
            <w:vAlign w:val="center"/>
          </w:tcPr>
          <w:p w:rsidR="00BB108B" w:rsidRDefault="00794C6D">
            <w:pPr>
              <w:jc w:val="center"/>
            </w:pPr>
            <w:r>
              <w:rPr>
                <w:color w:val="000000"/>
                <w:sz w:val="24"/>
              </w:rPr>
              <w:t>2318 HK</w:t>
            </w:r>
          </w:p>
        </w:tc>
        <w:tc>
          <w:tcPr>
            <w:tcW w:w="747" w:type="dxa"/>
            <w:vAlign w:val="center"/>
          </w:tcPr>
          <w:p w:rsidR="00BB108B" w:rsidRDefault="00794C6D">
            <w:pPr>
              <w:jc w:val="center"/>
            </w:pPr>
            <w:r>
              <w:rPr>
                <w:color w:val="000000"/>
                <w:sz w:val="24"/>
              </w:rPr>
              <w:t>香港证券交易所</w:t>
            </w:r>
          </w:p>
        </w:tc>
        <w:tc>
          <w:tcPr>
            <w:tcW w:w="975" w:type="dxa"/>
            <w:vAlign w:val="center"/>
          </w:tcPr>
          <w:p w:rsidR="00BB108B" w:rsidRDefault="00794C6D">
            <w:pPr>
              <w:jc w:val="center"/>
            </w:pPr>
            <w:r>
              <w:rPr>
                <w:color w:val="000000"/>
                <w:sz w:val="24"/>
              </w:rPr>
              <w:t>香港</w:t>
            </w:r>
          </w:p>
        </w:tc>
        <w:tc>
          <w:tcPr>
            <w:tcW w:w="1175" w:type="dxa"/>
            <w:vAlign w:val="center"/>
          </w:tcPr>
          <w:p w:rsidR="00BB108B" w:rsidRDefault="00794C6D">
            <w:pPr>
              <w:jc w:val="right"/>
            </w:pPr>
            <w:r>
              <w:rPr>
                <w:color w:val="000000"/>
                <w:sz w:val="24"/>
              </w:rPr>
              <w:t>50,000</w:t>
            </w:r>
          </w:p>
        </w:tc>
        <w:tc>
          <w:tcPr>
            <w:tcW w:w="975" w:type="dxa"/>
            <w:vAlign w:val="center"/>
          </w:tcPr>
          <w:p w:rsidR="00BB108B" w:rsidRDefault="00794C6D">
            <w:pPr>
              <w:jc w:val="right"/>
            </w:pPr>
            <w:r>
              <w:rPr>
                <w:color w:val="000000"/>
                <w:sz w:val="24"/>
              </w:rPr>
              <w:t>2,547,241.56</w:t>
            </w:r>
          </w:p>
        </w:tc>
        <w:tc>
          <w:tcPr>
            <w:tcW w:w="1175" w:type="dxa"/>
            <w:vAlign w:val="center"/>
          </w:tcPr>
          <w:p w:rsidR="00BB108B" w:rsidRDefault="00794C6D">
            <w:pPr>
              <w:jc w:val="right"/>
            </w:pPr>
            <w:r>
              <w:rPr>
                <w:color w:val="000000"/>
                <w:sz w:val="24"/>
              </w:rPr>
              <w:t>2.18</w:t>
            </w:r>
          </w:p>
        </w:tc>
      </w:tr>
      <w:tr w:rsidR="00BB108B">
        <w:trPr>
          <w:jc w:val="center"/>
        </w:trPr>
        <w:tc>
          <w:tcPr>
            <w:tcW w:w="1243" w:type="dxa"/>
            <w:vAlign w:val="center"/>
          </w:tcPr>
          <w:p w:rsidR="00BB108B" w:rsidRDefault="00794C6D">
            <w:pPr>
              <w:jc w:val="center"/>
            </w:pPr>
            <w:r>
              <w:rPr>
                <w:color w:val="000000"/>
                <w:sz w:val="24"/>
              </w:rPr>
              <w:lastRenderedPageBreak/>
              <w:t>4</w:t>
            </w:r>
          </w:p>
        </w:tc>
        <w:tc>
          <w:tcPr>
            <w:tcW w:w="971" w:type="dxa"/>
            <w:vAlign w:val="center"/>
          </w:tcPr>
          <w:p w:rsidR="00BB108B" w:rsidRDefault="00794C6D">
            <w:pPr>
              <w:jc w:val="center"/>
            </w:pPr>
            <w:r>
              <w:rPr>
                <w:color w:val="000000"/>
                <w:sz w:val="24"/>
              </w:rPr>
              <w:t>Citigroup Inc</w:t>
            </w:r>
          </w:p>
        </w:tc>
        <w:tc>
          <w:tcPr>
            <w:tcW w:w="993" w:type="dxa"/>
            <w:vAlign w:val="center"/>
          </w:tcPr>
          <w:p w:rsidR="00BB108B" w:rsidRDefault="00794C6D">
            <w:pPr>
              <w:jc w:val="center"/>
            </w:pPr>
            <w:r>
              <w:rPr>
                <w:color w:val="000000"/>
                <w:sz w:val="24"/>
              </w:rPr>
              <w:t>花旗集团</w:t>
            </w:r>
          </w:p>
        </w:tc>
        <w:tc>
          <w:tcPr>
            <w:tcW w:w="725" w:type="dxa"/>
            <w:vAlign w:val="center"/>
          </w:tcPr>
          <w:p w:rsidR="00BB108B" w:rsidRDefault="00794C6D">
            <w:pPr>
              <w:jc w:val="center"/>
            </w:pPr>
            <w:r>
              <w:rPr>
                <w:color w:val="000000"/>
                <w:sz w:val="24"/>
              </w:rPr>
              <w:t>C US</w:t>
            </w:r>
          </w:p>
        </w:tc>
        <w:tc>
          <w:tcPr>
            <w:tcW w:w="747" w:type="dxa"/>
            <w:vAlign w:val="center"/>
          </w:tcPr>
          <w:p w:rsidR="00BB108B" w:rsidRDefault="00794C6D">
            <w:pPr>
              <w:jc w:val="center"/>
            </w:pPr>
            <w:r>
              <w:rPr>
                <w:color w:val="000000"/>
                <w:sz w:val="24"/>
              </w:rPr>
              <w:t>美国证券交易所</w:t>
            </w:r>
          </w:p>
        </w:tc>
        <w:tc>
          <w:tcPr>
            <w:tcW w:w="975" w:type="dxa"/>
            <w:vAlign w:val="center"/>
          </w:tcPr>
          <w:p w:rsidR="00BB108B" w:rsidRDefault="00794C6D">
            <w:pPr>
              <w:jc w:val="center"/>
            </w:pPr>
            <w:r>
              <w:rPr>
                <w:color w:val="000000"/>
                <w:sz w:val="24"/>
              </w:rPr>
              <w:t>美国</w:t>
            </w:r>
          </w:p>
        </w:tc>
        <w:tc>
          <w:tcPr>
            <w:tcW w:w="1175" w:type="dxa"/>
            <w:vAlign w:val="center"/>
          </w:tcPr>
          <w:p w:rsidR="00BB108B" w:rsidRDefault="00794C6D">
            <w:pPr>
              <w:jc w:val="right"/>
            </w:pPr>
            <w:r>
              <w:rPr>
                <w:color w:val="000000"/>
                <w:sz w:val="24"/>
              </w:rPr>
              <w:t>5,229</w:t>
            </w:r>
          </w:p>
        </w:tc>
        <w:tc>
          <w:tcPr>
            <w:tcW w:w="975" w:type="dxa"/>
            <w:vAlign w:val="center"/>
          </w:tcPr>
          <w:p w:rsidR="00BB108B" w:rsidRDefault="00794C6D">
            <w:pPr>
              <w:jc w:val="right"/>
            </w:pPr>
            <w:r>
              <w:rPr>
                <w:color w:val="000000"/>
                <w:sz w:val="24"/>
              </w:rPr>
              <w:t>2,524,394.43</w:t>
            </w:r>
          </w:p>
        </w:tc>
        <w:tc>
          <w:tcPr>
            <w:tcW w:w="1175" w:type="dxa"/>
            <w:vAlign w:val="center"/>
          </w:tcPr>
          <w:p w:rsidR="00BB108B" w:rsidRDefault="00794C6D">
            <w:pPr>
              <w:jc w:val="right"/>
            </w:pPr>
            <w:r>
              <w:rPr>
                <w:color w:val="000000"/>
                <w:sz w:val="24"/>
              </w:rPr>
              <w:t>2.16</w:t>
            </w:r>
          </w:p>
        </w:tc>
      </w:tr>
      <w:tr w:rsidR="00BB108B">
        <w:trPr>
          <w:jc w:val="center"/>
        </w:trPr>
        <w:tc>
          <w:tcPr>
            <w:tcW w:w="1243" w:type="dxa"/>
            <w:vAlign w:val="center"/>
          </w:tcPr>
          <w:p w:rsidR="00BB108B" w:rsidRDefault="00794C6D">
            <w:pPr>
              <w:jc w:val="center"/>
            </w:pPr>
            <w:r>
              <w:rPr>
                <w:color w:val="000000"/>
                <w:sz w:val="24"/>
              </w:rPr>
              <w:t>5</w:t>
            </w:r>
          </w:p>
        </w:tc>
        <w:tc>
          <w:tcPr>
            <w:tcW w:w="971" w:type="dxa"/>
            <w:vAlign w:val="center"/>
          </w:tcPr>
          <w:p w:rsidR="00BB108B" w:rsidRDefault="00794C6D">
            <w:pPr>
              <w:jc w:val="center"/>
            </w:pPr>
            <w:r>
              <w:rPr>
                <w:color w:val="000000"/>
                <w:sz w:val="24"/>
              </w:rPr>
              <w:t>Unitedhealth Group Inc</w:t>
            </w:r>
          </w:p>
        </w:tc>
        <w:tc>
          <w:tcPr>
            <w:tcW w:w="993" w:type="dxa"/>
            <w:vAlign w:val="center"/>
          </w:tcPr>
          <w:p w:rsidR="00BB108B" w:rsidRDefault="00794C6D">
            <w:pPr>
              <w:jc w:val="center"/>
            </w:pPr>
            <w:r>
              <w:rPr>
                <w:color w:val="000000"/>
                <w:sz w:val="24"/>
              </w:rPr>
              <w:t>美国联合健康集团</w:t>
            </w:r>
          </w:p>
        </w:tc>
        <w:tc>
          <w:tcPr>
            <w:tcW w:w="725" w:type="dxa"/>
            <w:vAlign w:val="center"/>
          </w:tcPr>
          <w:p w:rsidR="00BB108B" w:rsidRDefault="00794C6D">
            <w:pPr>
              <w:jc w:val="center"/>
            </w:pPr>
            <w:r>
              <w:rPr>
                <w:color w:val="000000"/>
                <w:sz w:val="24"/>
              </w:rPr>
              <w:t>UNH US</w:t>
            </w:r>
          </w:p>
        </w:tc>
        <w:tc>
          <w:tcPr>
            <w:tcW w:w="747" w:type="dxa"/>
            <w:vAlign w:val="center"/>
          </w:tcPr>
          <w:p w:rsidR="00BB108B" w:rsidRDefault="00794C6D">
            <w:pPr>
              <w:jc w:val="center"/>
            </w:pPr>
            <w:r>
              <w:rPr>
                <w:color w:val="000000"/>
                <w:sz w:val="24"/>
              </w:rPr>
              <w:t>美国证券交易所</w:t>
            </w:r>
          </w:p>
        </w:tc>
        <w:tc>
          <w:tcPr>
            <w:tcW w:w="975" w:type="dxa"/>
            <w:vAlign w:val="center"/>
          </w:tcPr>
          <w:p w:rsidR="00BB108B" w:rsidRDefault="00794C6D">
            <w:pPr>
              <w:jc w:val="center"/>
            </w:pPr>
            <w:r>
              <w:rPr>
                <w:color w:val="000000"/>
                <w:sz w:val="24"/>
              </w:rPr>
              <w:t>美国</w:t>
            </w:r>
          </w:p>
        </w:tc>
        <w:tc>
          <w:tcPr>
            <w:tcW w:w="1175" w:type="dxa"/>
            <w:vAlign w:val="center"/>
          </w:tcPr>
          <w:p w:rsidR="00BB108B" w:rsidRDefault="00794C6D">
            <w:pPr>
              <w:jc w:val="right"/>
            </w:pPr>
            <w:r>
              <w:rPr>
                <w:color w:val="000000"/>
                <w:sz w:val="24"/>
              </w:rPr>
              <w:t>1,861</w:t>
            </w:r>
          </w:p>
        </w:tc>
        <w:tc>
          <w:tcPr>
            <w:tcW w:w="975" w:type="dxa"/>
            <w:vAlign w:val="center"/>
          </w:tcPr>
          <w:p w:rsidR="00BB108B" w:rsidRDefault="00794C6D">
            <w:pPr>
              <w:jc w:val="right"/>
            </w:pPr>
            <w:r>
              <w:rPr>
                <w:color w:val="000000"/>
                <w:sz w:val="24"/>
              </w:rPr>
              <w:t>2,418,996.41</w:t>
            </w:r>
          </w:p>
        </w:tc>
        <w:tc>
          <w:tcPr>
            <w:tcW w:w="1175" w:type="dxa"/>
            <w:vAlign w:val="center"/>
          </w:tcPr>
          <w:p w:rsidR="00BB108B" w:rsidRDefault="00794C6D">
            <w:pPr>
              <w:jc w:val="right"/>
            </w:pPr>
            <w:r>
              <w:rPr>
                <w:color w:val="000000"/>
                <w:sz w:val="24"/>
              </w:rPr>
              <w:t>2.07</w:t>
            </w:r>
          </w:p>
        </w:tc>
      </w:tr>
      <w:tr w:rsidR="00BB108B">
        <w:trPr>
          <w:jc w:val="center"/>
        </w:trPr>
        <w:tc>
          <w:tcPr>
            <w:tcW w:w="1243" w:type="dxa"/>
            <w:vAlign w:val="center"/>
          </w:tcPr>
          <w:p w:rsidR="00BB108B" w:rsidRDefault="00794C6D">
            <w:pPr>
              <w:jc w:val="center"/>
            </w:pPr>
            <w:r>
              <w:rPr>
                <w:color w:val="000000"/>
                <w:sz w:val="24"/>
              </w:rPr>
              <w:t>6</w:t>
            </w:r>
          </w:p>
        </w:tc>
        <w:tc>
          <w:tcPr>
            <w:tcW w:w="971" w:type="dxa"/>
            <w:vAlign w:val="center"/>
          </w:tcPr>
          <w:p w:rsidR="00BB108B" w:rsidRDefault="00794C6D">
            <w:pPr>
              <w:jc w:val="center"/>
            </w:pPr>
            <w:r>
              <w:rPr>
                <w:color w:val="000000"/>
                <w:sz w:val="24"/>
              </w:rPr>
              <w:t>DowDuPont Inc</w:t>
            </w:r>
          </w:p>
        </w:tc>
        <w:tc>
          <w:tcPr>
            <w:tcW w:w="993" w:type="dxa"/>
            <w:vAlign w:val="center"/>
          </w:tcPr>
          <w:p w:rsidR="00BB108B" w:rsidRDefault="00794C6D">
            <w:pPr>
              <w:jc w:val="center"/>
            </w:pPr>
            <w:r>
              <w:rPr>
                <w:color w:val="000000"/>
                <w:sz w:val="24"/>
              </w:rPr>
              <w:t>陶氏杜邦公司</w:t>
            </w:r>
          </w:p>
        </w:tc>
        <w:tc>
          <w:tcPr>
            <w:tcW w:w="725" w:type="dxa"/>
            <w:vAlign w:val="center"/>
          </w:tcPr>
          <w:p w:rsidR="00BB108B" w:rsidRDefault="00794C6D">
            <w:pPr>
              <w:jc w:val="center"/>
            </w:pPr>
            <w:r>
              <w:rPr>
                <w:color w:val="000000"/>
                <w:sz w:val="24"/>
              </w:rPr>
              <w:t>DWDP US</w:t>
            </w:r>
          </w:p>
        </w:tc>
        <w:tc>
          <w:tcPr>
            <w:tcW w:w="747" w:type="dxa"/>
            <w:vAlign w:val="center"/>
          </w:tcPr>
          <w:p w:rsidR="00BB108B" w:rsidRDefault="00794C6D">
            <w:pPr>
              <w:jc w:val="center"/>
            </w:pPr>
            <w:r>
              <w:rPr>
                <w:color w:val="000000"/>
                <w:sz w:val="24"/>
              </w:rPr>
              <w:t>美国证券交易所</w:t>
            </w:r>
          </w:p>
        </w:tc>
        <w:tc>
          <w:tcPr>
            <w:tcW w:w="975" w:type="dxa"/>
            <w:vAlign w:val="center"/>
          </w:tcPr>
          <w:p w:rsidR="00BB108B" w:rsidRDefault="00794C6D">
            <w:pPr>
              <w:jc w:val="center"/>
            </w:pPr>
            <w:r>
              <w:rPr>
                <w:color w:val="000000"/>
                <w:sz w:val="24"/>
              </w:rPr>
              <w:t>美国</w:t>
            </w:r>
          </w:p>
        </w:tc>
        <w:tc>
          <w:tcPr>
            <w:tcW w:w="1175" w:type="dxa"/>
            <w:vAlign w:val="center"/>
          </w:tcPr>
          <w:p w:rsidR="00BB108B" w:rsidRDefault="00794C6D">
            <w:pPr>
              <w:jc w:val="right"/>
            </w:pPr>
            <w:r>
              <w:rPr>
                <w:color w:val="000000"/>
                <w:sz w:val="24"/>
              </w:rPr>
              <w:t>5,069</w:t>
            </w:r>
          </w:p>
        </w:tc>
        <w:tc>
          <w:tcPr>
            <w:tcW w:w="975" w:type="dxa"/>
            <w:vAlign w:val="center"/>
          </w:tcPr>
          <w:p w:rsidR="00BB108B" w:rsidRDefault="00794C6D">
            <w:pPr>
              <w:jc w:val="right"/>
            </w:pPr>
            <w:r>
              <w:rPr>
                <w:color w:val="000000"/>
                <w:sz w:val="24"/>
              </w:rPr>
              <w:t>2,329,066.54</w:t>
            </w:r>
          </w:p>
        </w:tc>
        <w:tc>
          <w:tcPr>
            <w:tcW w:w="1175" w:type="dxa"/>
            <w:vAlign w:val="center"/>
          </w:tcPr>
          <w:p w:rsidR="00BB108B" w:rsidRDefault="00794C6D">
            <w:pPr>
              <w:jc w:val="right"/>
            </w:pPr>
            <w:r>
              <w:rPr>
                <w:color w:val="000000"/>
                <w:sz w:val="24"/>
              </w:rPr>
              <w:t>1.99</w:t>
            </w:r>
          </w:p>
        </w:tc>
      </w:tr>
      <w:tr w:rsidR="00BB108B">
        <w:trPr>
          <w:jc w:val="center"/>
        </w:trPr>
        <w:tc>
          <w:tcPr>
            <w:tcW w:w="1243" w:type="dxa"/>
            <w:vAlign w:val="center"/>
          </w:tcPr>
          <w:p w:rsidR="00BB108B" w:rsidRDefault="00794C6D">
            <w:pPr>
              <w:jc w:val="center"/>
            </w:pPr>
            <w:r>
              <w:rPr>
                <w:color w:val="000000"/>
                <w:sz w:val="24"/>
              </w:rPr>
              <w:t>7</w:t>
            </w:r>
          </w:p>
        </w:tc>
        <w:tc>
          <w:tcPr>
            <w:tcW w:w="971" w:type="dxa"/>
            <w:vAlign w:val="center"/>
          </w:tcPr>
          <w:p w:rsidR="00BB108B" w:rsidRDefault="00794C6D">
            <w:pPr>
              <w:jc w:val="center"/>
            </w:pPr>
            <w:r>
              <w:rPr>
                <w:color w:val="000000"/>
                <w:sz w:val="24"/>
              </w:rPr>
              <w:t>Apple Inc</w:t>
            </w:r>
          </w:p>
        </w:tc>
        <w:tc>
          <w:tcPr>
            <w:tcW w:w="993" w:type="dxa"/>
            <w:vAlign w:val="center"/>
          </w:tcPr>
          <w:p w:rsidR="00BB108B" w:rsidRDefault="00794C6D">
            <w:pPr>
              <w:jc w:val="center"/>
            </w:pPr>
            <w:r>
              <w:rPr>
                <w:color w:val="000000"/>
                <w:sz w:val="24"/>
              </w:rPr>
              <w:t>苹果公司</w:t>
            </w:r>
          </w:p>
        </w:tc>
        <w:tc>
          <w:tcPr>
            <w:tcW w:w="725" w:type="dxa"/>
            <w:vAlign w:val="center"/>
          </w:tcPr>
          <w:p w:rsidR="00BB108B" w:rsidRDefault="00794C6D">
            <w:pPr>
              <w:jc w:val="center"/>
            </w:pPr>
            <w:r>
              <w:rPr>
                <w:color w:val="000000"/>
                <w:sz w:val="24"/>
              </w:rPr>
              <w:t>AAPL US</w:t>
            </w:r>
          </w:p>
        </w:tc>
        <w:tc>
          <w:tcPr>
            <w:tcW w:w="747" w:type="dxa"/>
            <w:vAlign w:val="center"/>
          </w:tcPr>
          <w:p w:rsidR="00BB108B" w:rsidRDefault="00794C6D">
            <w:pPr>
              <w:jc w:val="center"/>
            </w:pPr>
            <w:r>
              <w:rPr>
                <w:color w:val="000000"/>
                <w:sz w:val="24"/>
              </w:rPr>
              <w:t>美国证券交易所</w:t>
            </w:r>
          </w:p>
        </w:tc>
        <w:tc>
          <w:tcPr>
            <w:tcW w:w="975" w:type="dxa"/>
            <w:vAlign w:val="center"/>
          </w:tcPr>
          <w:p w:rsidR="00BB108B" w:rsidRDefault="00794C6D">
            <w:pPr>
              <w:jc w:val="center"/>
            </w:pPr>
            <w:r>
              <w:rPr>
                <w:color w:val="000000"/>
                <w:sz w:val="24"/>
              </w:rPr>
              <w:t>美国</w:t>
            </w:r>
          </w:p>
        </w:tc>
        <w:tc>
          <w:tcPr>
            <w:tcW w:w="1175" w:type="dxa"/>
            <w:vAlign w:val="center"/>
          </w:tcPr>
          <w:p w:rsidR="00BB108B" w:rsidRDefault="00794C6D">
            <w:pPr>
              <w:jc w:val="right"/>
            </w:pPr>
            <w:r>
              <w:rPr>
                <w:color w:val="000000"/>
                <w:sz w:val="24"/>
              </w:rPr>
              <w:t>2,213</w:t>
            </w:r>
          </w:p>
        </w:tc>
        <w:tc>
          <w:tcPr>
            <w:tcW w:w="975" w:type="dxa"/>
            <w:vAlign w:val="center"/>
          </w:tcPr>
          <w:p w:rsidR="00BB108B" w:rsidRDefault="00794C6D">
            <w:pPr>
              <w:jc w:val="right"/>
            </w:pPr>
            <w:r>
              <w:rPr>
                <w:color w:val="000000"/>
                <w:sz w:val="24"/>
              </w:rPr>
              <w:t>2,263,631.29</w:t>
            </w:r>
          </w:p>
        </w:tc>
        <w:tc>
          <w:tcPr>
            <w:tcW w:w="1175" w:type="dxa"/>
            <w:vAlign w:val="center"/>
          </w:tcPr>
          <w:p w:rsidR="00BB108B" w:rsidRDefault="00794C6D">
            <w:pPr>
              <w:jc w:val="right"/>
            </w:pPr>
            <w:r>
              <w:rPr>
                <w:color w:val="000000"/>
                <w:sz w:val="24"/>
              </w:rPr>
              <w:t>1.93</w:t>
            </w:r>
          </w:p>
        </w:tc>
      </w:tr>
      <w:tr w:rsidR="00BB108B">
        <w:trPr>
          <w:jc w:val="center"/>
        </w:trPr>
        <w:tc>
          <w:tcPr>
            <w:tcW w:w="1243" w:type="dxa"/>
            <w:vAlign w:val="center"/>
          </w:tcPr>
          <w:p w:rsidR="00BB108B" w:rsidRDefault="00794C6D">
            <w:pPr>
              <w:jc w:val="center"/>
            </w:pPr>
            <w:r>
              <w:rPr>
                <w:color w:val="000000"/>
                <w:sz w:val="24"/>
              </w:rPr>
              <w:t>8</w:t>
            </w:r>
          </w:p>
        </w:tc>
        <w:tc>
          <w:tcPr>
            <w:tcW w:w="971" w:type="dxa"/>
            <w:vAlign w:val="center"/>
          </w:tcPr>
          <w:p w:rsidR="00BB108B" w:rsidRDefault="00794C6D">
            <w:pPr>
              <w:jc w:val="center"/>
            </w:pPr>
            <w:r>
              <w:rPr>
                <w:color w:val="000000"/>
                <w:sz w:val="24"/>
              </w:rPr>
              <w:t>New China Life Insurance Company Ltd</w:t>
            </w:r>
          </w:p>
        </w:tc>
        <w:tc>
          <w:tcPr>
            <w:tcW w:w="993" w:type="dxa"/>
            <w:vAlign w:val="center"/>
          </w:tcPr>
          <w:p w:rsidR="00BB108B" w:rsidRDefault="00794C6D">
            <w:pPr>
              <w:jc w:val="center"/>
            </w:pPr>
            <w:r>
              <w:rPr>
                <w:color w:val="000000"/>
                <w:sz w:val="24"/>
              </w:rPr>
              <w:t>新华人寿保险股份有限公司</w:t>
            </w:r>
          </w:p>
        </w:tc>
        <w:tc>
          <w:tcPr>
            <w:tcW w:w="725" w:type="dxa"/>
            <w:vAlign w:val="center"/>
          </w:tcPr>
          <w:p w:rsidR="00BB108B" w:rsidRDefault="00794C6D">
            <w:pPr>
              <w:jc w:val="center"/>
            </w:pPr>
            <w:r>
              <w:rPr>
                <w:color w:val="000000"/>
                <w:sz w:val="24"/>
              </w:rPr>
              <w:t>1336 HK</w:t>
            </w:r>
          </w:p>
        </w:tc>
        <w:tc>
          <w:tcPr>
            <w:tcW w:w="747" w:type="dxa"/>
            <w:vAlign w:val="center"/>
          </w:tcPr>
          <w:p w:rsidR="00BB108B" w:rsidRDefault="00794C6D">
            <w:pPr>
              <w:jc w:val="center"/>
            </w:pPr>
            <w:r>
              <w:rPr>
                <w:color w:val="000000"/>
                <w:sz w:val="24"/>
              </w:rPr>
              <w:t>香港证券交易所</w:t>
            </w:r>
          </w:p>
        </w:tc>
        <w:tc>
          <w:tcPr>
            <w:tcW w:w="975" w:type="dxa"/>
            <w:vAlign w:val="center"/>
          </w:tcPr>
          <w:p w:rsidR="00BB108B" w:rsidRDefault="00794C6D">
            <w:pPr>
              <w:jc w:val="center"/>
            </w:pPr>
            <w:r>
              <w:rPr>
                <w:color w:val="000000"/>
                <w:sz w:val="24"/>
              </w:rPr>
              <w:t>香港</w:t>
            </w:r>
          </w:p>
        </w:tc>
        <w:tc>
          <w:tcPr>
            <w:tcW w:w="1175" w:type="dxa"/>
            <w:vAlign w:val="center"/>
          </w:tcPr>
          <w:p w:rsidR="00BB108B" w:rsidRDefault="00794C6D">
            <w:pPr>
              <w:jc w:val="right"/>
            </w:pPr>
            <w:r>
              <w:rPr>
                <w:color w:val="000000"/>
                <w:sz w:val="24"/>
              </w:rPr>
              <w:t>60,000</w:t>
            </w:r>
          </w:p>
        </w:tc>
        <w:tc>
          <w:tcPr>
            <w:tcW w:w="975" w:type="dxa"/>
            <w:vAlign w:val="center"/>
          </w:tcPr>
          <w:p w:rsidR="00BB108B" w:rsidRDefault="00794C6D">
            <w:pPr>
              <w:jc w:val="right"/>
            </w:pPr>
            <w:r>
              <w:rPr>
                <w:color w:val="000000"/>
                <w:sz w:val="24"/>
              </w:rPr>
              <w:t>2,251,090.20</w:t>
            </w:r>
          </w:p>
        </w:tc>
        <w:tc>
          <w:tcPr>
            <w:tcW w:w="1175" w:type="dxa"/>
            <w:vAlign w:val="center"/>
          </w:tcPr>
          <w:p w:rsidR="00BB108B" w:rsidRDefault="00794C6D">
            <w:pPr>
              <w:jc w:val="right"/>
            </w:pPr>
            <w:r>
              <w:rPr>
                <w:color w:val="000000"/>
                <w:sz w:val="24"/>
              </w:rPr>
              <w:t>1.92</w:t>
            </w:r>
          </w:p>
        </w:tc>
      </w:tr>
      <w:tr w:rsidR="00BB108B">
        <w:trPr>
          <w:jc w:val="center"/>
        </w:trPr>
        <w:tc>
          <w:tcPr>
            <w:tcW w:w="1243" w:type="dxa"/>
            <w:vAlign w:val="center"/>
          </w:tcPr>
          <w:p w:rsidR="00BB108B" w:rsidRDefault="00794C6D">
            <w:pPr>
              <w:jc w:val="center"/>
            </w:pPr>
            <w:r>
              <w:rPr>
                <w:color w:val="000000"/>
                <w:sz w:val="24"/>
              </w:rPr>
              <w:t>9</w:t>
            </w:r>
          </w:p>
        </w:tc>
        <w:tc>
          <w:tcPr>
            <w:tcW w:w="971" w:type="dxa"/>
            <w:vAlign w:val="center"/>
          </w:tcPr>
          <w:p w:rsidR="00BB108B" w:rsidRDefault="00794C6D">
            <w:pPr>
              <w:jc w:val="center"/>
            </w:pPr>
            <w:r>
              <w:rPr>
                <w:color w:val="000000"/>
                <w:sz w:val="24"/>
              </w:rPr>
              <w:t>Comcast Corporation</w:t>
            </w:r>
          </w:p>
        </w:tc>
        <w:tc>
          <w:tcPr>
            <w:tcW w:w="993" w:type="dxa"/>
            <w:vAlign w:val="center"/>
          </w:tcPr>
          <w:p w:rsidR="00BB108B" w:rsidRDefault="00794C6D">
            <w:pPr>
              <w:jc w:val="center"/>
            </w:pPr>
            <w:r>
              <w:rPr>
                <w:color w:val="000000"/>
                <w:sz w:val="24"/>
              </w:rPr>
              <w:t>康卡斯特公司</w:t>
            </w:r>
          </w:p>
        </w:tc>
        <w:tc>
          <w:tcPr>
            <w:tcW w:w="725" w:type="dxa"/>
            <w:vAlign w:val="center"/>
          </w:tcPr>
          <w:p w:rsidR="00BB108B" w:rsidRDefault="00794C6D">
            <w:pPr>
              <w:jc w:val="center"/>
            </w:pPr>
            <w:r>
              <w:rPr>
                <w:color w:val="000000"/>
                <w:sz w:val="24"/>
              </w:rPr>
              <w:t>CMCSA US</w:t>
            </w:r>
          </w:p>
        </w:tc>
        <w:tc>
          <w:tcPr>
            <w:tcW w:w="747" w:type="dxa"/>
            <w:vAlign w:val="center"/>
          </w:tcPr>
          <w:p w:rsidR="00BB108B" w:rsidRDefault="00794C6D">
            <w:pPr>
              <w:jc w:val="center"/>
            </w:pPr>
            <w:r>
              <w:rPr>
                <w:color w:val="000000"/>
                <w:sz w:val="24"/>
              </w:rPr>
              <w:t>美国证券交易所</w:t>
            </w:r>
          </w:p>
        </w:tc>
        <w:tc>
          <w:tcPr>
            <w:tcW w:w="975" w:type="dxa"/>
            <w:vAlign w:val="center"/>
          </w:tcPr>
          <w:p w:rsidR="00BB108B" w:rsidRDefault="00794C6D">
            <w:pPr>
              <w:jc w:val="center"/>
            </w:pPr>
            <w:r>
              <w:rPr>
                <w:color w:val="000000"/>
                <w:sz w:val="24"/>
              </w:rPr>
              <w:t>美国</w:t>
            </w:r>
          </w:p>
        </w:tc>
        <w:tc>
          <w:tcPr>
            <w:tcW w:w="1175" w:type="dxa"/>
            <w:vAlign w:val="center"/>
          </w:tcPr>
          <w:p w:rsidR="00BB108B" w:rsidRDefault="00794C6D">
            <w:pPr>
              <w:jc w:val="right"/>
            </w:pPr>
            <w:r>
              <w:rPr>
                <w:color w:val="000000"/>
                <w:sz w:val="24"/>
              </w:rPr>
              <w:t>8,746</w:t>
            </w:r>
          </w:p>
        </w:tc>
        <w:tc>
          <w:tcPr>
            <w:tcW w:w="975" w:type="dxa"/>
            <w:vAlign w:val="center"/>
          </w:tcPr>
          <w:p w:rsidR="00BB108B" w:rsidRDefault="00794C6D">
            <w:pPr>
              <w:jc w:val="right"/>
            </w:pPr>
            <w:r>
              <w:rPr>
                <w:color w:val="000000"/>
                <w:sz w:val="24"/>
              </w:rPr>
              <w:t>2,233,622.68</w:t>
            </w:r>
          </w:p>
        </w:tc>
        <w:tc>
          <w:tcPr>
            <w:tcW w:w="1175" w:type="dxa"/>
            <w:vAlign w:val="center"/>
          </w:tcPr>
          <w:p w:rsidR="00BB108B" w:rsidRDefault="00794C6D">
            <w:pPr>
              <w:jc w:val="right"/>
            </w:pPr>
            <w:r>
              <w:rPr>
                <w:color w:val="000000"/>
                <w:sz w:val="24"/>
              </w:rPr>
              <w:t>1.91</w:t>
            </w:r>
          </w:p>
        </w:tc>
      </w:tr>
      <w:tr w:rsidR="00BB108B">
        <w:trPr>
          <w:jc w:val="center"/>
        </w:trPr>
        <w:tc>
          <w:tcPr>
            <w:tcW w:w="1243" w:type="dxa"/>
            <w:vAlign w:val="center"/>
          </w:tcPr>
          <w:p w:rsidR="00BB108B" w:rsidRDefault="00794C6D">
            <w:pPr>
              <w:jc w:val="center"/>
            </w:pPr>
            <w:r>
              <w:rPr>
                <w:color w:val="000000"/>
                <w:sz w:val="24"/>
              </w:rPr>
              <w:t>10</w:t>
            </w:r>
          </w:p>
        </w:tc>
        <w:tc>
          <w:tcPr>
            <w:tcW w:w="971" w:type="dxa"/>
            <w:vAlign w:val="center"/>
          </w:tcPr>
          <w:p w:rsidR="00BB108B" w:rsidRDefault="00794C6D">
            <w:pPr>
              <w:jc w:val="center"/>
            </w:pPr>
            <w:r>
              <w:rPr>
                <w:color w:val="000000"/>
                <w:sz w:val="24"/>
              </w:rPr>
              <w:t>CSPC Pharmaceutical Group Limited</w:t>
            </w:r>
          </w:p>
        </w:tc>
        <w:tc>
          <w:tcPr>
            <w:tcW w:w="993" w:type="dxa"/>
            <w:vAlign w:val="center"/>
          </w:tcPr>
          <w:p w:rsidR="00BB108B" w:rsidRDefault="00794C6D">
            <w:pPr>
              <w:jc w:val="center"/>
            </w:pPr>
            <w:r>
              <w:rPr>
                <w:color w:val="000000"/>
                <w:sz w:val="24"/>
              </w:rPr>
              <w:t>石药集团有限公司</w:t>
            </w:r>
          </w:p>
        </w:tc>
        <w:tc>
          <w:tcPr>
            <w:tcW w:w="725" w:type="dxa"/>
            <w:vAlign w:val="center"/>
          </w:tcPr>
          <w:p w:rsidR="00BB108B" w:rsidRDefault="00794C6D">
            <w:pPr>
              <w:jc w:val="center"/>
            </w:pPr>
            <w:r>
              <w:rPr>
                <w:color w:val="000000"/>
                <w:sz w:val="24"/>
              </w:rPr>
              <w:t>1093 HK</w:t>
            </w:r>
          </w:p>
        </w:tc>
        <w:tc>
          <w:tcPr>
            <w:tcW w:w="747" w:type="dxa"/>
            <w:vAlign w:val="center"/>
          </w:tcPr>
          <w:p w:rsidR="00BB108B" w:rsidRDefault="00794C6D">
            <w:pPr>
              <w:jc w:val="center"/>
            </w:pPr>
            <w:r>
              <w:rPr>
                <w:color w:val="000000"/>
                <w:sz w:val="24"/>
              </w:rPr>
              <w:t>香港证券交易所</w:t>
            </w:r>
          </w:p>
        </w:tc>
        <w:tc>
          <w:tcPr>
            <w:tcW w:w="975" w:type="dxa"/>
            <w:vAlign w:val="center"/>
          </w:tcPr>
          <w:p w:rsidR="00BB108B" w:rsidRDefault="00794C6D">
            <w:pPr>
              <w:jc w:val="center"/>
            </w:pPr>
            <w:r>
              <w:rPr>
                <w:color w:val="000000"/>
                <w:sz w:val="24"/>
              </w:rPr>
              <w:t>香港</w:t>
            </w:r>
          </w:p>
        </w:tc>
        <w:tc>
          <w:tcPr>
            <w:tcW w:w="1175" w:type="dxa"/>
            <w:vAlign w:val="center"/>
          </w:tcPr>
          <w:p w:rsidR="00BB108B" w:rsidRDefault="00794C6D">
            <w:pPr>
              <w:jc w:val="right"/>
            </w:pPr>
            <w:r>
              <w:rPr>
                <w:color w:val="000000"/>
                <w:sz w:val="24"/>
              </w:rPr>
              <w:t>200,000</w:t>
            </w:r>
          </w:p>
        </w:tc>
        <w:tc>
          <w:tcPr>
            <w:tcW w:w="975" w:type="dxa"/>
            <w:vAlign w:val="center"/>
          </w:tcPr>
          <w:p w:rsidR="00BB108B" w:rsidRDefault="00794C6D">
            <w:pPr>
              <w:jc w:val="right"/>
            </w:pPr>
            <w:r>
              <w:rPr>
                <w:color w:val="000000"/>
                <w:sz w:val="24"/>
              </w:rPr>
              <w:t>2,223,047.18</w:t>
            </w:r>
          </w:p>
        </w:tc>
        <w:tc>
          <w:tcPr>
            <w:tcW w:w="1175" w:type="dxa"/>
            <w:vAlign w:val="center"/>
          </w:tcPr>
          <w:p w:rsidR="00BB108B" w:rsidRDefault="00794C6D">
            <w:pPr>
              <w:jc w:val="right"/>
            </w:pPr>
            <w:r>
              <w:rPr>
                <w:color w:val="000000"/>
                <w:sz w:val="24"/>
              </w:rPr>
              <w:t>1.90</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lastRenderedPageBreak/>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153,246.18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590.99</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101,862.84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255,700.01</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lastRenderedPageBreak/>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69,554,155.24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2,939,597.53</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6,951,483.24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65,542,269.53</w:t>
            </w:r>
          </w:p>
        </w:tc>
      </w:tr>
    </w:tbl>
    <w:p w:rsidR="00BB108B" w:rsidRDefault="00794C6D">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26,054,355.51</w:t>
      </w:r>
      <w:r w:rsidRPr="008640AE">
        <w:rPr>
          <w:color w:val="000000"/>
          <w:sz w:val="24"/>
        </w:rPr>
        <w:t>份，占本基金期末总份额的</w:t>
      </w:r>
      <w:r w:rsidRPr="008640AE">
        <w:rPr>
          <w:color w:val="000000"/>
          <w:sz w:val="24"/>
        </w:rPr>
        <w:t>39.75%</w:t>
      </w:r>
      <w:r w:rsidRPr="008640AE">
        <w:rPr>
          <w:color w:val="000000"/>
          <w:sz w:val="24"/>
        </w:rPr>
        <w:t>。</w:t>
      </w:r>
    </w:p>
    <w:p w:rsidR="00200B62" w:rsidRDefault="00200B62" w:rsidP="005546C0">
      <w:pPr>
        <w:autoSpaceDE w:val="0"/>
        <w:autoSpaceDN w:val="0"/>
        <w:adjustRightInd w:val="0"/>
        <w:spacing w:before="29" w:line="288" w:lineRule="auto"/>
        <w:jc w:val="left"/>
        <w:rPr>
          <w:color w:val="000000"/>
          <w:sz w:val="24"/>
        </w:rPr>
      </w:pPr>
    </w:p>
    <w:p w:rsidR="00BC3970" w:rsidRPr="00BC3970" w:rsidRDefault="00BC3970" w:rsidP="005546C0">
      <w:pPr>
        <w:autoSpaceDE w:val="0"/>
        <w:autoSpaceDN w:val="0"/>
        <w:adjustRightInd w:val="0"/>
        <w:spacing w:before="29" w:line="288" w:lineRule="auto"/>
        <w:jc w:val="left"/>
        <w:rPr>
          <w:color w:val="000000"/>
          <w:sz w:val="24"/>
        </w:rPr>
      </w:pPr>
    </w:p>
    <w:p w:rsidR="00ED3DCF" w:rsidRDefault="00ED3DCF" w:rsidP="00ED3DCF">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ED3DCF" w:rsidRDefault="00ED3DCF" w:rsidP="00ED3DCF">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3DCF" w:rsidRPr="00BC3970" w:rsidTr="00ED3DCF">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autoSpaceDE w:val="0"/>
              <w:autoSpaceDN w:val="0"/>
              <w:adjustRightInd w:val="0"/>
              <w:jc w:val="center"/>
              <w:rPr>
                <w:b/>
                <w:bCs/>
                <w:color w:val="000000"/>
                <w:kern w:val="0"/>
                <w:sz w:val="24"/>
                <w:szCs w:val="21"/>
              </w:rPr>
            </w:pPr>
            <w:r w:rsidRPr="0012539F">
              <w:rPr>
                <w:rFonts w:hint="eastAsia"/>
                <w:color w:val="000000"/>
                <w:kern w:val="0"/>
                <w:sz w:val="24"/>
                <w:szCs w:val="21"/>
              </w:rPr>
              <w:t>投资者类别</w:t>
            </w:r>
            <w:r w:rsidRPr="0012539F">
              <w:rPr>
                <w:color w:val="000000"/>
                <w:kern w:val="0"/>
                <w:sz w:val="24"/>
                <w:szCs w:val="21"/>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autoSpaceDE w:val="0"/>
              <w:autoSpaceDN w:val="0"/>
              <w:adjustRightInd w:val="0"/>
              <w:jc w:val="center"/>
              <w:rPr>
                <w:b/>
                <w:bCs/>
                <w:color w:val="000000"/>
                <w:kern w:val="0"/>
                <w:sz w:val="24"/>
                <w:szCs w:val="21"/>
              </w:rPr>
            </w:pPr>
            <w:r w:rsidRPr="0012539F">
              <w:rPr>
                <w:rFonts w:hint="eastAsia"/>
                <w:color w:val="000000"/>
                <w:kern w:val="0"/>
                <w:sz w:val="24"/>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autoSpaceDE w:val="0"/>
              <w:autoSpaceDN w:val="0"/>
              <w:adjustRightInd w:val="0"/>
              <w:jc w:val="center"/>
              <w:rPr>
                <w:b/>
                <w:bCs/>
                <w:color w:val="000000"/>
                <w:kern w:val="0"/>
                <w:sz w:val="24"/>
                <w:szCs w:val="21"/>
              </w:rPr>
            </w:pPr>
            <w:r w:rsidRPr="0012539F">
              <w:rPr>
                <w:rFonts w:hint="eastAsia"/>
                <w:color w:val="000000"/>
                <w:kern w:val="0"/>
                <w:sz w:val="24"/>
                <w:szCs w:val="21"/>
              </w:rPr>
              <w:t>报告期末持有基金情况</w:t>
            </w:r>
          </w:p>
        </w:tc>
      </w:tr>
      <w:tr w:rsidR="00ED3DCF" w:rsidRPr="00BC3970" w:rsidTr="00ED3DCF">
        <w:tc>
          <w:tcPr>
            <w:tcW w:w="993" w:type="dxa"/>
            <w:vMerge/>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widowControl/>
              <w:jc w:val="left"/>
              <w:rPr>
                <w:b/>
                <w:bCs/>
                <w:color w:val="000000"/>
                <w:kern w:val="0"/>
                <w:sz w:val="24"/>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autoSpaceDE w:val="0"/>
              <w:autoSpaceDN w:val="0"/>
              <w:adjustRightInd w:val="0"/>
              <w:jc w:val="center"/>
              <w:rPr>
                <w:b/>
                <w:bCs/>
                <w:color w:val="000000"/>
                <w:kern w:val="0"/>
                <w:sz w:val="24"/>
                <w:szCs w:val="21"/>
              </w:rPr>
            </w:pPr>
            <w:r w:rsidRPr="0012539F">
              <w:rPr>
                <w:rFonts w:hint="eastAsia"/>
                <w:color w:val="000000"/>
                <w:kern w:val="0"/>
                <w:sz w:val="24"/>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autoSpaceDE w:val="0"/>
              <w:autoSpaceDN w:val="0"/>
              <w:adjustRightInd w:val="0"/>
              <w:jc w:val="center"/>
              <w:rPr>
                <w:b/>
                <w:bCs/>
                <w:color w:val="000000"/>
                <w:kern w:val="0"/>
                <w:sz w:val="24"/>
                <w:szCs w:val="21"/>
              </w:rPr>
            </w:pPr>
            <w:r w:rsidRPr="0012539F">
              <w:rPr>
                <w:rFonts w:hint="eastAsia"/>
                <w:color w:val="000000"/>
                <w:kern w:val="0"/>
                <w:sz w:val="24"/>
                <w:szCs w:val="21"/>
              </w:rPr>
              <w:t>持有基金份额比例达到或者超过</w:t>
            </w:r>
            <w:r w:rsidRPr="0012539F">
              <w:rPr>
                <w:color w:val="000000"/>
                <w:kern w:val="0"/>
                <w:sz w:val="24"/>
                <w:szCs w:val="21"/>
              </w:rPr>
              <w:t>20%</w:t>
            </w:r>
            <w:r w:rsidRPr="0012539F">
              <w:rPr>
                <w:rFonts w:hint="eastAsia"/>
                <w:color w:val="000000"/>
                <w:kern w:val="0"/>
                <w:sz w:val="24"/>
                <w:szCs w:val="21"/>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widowControl/>
              <w:jc w:val="center"/>
              <w:rPr>
                <w:b/>
                <w:bCs/>
                <w:color w:val="000000"/>
                <w:kern w:val="0"/>
                <w:sz w:val="24"/>
                <w:szCs w:val="21"/>
              </w:rPr>
            </w:pPr>
            <w:r w:rsidRPr="0012539F">
              <w:rPr>
                <w:rFonts w:hint="eastAsia"/>
                <w:color w:val="000000"/>
                <w:kern w:val="0"/>
                <w:sz w:val="24"/>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widowControl/>
              <w:jc w:val="center"/>
              <w:rPr>
                <w:b/>
                <w:bCs/>
                <w:color w:val="000000"/>
                <w:kern w:val="0"/>
                <w:sz w:val="24"/>
                <w:szCs w:val="21"/>
              </w:rPr>
            </w:pPr>
            <w:r w:rsidRPr="0012539F">
              <w:rPr>
                <w:rFonts w:hint="eastAsia"/>
                <w:color w:val="000000"/>
                <w:kern w:val="0"/>
                <w:sz w:val="24"/>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widowControl/>
              <w:jc w:val="center"/>
              <w:rPr>
                <w:b/>
                <w:bCs/>
                <w:color w:val="000000"/>
                <w:kern w:val="0"/>
                <w:sz w:val="24"/>
                <w:szCs w:val="21"/>
              </w:rPr>
            </w:pPr>
            <w:r w:rsidRPr="0012539F">
              <w:rPr>
                <w:rFonts w:hint="eastAsia"/>
                <w:color w:val="000000"/>
                <w:kern w:val="0"/>
                <w:sz w:val="24"/>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autoSpaceDE w:val="0"/>
              <w:autoSpaceDN w:val="0"/>
              <w:adjustRightInd w:val="0"/>
              <w:jc w:val="center"/>
              <w:rPr>
                <w:b/>
                <w:bCs/>
                <w:color w:val="000000"/>
                <w:kern w:val="0"/>
                <w:sz w:val="24"/>
                <w:szCs w:val="21"/>
              </w:rPr>
            </w:pPr>
            <w:r w:rsidRPr="0012539F">
              <w:rPr>
                <w:rFonts w:hint="eastAsia"/>
                <w:color w:val="000000"/>
                <w:kern w:val="0"/>
                <w:sz w:val="24"/>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autoSpaceDE w:val="0"/>
              <w:autoSpaceDN w:val="0"/>
              <w:adjustRightInd w:val="0"/>
              <w:jc w:val="center"/>
              <w:rPr>
                <w:b/>
                <w:bCs/>
                <w:color w:val="000000"/>
                <w:kern w:val="0"/>
                <w:sz w:val="24"/>
                <w:szCs w:val="21"/>
              </w:rPr>
            </w:pPr>
            <w:r w:rsidRPr="0012539F">
              <w:rPr>
                <w:rFonts w:hint="eastAsia"/>
                <w:color w:val="000000"/>
                <w:kern w:val="0"/>
                <w:sz w:val="24"/>
                <w:szCs w:val="21"/>
              </w:rPr>
              <w:t>份额占比</w:t>
            </w:r>
          </w:p>
        </w:tc>
      </w:tr>
      <w:tr w:rsidR="00BB108B" w:rsidRPr="00BC3970">
        <w:tc>
          <w:tcPr>
            <w:tcW w:w="992" w:type="dxa"/>
          </w:tcPr>
          <w:p w:rsidR="00BB108B" w:rsidRPr="0012539F" w:rsidRDefault="00BB108B">
            <w:pPr>
              <w:rPr>
                <w:sz w:val="24"/>
              </w:rPr>
            </w:pPr>
          </w:p>
          <w:p w:rsidR="00BB108B" w:rsidRPr="0012539F" w:rsidRDefault="00794C6D">
            <w:pPr>
              <w:rPr>
                <w:sz w:val="24"/>
              </w:rPr>
            </w:pPr>
            <w:r w:rsidRPr="0012539F">
              <w:rPr>
                <w:rFonts w:hint="eastAsia"/>
                <w:bCs/>
                <w:color w:val="000000"/>
                <w:kern w:val="0"/>
                <w:sz w:val="24"/>
                <w:szCs w:val="21"/>
              </w:rPr>
              <w:t>机构</w:t>
            </w:r>
          </w:p>
        </w:tc>
        <w:tc>
          <w:tcPr>
            <w:tcW w:w="991" w:type="dxa"/>
            <w:vAlign w:val="center"/>
          </w:tcPr>
          <w:p w:rsidR="00BB108B" w:rsidRPr="0012539F" w:rsidRDefault="00794C6D">
            <w:pPr>
              <w:jc w:val="center"/>
              <w:rPr>
                <w:sz w:val="24"/>
              </w:rPr>
            </w:pPr>
            <w:r w:rsidRPr="0012539F">
              <w:rPr>
                <w:color w:val="000000"/>
                <w:kern w:val="0"/>
                <w:sz w:val="24"/>
                <w:szCs w:val="21"/>
              </w:rPr>
              <w:t>1</w:t>
            </w:r>
          </w:p>
        </w:tc>
        <w:tc>
          <w:tcPr>
            <w:tcW w:w="1843" w:type="dxa"/>
            <w:vAlign w:val="center"/>
          </w:tcPr>
          <w:p w:rsidR="00BB108B" w:rsidRPr="0012539F" w:rsidRDefault="00794C6D">
            <w:pPr>
              <w:jc w:val="center"/>
              <w:rPr>
                <w:sz w:val="24"/>
              </w:rPr>
            </w:pPr>
            <w:r w:rsidRPr="0012539F">
              <w:rPr>
                <w:color w:val="000000"/>
                <w:kern w:val="0"/>
                <w:sz w:val="24"/>
                <w:szCs w:val="21"/>
              </w:rPr>
              <w:t>2017/7/1-2017/9/30</w:t>
            </w:r>
          </w:p>
        </w:tc>
        <w:tc>
          <w:tcPr>
            <w:tcW w:w="851" w:type="dxa"/>
            <w:vAlign w:val="center"/>
          </w:tcPr>
          <w:p w:rsidR="00BB108B" w:rsidRPr="0012539F" w:rsidRDefault="00794C6D">
            <w:pPr>
              <w:jc w:val="center"/>
              <w:rPr>
                <w:sz w:val="24"/>
              </w:rPr>
            </w:pPr>
            <w:r w:rsidRPr="0012539F">
              <w:rPr>
                <w:color w:val="000000"/>
                <w:kern w:val="0"/>
                <w:sz w:val="24"/>
                <w:szCs w:val="21"/>
              </w:rPr>
              <w:t>26,054,355.</w:t>
            </w:r>
            <w:r w:rsidRPr="0012539F">
              <w:rPr>
                <w:color w:val="000000"/>
                <w:kern w:val="0"/>
                <w:sz w:val="24"/>
                <w:szCs w:val="21"/>
              </w:rPr>
              <w:lastRenderedPageBreak/>
              <w:t>51</w:t>
            </w:r>
          </w:p>
        </w:tc>
        <w:tc>
          <w:tcPr>
            <w:tcW w:w="850" w:type="dxa"/>
            <w:vAlign w:val="center"/>
          </w:tcPr>
          <w:p w:rsidR="00BB108B" w:rsidRPr="0012539F" w:rsidRDefault="00794C6D">
            <w:pPr>
              <w:jc w:val="center"/>
              <w:rPr>
                <w:sz w:val="24"/>
              </w:rPr>
            </w:pPr>
            <w:r w:rsidRPr="0012539F">
              <w:rPr>
                <w:color w:val="000000"/>
                <w:kern w:val="0"/>
                <w:sz w:val="24"/>
                <w:szCs w:val="21"/>
              </w:rPr>
              <w:lastRenderedPageBreak/>
              <w:t>-</w:t>
            </w:r>
          </w:p>
        </w:tc>
        <w:tc>
          <w:tcPr>
            <w:tcW w:w="1134" w:type="dxa"/>
            <w:vAlign w:val="center"/>
          </w:tcPr>
          <w:p w:rsidR="00BB108B" w:rsidRPr="0012539F" w:rsidRDefault="00794C6D">
            <w:pPr>
              <w:jc w:val="center"/>
              <w:rPr>
                <w:sz w:val="24"/>
              </w:rPr>
            </w:pPr>
            <w:r w:rsidRPr="0012539F">
              <w:rPr>
                <w:color w:val="000000"/>
                <w:kern w:val="0"/>
                <w:sz w:val="24"/>
                <w:szCs w:val="21"/>
              </w:rPr>
              <w:t>-</w:t>
            </w:r>
          </w:p>
        </w:tc>
        <w:tc>
          <w:tcPr>
            <w:tcW w:w="1419" w:type="dxa"/>
            <w:vAlign w:val="center"/>
          </w:tcPr>
          <w:p w:rsidR="00BB108B" w:rsidRPr="0012539F" w:rsidRDefault="00794C6D">
            <w:pPr>
              <w:jc w:val="center"/>
              <w:rPr>
                <w:sz w:val="24"/>
              </w:rPr>
            </w:pPr>
            <w:r w:rsidRPr="0012539F">
              <w:rPr>
                <w:color w:val="000000"/>
                <w:kern w:val="0"/>
                <w:sz w:val="24"/>
                <w:szCs w:val="21"/>
              </w:rPr>
              <w:t>26,054,355.51</w:t>
            </w:r>
          </w:p>
        </w:tc>
        <w:tc>
          <w:tcPr>
            <w:tcW w:w="1130" w:type="dxa"/>
            <w:vAlign w:val="center"/>
          </w:tcPr>
          <w:p w:rsidR="00BB108B" w:rsidRPr="0012539F" w:rsidRDefault="00794C6D" w:rsidP="00BC3970">
            <w:pPr>
              <w:jc w:val="center"/>
              <w:rPr>
                <w:sz w:val="24"/>
              </w:rPr>
            </w:pPr>
            <w:r w:rsidRPr="0012539F">
              <w:rPr>
                <w:color w:val="000000"/>
                <w:kern w:val="0"/>
                <w:sz w:val="24"/>
                <w:szCs w:val="21"/>
              </w:rPr>
              <w:t>39.</w:t>
            </w:r>
            <w:r w:rsidR="00BC3970" w:rsidRPr="0012539F">
              <w:rPr>
                <w:color w:val="000000"/>
                <w:kern w:val="0"/>
                <w:sz w:val="24"/>
                <w:szCs w:val="21"/>
              </w:rPr>
              <w:t>75</w:t>
            </w:r>
            <w:r w:rsidRPr="0012539F">
              <w:rPr>
                <w:color w:val="000000"/>
                <w:kern w:val="0"/>
                <w:sz w:val="24"/>
                <w:szCs w:val="21"/>
              </w:rPr>
              <w:t>%</w:t>
            </w:r>
          </w:p>
        </w:tc>
      </w:tr>
      <w:tr w:rsidR="00ED3DCF" w:rsidRPr="00BC3970"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autoSpaceDE w:val="0"/>
              <w:autoSpaceDN w:val="0"/>
              <w:adjustRightInd w:val="0"/>
              <w:jc w:val="center"/>
              <w:rPr>
                <w:kern w:val="0"/>
                <w:sz w:val="24"/>
                <w:szCs w:val="21"/>
              </w:rPr>
            </w:pPr>
            <w:r w:rsidRPr="0012539F">
              <w:rPr>
                <w:rFonts w:hint="eastAsia"/>
                <w:color w:val="000000"/>
                <w:kern w:val="0"/>
                <w:sz w:val="24"/>
                <w:szCs w:val="21"/>
              </w:rPr>
              <w:lastRenderedPageBreak/>
              <w:t>产品特有风险</w:t>
            </w:r>
          </w:p>
        </w:tc>
      </w:tr>
      <w:tr w:rsidR="00ED3DCF" w:rsidRPr="00BC3970" w:rsidTr="00ED3DCF">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3DCF" w:rsidRPr="0012539F" w:rsidRDefault="00ED3DCF">
            <w:pPr>
              <w:autoSpaceDE w:val="0"/>
              <w:autoSpaceDN w:val="0"/>
              <w:adjustRightInd w:val="0"/>
              <w:jc w:val="left"/>
              <w:rPr>
                <w:kern w:val="0"/>
                <w:sz w:val="24"/>
                <w:szCs w:val="21"/>
              </w:rPr>
            </w:pPr>
            <w:r w:rsidRPr="0012539F">
              <w:rPr>
                <w:rFonts w:hint="eastAsia"/>
                <w:kern w:val="0"/>
                <w:sz w:val="24"/>
                <w:szCs w:val="21"/>
              </w:rPr>
              <w:t>本基金本报告期内出现单一投资者持有基金份额比例超过基金总份额</w:t>
            </w:r>
            <w:r w:rsidRPr="0012539F">
              <w:rPr>
                <w:kern w:val="0"/>
                <w:sz w:val="24"/>
                <w:szCs w:val="21"/>
              </w:rPr>
              <w:t>20%</w:t>
            </w:r>
            <w:r w:rsidRPr="0012539F">
              <w:rPr>
                <w:rFonts w:hint="eastAsia"/>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76518F" w:rsidRPr="008640AE" w:rsidRDefault="0076518F" w:rsidP="00ED3DCF">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9</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BB108B" w:rsidRDefault="00794C6D">
      <w:pPr>
        <w:spacing w:before="29" w:line="288" w:lineRule="auto"/>
        <w:ind w:firstLineChars="200" w:firstLine="480"/>
        <w:rPr>
          <w:color w:val="000000"/>
          <w:sz w:val="24"/>
        </w:rPr>
      </w:pPr>
      <w:r>
        <w:rPr>
          <w:color w:val="000000"/>
          <w:sz w:val="24"/>
        </w:rPr>
        <w:t>1</w:t>
      </w:r>
      <w:r>
        <w:rPr>
          <w:color w:val="000000"/>
          <w:sz w:val="24"/>
        </w:rPr>
        <w:t>、中国证监会批准交银施罗德环球精选价值证券投资基金募集的文件；</w:t>
      </w:r>
    </w:p>
    <w:p w:rsidR="00BB108B" w:rsidRDefault="00794C6D">
      <w:pPr>
        <w:spacing w:before="29" w:line="288" w:lineRule="auto"/>
        <w:ind w:firstLineChars="200" w:firstLine="480"/>
        <w:rPr>
          <w:color w:val="000000"/>
          <w:sz w:val="24"/>
        </w:rPr>
      </w:pPr>
      <w:r>
        <w:rPr>
          <w:color w:val="000000"/>
          <w:sz w:val="24"/>
        </w:rPr>
        <w:t>2</w:t>
      </w:r>
      <w:r>
        <w:rPr>
          <w:color w:val="000000"/>
          <w:sz w:val="24"/>
        </w:rPr>
        <w:t>、《交银施罗德环球精选价值证券投资基金基金合同》；</w:t>
      </w:r>
    </w:p>
    <w:p w:rsidR="00BB108B" w:rsidRDefault="00794C6D">
      <w:pPr>
        <w:spacing w:before="29" w:line="288" w:lineRule="auto"/>
        <w:ind w:firstLineChars="200" w:firstLine="480"/>
        <w:rPr>
          <w:color w:val="000000"/>
          <w:sz w:val="24"/>
        </w:rPr>
      </w:pPr>
      <w:r>
        <w:rPr>
          <w:color w:val="000000"/>
          <w:sz w:val="24"/>
        </w:rPr>
        <w:t>3</w:t>
      </w:r>
      <w:r>
        <w:rPr>
          <w:color w:val="000000"/>
          <w:sz w:val="24"/>
        </w:rPr>
        <w:t>、《交银施罗德环球精选价值证券投资基金招募说明书》；</w:t>
      </w:r>
    </w:p>
    <w:p w:rsidR="00BB108B" w:rsidRDefault="00794C6D">
      <w:pPr>
        <w:spacing w:before="29" w:line="288" w:lineRule="auto"/>
        <w:ind w:firstLineChars="200" w:firstLine="480"/>
        <w:rPr>
          <w:color w:val="000000"/>
          <w:sz w:val="24"/>
        </w:rPr>
      </w:pPr>
      <w:r>
        <w:rPr>
          <w:color w:val="000000"/>
          <w:sz w:val="24"/>
        </w:rPr>
        <w:t>4</w:t>
      </w:r>
      <w:r>
        <w:rPr>
          <w:color w:val="000000"/>
          <w:sz w:val="24"/>
        </w:rPr>
        <w:t>、《交银施罗德环球精选价值证券投资基金托管协议》；</w:t>
      </w:r>
      <w:r>
        <w:rPr>
          <w:color w:val="000000"/>
          <w:sz w:val="24"/>
        </w:rPr>
        <w:t xml:space="preserve"> </w:t>
      </w:r>
    </w:p>
    <w:p w:rsidR="00BB108B" w:rsidRDefault="00794C6D">
      <w:pPr>
        <w:spacing w:before="29" w:line="288" w:lineRule="auto"/>
        <w:ind w:firstLineChars="200" w:firstLine="480"/>
        <w:rPr>
          <w:color w:val="000000"/>
          <w:sz w:val="24"/>
        </w:rPr>
      </w:pPr>
      <w:r>
        <w:rPr>
          <w:color w:val="000000"/>
          <w:sz w:val="24"/>
        </w:rPr>
        <w:t>5</w:t>
      </w:r>
      <w:r>
        <w:rPr>
          <w:color w:val="000000"/>
          <w:sz w:val="24"/>
        </w:rPr>
        <w:t>、关于申请募集交银施罗德环球精选价值证券投资基金之法律意见书；</w:t>
      </w:r>
    </w:p>
    <w:p w:rsidR="00BB108B" w:rsidRDefault="00794C6D">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BB108B" w:rsidRDefault="00794C6D">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、报告期内交银施罗德环球精选价值证券投资基金在指定报刊上各项公告的原稿。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9</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BB108B" w:rsidRDefault="00794C6D">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354" w:rsidRDefault="00076354">
      <w:r>
        <w:separator/>
      </w:r>
    </w:p>
  </w:endnote>
  <w:endnote w:type="continuationSeparator" w:id="0">
    <w:p w:rsidR="00076354" w:rsidRDefault="00076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0C31D4">
      <w:rPr>
        <w:kern w:val="0"/>
        <w:szCs w:val="21"/>
      </w:rPr>
      <w:fldChar w:fldCharType="begin"/>
    </w:r>
    <w:r>
      <w:rPr>
        <w:kern w:val="0"/>
        <w:szCs w:val="21"/>
      </w:rPr>
      <w:instrText xml:space="preserve"> PAGE </w:instrText>
    </w:r>
    <w:r w:rsidR="000C31D4">
      <w:rPr>
        <w:kern w:val="0"/>
        <w:szCs w:val="21"/>
      </w:rPr>
      <w:fldChar w:fldCharType="separate"/>
    </w:r>
    <w:r w:rsidR="0012539F">
      <w:rPr>
        <w:noProof/>
        <w:kern w:val="0"/>
        <w:szCs w:val="21"/>
      </w:rPr>
      <w:t>1</w:t>
    </w:r>
    <w:r w:rsidR="000C31D4">
      <w:rPr>
        <w:kern w:val="0"/>
        <w:szCs w:val="21"/>
      </w:rPr>
      <w:fldChar w:fldCharType="end"/>
    </w:r>
    <w:r>
      <w:rPr>
        <w:rFonts w:hint="eastAsia"/>
        <w:kern w:val="0"/>
        <w:szCs w:val="21"/>
      </w:rPr>
      <w:t>页共</w:t>
    </w:r>
    <w:r w:rsidR="000C31D4">
      <w:rPr>
        <w:kern w:val="0"/>
        <w:szCs w:val="21"/>
      </w:rPr>
      <w:fldChar w:fldCharType="begin"/>
    </w:r>
    <w:r>
      <w:rPr>
        <w:kern w:val="0"/>
        <w:szCs w:val="21"/>
      </w:rPr>
      <w:instrText xml:space="preserve"> NUMPAGES </w:instrText>
    </w:r>
    <w:r w:rsidR="000C31D4">
      <w:rPr>
        <w:kern w:val="0"/>
        <w:szCs w:val="21"/>
      </w:rPr>
      <w:fldChar w:fldCharType="separate"/>
    </w:r>
    <w:r w:rsidR="0012539F">
      <w:rPr>
        <w:noProof/>
        <w:kern w:val="0"/>
        <w:szCs w:val="21"/>
      </w:rPr>
      <w:t>13</w:t>
    </w:r>
    <w:r w:rsidR="000C31D4">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0C31D4">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354" w:rsidRDefault="00076354">
      <w:r>
        <w:separator/>
      </w:r>
    </w:p>
  </w:footnote>
  <w:footnote w:type="continuationSeparator" w:id="0">
    <w:p w:rsidR="00076354" w:rsidRDefault="000763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207EBF" w:rsidRDefault="00121B69"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763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39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285E"/>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1B39"/>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4C6D"/>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17BF2"/>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08B"/>
    <w:rsid w:val="00BB1EB3"/>
    <w:rsid w:val="00BB2678"/>
    <w:rsid w:val="00BC2343"/>
    <w:rsid w:val="00BC3970"/>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2CE0"/>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536"/>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D9075956-E783-4BA2-B62B-B251D521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12462039">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777824182">
      <w:bodyDiv w:val="1"/>
      <w:marLeft w:val="0"/>
      <w:marRight w:val="0"/>
      <w:marTop w:val="0"/>
      <w:marBottom w:val="0"/>
      <w:divBdr>
        <w:top w:val="none" w:sz="0" w:space="0" w:color="auto"/>
        <w:left w:val="none" w:sz="0" w:space="0" w:color="auto"/>
        <w:bottom w:val="none" w:sz="0" w:space="0" w:color="auto"/>
        <w:right w:val="none" w:sz="0" w:space="0" w:color="auto"/>
      </w:divBdr>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 w:id="1980333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108</TotalTime>
  <Pages>13</Pages>
  <Words>1175</Words>
  <Characters>6701</Characters>
  <Application>Microsoft Office Word</Application>
  <DocSecurity>0</DocSecurity>
  <Lines>55</Lines>
  <Paragraphs>15</Paragraphs>
  <ScaleCrop>false</ScaleCrop>
  <Company>TRT. Ltd. Co.</Company>
  <LinksUpToDate>false</LinksUpToDate>
  <CharactersWithSpaces>7861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245</cp:revision>
  <cp:lastPrinted>2007-07-19T00:46:00Z</cp:lastPrinted>
  <dcterms:created xsi:type="dcterms:W3CDTF">2013-08-01T05:26:00Z</dcterms:created>
  <dcterms:modified xsi:type="dcterms:W3CDTF">2017-10-23T05:57:00Z</dcterms:modified>
</cp:coreProperties>
</file>