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交银施罗德优势行业灵活配置混合型证券投资基金</w:t>
      </w:r>
    </w:p>
    <w:p w:rsidR="001548F9" w:rsidRPr="005C672D" w:rsidRDefault="001548F9" w:rsidP="00AC6DDA">
      <w:pPr>
        <w:spacing w:before="29" w:line="288" w:lineRule="auto"/>
        <w:jc w:val="center"/>
        <w:rPr>
          <w:b/>
          <w:sz w:val="36"/>
          <w:szCs w:val="36"/>
        </w:rPr>
      </w:pPr>
      <w:r w:rsidRPr="005C672D">
        <w:rPr>
          <w:b/>
          <w:sz w:val="36"/>
          <w:szCs w:val="36"/>
        </w:rPr>
        <w:t>2017</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2017</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基金托管人：中国工商银行股份有限公司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报告送出日期：二〇一七年八月二十六日</w:t>
      </w:r>
    </w:p>
    <w:p w:rsidR="001548F9" w:rsidRPr="005C672D" w:rsidRDefault="001548F9" w:rsidP="00AC6DDA">
      <w:pPr>
        <w:spacing w:before="29" w:line="288" w:lineRule="auto"/>
        <w:ind w:firstLineChars="900" w:firstLine="2168"/>
        <w:rPr>
          <w:b/>
          <w:color w:val="000000"/>
          <w:sz w:val="24"/>
        </w:rPr>
        <w:sectPr w:rsidR="001548F9" w:rsidRPr="005C672D">
          <w:headerReference w:type="default" r:id="rId8"/>
          <w:pgSz w:w="11926" w:h="15840"/>
          <w:pgMar w:top="1418" w:right="1418" w:bottom="851" w:left="1418" w:header="851" w:footer="992" w:gutter="0"/>
          <w:cols w:space="720"/>
        </w:sect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w:t>
      </w:r>
      <w:proofErr w:type="gramStart"/>
      <w:r w:rsidRPr="005C672D">
        <w:rPr>
          <w:color w:val="000000"/>
          <w:sz w:val="24"/>
        </w:rPr>
        <w:t>本半年度</w:t>
      </w:r>
      <w:proofErr w:type="gramEnd"/>
      <w:r w:rsidRPr="005C672D">
        <w:rPr>
          <w:color w:val="000000"/>
          <w:sz w:val="24"/>
        </w:rPr>
        <w:t>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中国工商银行股份有限公司</w:t>
      </w:r>
      <w:r w:rsidRPr="005C672D">
        <w:rPr>
          <w:color w:val="000000"/>
          <w:sz w:val="24"/>
        </w:rPr>
        <w:t>根据本基金合同规定，于</w:t>
      </w:r>
      <w:r w:rsidRPr="005C672D">
        <w:rPr>
          <w:color w:val="000000"/>
          <w:sz w:val="24"/>
        </w:rPr>
        <w:t>2017</w:t>
      </w:r>
      <w:r w:rsidRPr="005C672D">
        <w:rPr>
          <w:color w:val="000000"/>
          <w:sz w:val="24"/>
        </w:rPr>
        <w:t>年</w:t>
      </w:r>
      <w:r w:rsidRPr="005C672D">
        <w:rPr>
          <w:color w:val="000000"/>
          <w:sz w:val="24"/>
        </w:rPr>
        <w:t>8</w:t>
      </w:r>
      <w:r w:rsidRPr="005C672D">
        <w:rPr>
          <w:color w:val="000000"/>
          <w:sz w:val="24"/>
        </w:rPr>
        <w:t>月</w:t>
      </w:r>
      <w:r w:rsidRPr="005C672D">
        <w:rPr>
          <w:color w:val="000000"/>
          <w:sz w:val="24"/>
        </w:rPr>
        <w:t>25</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w:t>
      </w:r>
      <w:proofErr w:type="gramStart"/>
      <w:r w:rsidRPr="005C672D">
        <w:rPr>
          <w:color w:val="000000"/>
          <w:sz w:val="24"/>
        </w:rPr>
        <w:t>作出</w:t>
      </w:r>
      <w:proofErr w:type="gramEnd"/>
      <w:r w:rsidRPr="005C672D">
        <w:rPr>
          <w:color w:val="000000"/>
          <w:sz w:val="24"/>
        </w:rPr>
        <w:t>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proofErr w:type="gramStart"/>
      <w:r w:rsidRPr="005C672D">
        <w:rPr>
          <w:color w:val="000000"/>
          <w:sz w:val="24"/>
        </w:rPr>
        <w:t>本半年度</w:t>
      </w:r>
      <w:proofErr w:type="gramEnd"/>
      <w:r w:rsidRPr="005C672D">
        <w:rPr>
          <w:color w:val="000000"/>
          <w:sz w:val="24"/>
        </w:rPr>
        <w:t>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2017</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3248DF">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5391"/>
      </w:tblGrid>
      <w:tr w:rsidR="001548F9" w:rsidRPr="005C672D" w:rsidTr="005914A2">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391" w:type="dxa"/>
            <w:vAlign w:val="center"/>
          </w:tcPr>
          <w:p w:rsidR="001548F9" w:rsidRPr="005C672D" w:rsidRDefault="001548F9" w:rsidP="00AC6DDA">
            <w:pPr>
              <w:spacing w:before="29" w:line="288" w:lineRule="auto"/>
              <w:jc w:val="center"/>
              <w:rPr>
                <w:sz w:val="24"/>
              </w:rPr>
            </w:pPr>
            <w:r w:rsidRPr="005C672D">
              <w:rPr>
                <w:sz w:val="24"/>
              </w:rPr>
              <w:t>交</w:t>
            </w:r>
            <w:proofErr w:type="gramStart"/>
            <w:r w:rsidRPr="005C672D">
              <w:rPr>
                <w:sz w:val="24"/>
              </w:rPr>
              <w:t>银优势</w:t>
            </w:r>
            <w:proofErr w:type="gramEnd"/>
            <w:r w:rsidRPr="005C672D">
              <w:rPr>
                <w:sz w:val="24"/>
              </w:rPr>
              <w:t>行业混合</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519697</w:t>
            </w:r>
          </w:p>
        </w:tc>
      </w:tr>
      <w:tr w:rsidR="005914A2" w:rsidRPr="005C672D" w:rsidTr="005914A2">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519697</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391" w:type="dxa"/>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391" w:type="dxa"/>
            <w:vAlign w:val="center"/>
          </w:tcPr>
          <w:p w:rsidR="005914A2" w:rsidRPr="005C672D" w:rsidRDefault="005914A2" w:rsidP="00AC6DDA">
            <w:pPr>
              <w:spacing w:before="29" w:line="288" w:lineRule="auto"/>
              <w:jc w:val="center"/>
              <w:rPr>
                <w:sz w:val="24"/>
              </w:rPr>
            </w:pPr>
            <w:r w:rsidRPr="005C672D">
              <w:rPr>
                <w:sz w:val="24"/>
              </w:rPr>
              <w:t>2009</w:t>
            </w:r>
            <w:r w:rsidRPr="005C672D">
              <w:rPr>
                <w:sz w:val="24"/>
              </w:rPr>
              <w:t>年</w:t>
            </w:r>
            <w:r w:rsidRPr="005C672D">
              <w:rPr>
                <w:sz w:val="24"/>
              </w:rPr>
              <w:t>1</w:t>
            </w:r>
            <w:r w:rsidRPr="005C672D">
              <w:rPr>
                <w:sz w:val="24"/>
              </w:rPr>
              <w:t>月</w:t>
            </w:r>
            <w:r w:rsidRPr="005C672D">
              <w:rPr>
                <w:sz w:val="24"/>
              </w:rPr>
              <w:t>21</w:t>
            </w:r>
            <w:r w:rsidRPr="005C672D">
              <w:rPr>
                <w:sz w:val="24"/>
              </w:rPr>
              <w:t>日</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391" w:type="dxa"/>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391" w:type="dxa"/>
            <w:vAlign w:val="center"/>
          </w:tcPr>
          <w:p w:rsidR="005914A2" w:rsidRPr="005C672D" w:rsidRDefault="005914A2" w:rsidP="00AC6DDA">
            <w:pPr>
              <w:spacing w:before="29" w:line="288" w:lineRule="auto"/>
              <w:jc w:val="center"/>
              <w:rPr>
                <w:sz w:val="24"/>
              </w:rPr>
            </w:pPr>
            <w:r w:rsidRPr="005C672D">
              <w:rPr>
                <w:sz w:val="24"/>
              </w:rPr>
              <w:t>中国工商银行股份有限公司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391" w:type="dxa"/>
            <w:vAlign w:val="center"/>
          </w:tcPr>
          <w:p w:rsidR="005914A2" w:rsidRPr="005C672D" w:rsidRDefault="005914A2" w:rsidP="00AC6DDA">
            <w:pPr>
              <w:spacing w:before="29" w:line="288" w:lineRule="auto"/>
              <w:jc w:val="center"/>
              <w:rPr>
                <w:sz w:val="24"/>
              </w:rPr>
            </w:pPr>
            <w:r w:rsidRPr="005C672D">
              <w:rPr>
                <w:sz w:val="24"/>
              </w:rPr>
              <w:t>255,606,174.48</w:t>
            </w:r>
            <w:r w:rsidRPr="005C672D">
              <w:rPr>
                <w:sz w:val="24"/>
              </w:rPr>
              <w:t>份</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391" w:type="dxa"/>
            <w:vAlign w:val="center"/>
          </w:tcPr>
          <w:p w:rsidR="005914A2" w:rsidRPr="005C672D" w:rsidRDefault="005914A2" w:rsidP="00AC6DDA">
            <w:pPr>
              <w:spacing w:before="29" w:line="288" w:lineRule="auto"/>
              <w:jc w:val="center"/>
              <w:rPr>
                <w:sz w:val="24"/>
              </w:rPr>
            </w:pPr>
            <w:r w:rsidRPr="005C672D">
              <w:rPr>
                <w:sz w:val="24"/>
              </w:rPr>
              <w:t>不定期</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6"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73" w:type="dxa"/>
            <w:vAlign w:val="center"/>
          </w:tcPr>
          <w:p w:rsidR="001548F9" w:rsidRPr="005C672D" w:rsidRDefault="001548F9" w:rsidP="00AC6DDA">
            <w:pPr>
              <w:spacing w:before="29" w:line="288" w:lineRule="auto"/>
              <w:rPr>
                <w:sz w:val="24"/>
              </w:rPr>
            </w:pPr>
            <w:r w:rsidRPr="005C672D">
              <w:rPr>
                <w:sz w:val="24"/>
              </w:rPr>
              <w:t>根据宏观经济周期和市场环境的变化，自上而下灵活配置资产，积极把握行业发展趋势和行业景气轮换中蕴含的投资机会，在控制风险并保持基金资产良好的流动性的前提下，力求实现基金资产的长期稳定增值。</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73" w:type="dxa"/>
            <w:vAlign w:val="center"/>
          </w:tcPr>
          <w:p w:rsidR="001548F9" w:rsidRPr="005C672D" w:rsidRDefault="001548F9" w:rsidP="00AC6DDA">
            <w:pPr>
              <w:spacing w:before="29" w:line="288" w:lineRule="auto"/>
              <w:rPr>
                <w:sz w:val="24"/>
              </w:rPr>
            </w:pPr>
            <w:r w:rsidRPr="005C672D">
              <w:rPr>
                <w:sz w:val="24"/>
              </w:rPr>
              <w:t>本基金充分发挥基金管理人的研究优势，将严谨、规范化的选股方法与积极主动的投资风格相结合，在分析和判断宏观经济周期和市场环境变化趋势的基础上，动态调整投资组合比例，自上而下灵活配置资产；通过把握和判断行业发展趋势及行业景气程度变化，挖掘预期具有良好增长前景的优势行业，精选个股，以谋求超额收益。</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73" w:type="dxa"/>
            <w:vAlign w:val="center"/>
          </w:tcPr>
          <w:p w:rsidR="001548F9" w:rsidRPr="005C672D" w:rsidRDefault="001548F9" w:rsidP="00AC6DDA">
            <w:pPr>
              <w:spacing w:before="29" w:line="288" w:lineRule="auto"/>
              <w:rPr>
                <w:sz w:val="24"/>
              </w:rPr>
            </w:pPr>
            <w:r w:rsidRPr="005C672D">
              <w:rPr>
                <w:sz w:val="24"/>
              </w:rPr>
              <w:t>60%×</w:t>
            </w:r>
            <w:r w:rsidRPr="005C672D">
              <w:rPr>
                <w:sz w:val="24"/>
              </w:rPr>
              <w:t>沪深</w:t>
            </w:r>
            <w:r w:rsidRPr="005C672D">
              <w:rPr>
                <w:sz w:val="24"/>
              </w:rPr>
              <w:t>300</w:t>
            </w:r>
            <w:r w:rsidRPr="005C672D">
              <w:rPr>
                <w:sz w:val="24"/>
              </w:rPr>
              <w:t>指数收益率</w:t>
            </w:r>
            <w:r w:rsidRPr="005C672D">
              <w:rPr>
                <w:sz w:val="24"/>
              </w:rPr>
              <w:t>+40%×</w:t>
            </w:r>
            <w:r w:rsidRPr="005C672D">
              <w:rPr>
                <w:sz w:val="24"/>
              </w:rPr>
              <w:t>中证综合债券指数收益率</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风险收益特征</w:t>
            </w:r>
          </w:p>
        </w:tc>
        <w:tc>
          <w:tcPr>
            <w:tcW w:w="6873" w:type="dxa"/>
            <w:vAlign w:val="center"/>
          </w:tcPr>
          <w:p w:rsidR="001548F9" w:rsidRPr="005C672D" w:rsidRDefault="001548F9" w:rsidP="00AC6DDA">
            <w:pPr>
              <w:spacing w:before="29" w:line="288" w:lineRule="auto"/>
              <w:rPr>
                <w:sz w:val="24"/>
              </w:rPr>
            </w:pPr>
            <w:r w:rsidRPr="005C672D">
              <w:rPr>
                <w:sz w:val="24"/>
              </w:rPr>
              <w:t>本基金是一只灵活配置的混合型基金，属于基金中的较高风险品种，风险与预期收益介于股票型基金和债券型基金之间。</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中国工商银行股份有限公司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孙艳</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郭明</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010-66105799</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w:t>
            </w:r>
            <w:r w:rsidRPr="005C672D">
              <w:rPr>
                <w:color w:val="000000"/>
                <w:kern w:val="0"/>
                <w:sz w:val="24"/>
              </w:rPr>
              <w:lastRenderedPageBreak/>
              <w:t>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lastRenderedPageBreak/>
              <w:t>custody@icbc.com.cn</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95588</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010-66105798</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r w:rsidRPr="005C672D">
              <w:rPr>
                <w:color w:val="000000"/>
                <w:sz w:val="24"/>
              </w:rPr>
              <w:t>，</w:t>
            </w:r>
            <w:r w:rsidRPr="005C672D">
              <w:rPr>
                <w:color w:val="000000"/>
                <w:sz w:val="24"/>
              </w:rPr>
              <w:t>www.bocomschroder.com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5C672D">
        <w:rPr>
          <w:b/>
          <w:bCs/>
          <w:szCs w:val="24"/>
          <w:lang w:val="en-US"/>
        </w:rPr>
        <w:t xml:space="preserve">3  </w:t>
      </w:r>
      <w:r w:rsidRPr="005C672D">
        <w:rPr>
          <w:b/>
          <w:bCs/>
          <w:szCs w:val="24"/>
          <w:lang w:val="en-US"/>
        </w:rPr>
        <w:t>主要财务指标和基金净值表现</w:t>
      </w:r>
      <w:bookmarkEnd w:id="11"/>
      <w:bookmarkEnd w:id="12"/>
    </w:p>
    <w:p w:rsidR="001548F9" w:rsidRPr="005C672D" w:rsidRDefault="001548F9" w:rsidP="00AC6DDA">
      <w:pPr>
        <w:pStyle w:val="20"/>
        <w:spacing w:before="29" w:after="0" w:line="288" w:lineRule="auto"/>
        <w:rPr>
          <w:rFonts w:ascii="Times New Roman" w:hAnsi="Times New Roman"/>
          <w:kern w:val="0"/>
          <w:szCs w:val="24"/>
        </w:rPr>
      </w:pPr>
      <w:bookmarkStart w:id="15"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2017</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2017</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-27,460,820.45</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-6,825,319.74</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-0.0271</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-0.85%</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(2017</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1.515</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642,752,053.38</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2.515</w:t>
            </w:r>
          </w:p>
        </w:tc>
      </w:tr>
    </w:tbl>
    <w:bookmarkEnd w:id="13"/>
    <w:bookmarkEnd w:id="14"/>
    <w:p w:rsidR="00B10F73" w:rsidRDefault="0091473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6"/>
      <w:bookmarkEnd w:id="17"/>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份额净值增长率标准差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业绩比较基准收益率标准差</w:t>
            </w:r>
            <w:r w:rsidRPr="005C672D">
              <w:rPr>
                <w:rFonts w:ascii="宋体" w:hAnsi="宋体" w:cs="宋体" w:hint="eastAsia"/>
                <w:color w:val="000000"/>
                <w:sz w:val="24"/>
              </w:rPr>
              <w:lastRenderedPageBreak/>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lastRenderedPageBreak/>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B10F73">
        <w:tc>
          <w:tcPr>
            <w:tcW w:w="1497" w:type="dxa"/>
            <w:vAlign w:val="center"/>
          </w:tcPr>
          <w:p w:rsidR="00B10F73" w:rsidRDefault="00914739">
            <w:pPr>
              <w:jc w:val="left"/>
            </w:pPr>
            <w:r>
              <w:rPr>
                <w:color w:val="000000"/>
                <w:sz w:val="24"/>
              </w:rPr>
              <w:t>过去一个月</w:t>
            </w:r>
          </w:p>
        </w:tc>
        <w:tc>
          <w:tcPr>
            <w:tcW w:w="1251" w:type="dxa"/>
            <w:vAlign w:val="center"/>
          </w:tcPr>
          <w:p w:rsidR="00B10F73" w:rsidRDefault="00914739">
            <w:pPr>
              <w:jc w:val="center"/>
            </w:pPr>
            <w:r>
              <w:rPr>
                <w:color w:val="000000"/>
                <w:sz w:val="24"/>
              </w:rPr>
              <w:t>4.14%</w:t>
            </w:r>
          </w:p>
        </w:tc>
        <w:tc>
          <w:tcPr>
            <w:tcW w:w="1250" w:type="dxa"/>
            <w:vAlign w:val="center"/>
          </w:tcPr>
          <w:p w:rsidR="00B10F73" w:rsidRDefault="00914739">
            <w:pPr>
              <w:jc w:val="center"/>
            </w:pPr>
            <w:r>
              <w:rPr>
                <w:color w:val="000000"/>
                <w:sz w:val="24"/>
              </w:rPr>
              <w:t>0.74%</w:t>
            </w:r>
          </w:p>
        </w:tc>
        <w:tc>
          <w:tcPr>
            <w:tcW w:w="1250" w:type="dxa"/>
            <w:vAlign w:val="center"/>
          </w:tcPr>
          <w:p w:rsidR="00B10F73" w:rsidRDefault="00914739">
            <w:pPr>
              <w:jc w:val="center"/>
            </w:pPr>
            <w:r>
              <w:rPr>
                <w:color w:val="000000"/>
                <w:sz w:val="24"/>
              </w:rPr>
              <w:t>3.41%</w:t>
            </w:r>
          </w:p>
        </w:tc>
        <w:tc>
          <w:tcPr>
            <w:tcW w:w="1250" w:type="dxa"/>
            <w:vAlign w:val="center"/>
          </w:tcPr>
          <w:p w:rsidR="00B10F73" w:rsidRDefault="00914739">
            <w:pPr>
              <w:jc w:val="center"/>
            </w:pPr>
            <w:r>
              <w:rPr>
                <w:color w:val="000000"/>
                <w:sz w:val="24"/>
              </w:rPr>
              <w:t>0.40%</w:t>
            </w:r>
          </w:p>
        </w:tc>
        <w:tc>
          <w:tcPr>
            <w:tcW w:w="1250" w:type="dxa"/>
            <w:vAlign w:val="center"/>
          </w:tcPr>
          <w:p w:rsidR="00B10F73" w:rsidRDefault="00914739">
            <w:pPr>
              <w:jc w:val="center"/>
            </w:pPr>
            <w:r>
              <w:rPr>
                <w:color w:val="000000"/>
                <w:sz w:val="24"/>
              </w:rPr>
              <w:t>0.73%</w:t>
            </w:r>
          </w:p>
        </w:tc>
        <w:tc>
          <w:tcPr>
            <w:tcW w:w="1250" w:type="dxa"/>
            <w:vAlign w:val="center"/>
          </w:tcPr>
          <w:p w:rsidR="00B10F73" w:rsidRDefault="00914739">
            <w:pPr>
              <w:jc w:val="center"/>
            </w:pPr>
            <w:r>
              <w:rPr>
                <w:color w:val="000000"/>
                <w:sz w:val="24"/>
              </w:rPr>
              <w:t>0.34%</w:t>
            </w:r>
          </w:p>
        </w:tc>
      </w:tr>
      <w:tr w:rsidR="00B10F73">
        <w:tc>
          <w:tcPr>
            <w:tcW w:w="1497" w:type="dxa"/>
            <w:vAlign w:val="center"/>
          </w:tcPr>
          <w:p w:rsidR="00B10F73" w:rsidRDefault="00914739">
            <w:pPr>
              <w:jc w:val="left"/>
            </w:pPr>
            <w:r>
              <w:rPr>
                <w:color w:val="000000"/>
                <w:sz w:val="24"/>
              </w:rPr>
              <w:t>过去三个月</w:t>
            </w:r>
          </w:p>
        </w:tc>
        <w:tc>
          <w:tcPr>
            <w:tcW w:w="1251" w:type="dxa"/>
            <w:vAlign w:val="center"/>
          </w:tcPr>
          <w:p w:rsidR="00B10F73" w:rsidRDefault="00914739">
            <w:pPr>
              <w:jc w:val="center"/>
            </w:pPr>
            <w:r>
              <w:rPr>
                <w:color w:val="000000"/>
                <w:sz w:val="24"/>
              </w:rPr>
              <w:t>-1.02%</w:t>
            </w:r>
          </w:p>
        </w:tc>
        <w:tc>
          <w:tcPr>
            <w:tcW w:w="1250" w:type="dxa"/>
            <w:vAlign w:val="center"/>
          </w:tcPr>
          <w:p w:rsidR="00B10F73" w:rsidRDefault="00914739">
            <w:pPr>
              <w:jc w:val="center"/>
            </w:pPr>
            <w:r>
              <w:rPr>
                <w:color w:val="000000"/>
                <w:sz w:val="24"/>
              </w:rPr>
              <w:t>0.73%</w:t>
            </w:r>
          </w:p>
        </w:tc>
        <w:tc>
          <w:tcPr>
            <w:tcW w:w="1250" w:type="dxa"/>
            <w:vAlign w:val="center"/>
          </w:tcPr>
          <w:p w:rsidR="00B10F73" w:rsidRDefault="00914739">
            <w:pPr>
              <w:jc w:val="center"/>
            </w:pPr>
            <w:r>
              <w:rPr>
                <w:color w:val="000000"/>
                <w:sz w:val="24"/>
              </w:rPr>
              <w:t>3.75%</w:t>
            </w:r>
          </w:p>
        </w:tc>
        <w:tc>
          <w:tcPr>
            <w:tcW w:w="1250" w:type="dxa"/>
            <w:vAlign w:val="center"/>
          </w:tcPr>
          <w:p w:rsidR="00B10F73" w:rsidRDefault="00914739">
            <w:pPr>
              <w:jc w:val="center"/>
            </w:pPr>
            <w:r>
              <w:rPr>
                <w:color w:val="000000"/>
                <w:sz w:val="24"/>
              </w:rPr>
              <w:t>0.38%</w:t>
            </w:r>
          </w:p>
        </w:tc>
        <w:tc>
          <w:tcPr>
            <w:tcW w:w="1250" w:type="dxa"/>
            <w:vAlign w:val="center"/>
          </w:tcPr>
          <w:p w:rsidR="00B10F73" w:rsidRDefault="00914739">
            <w:pPr>
              <w:jc w:val="center"/>
            </w:pPr>
            <w:r>
              <w:rPr>
                <w:color w:val="000000"/>
                <w:sz w:val="24"/>
              </w:rPr>
              <w:t>-4.77%</w:t>
            </w:r>
          </w:p>
        </w:tc>
        <w:tc>
          <w:tcPr>
            <w:tcW w:w="1250" w:type="dxa"/>
            <w:vAlign w:val="center"/>
          </w:tcPr>
          <w:p w:rsidR="00B10F73" w:rsidRDefault="00914739">
            <w:pPr>
              <w:jc w:val="center"/>
            </w:pPr>
            <w:r>
              <w:rPr>
                <w:color w:val="000000"/>
                <w:sz w:val="24"/>
              </w:rPr>
              <w:t>0.35%</w:t>
            </w:r>
          </w:p>
        </w:tc>
      </w:tr>
      <w:tr w:rsidR="00B10F73">
        <w:tc>
          <w:tcPr>
            <w:tcW w:w="1497" w:type="dxa"/>
            <w:vAlign w:val="center"/>
          </w:tcPr>
          <w:p w:rsidR="00B10F73" w:rsidRDefault="00914739">
            <w:pPr>
              <w:jc w:val="left"/>
            </w:pPr>
            <w:r>
              <w:rPr>
                <w:color w:val="000000"/>
                <w:sz w:val="24"/>
              </w:rPr>
              <w:t>过去六个月</w:t>
            </w:r>
          </w:p>
        </w:tc>
        <w:tc>
          <w:tcPr>
            <w:tcW w:w="1251" w:type="dxa"/>
            <w:vAlign w:val="center"/>
          </w:tcPr>
          <w:p w:rsidR="00B10F73" w:rsidRDefault="00914739">
            <w:pPr>
              <w:jc w:val="center"/>
            </w:pPr>
            <w:r>
              <w:rPr>
                <w:color w:val="000000"/>
                <w:sz w:val="24"/>
              </w:rPr>
              <w:t>-0.85%</w:t>
            </w:r>
          </w:p>
        </w:tc>
        <w:tc>
          <w:tcPr>
            <w:tcW w:w="1250" w:type="dxa"/>
            <w:vAlign w:val="center"/>
          </w:tcPr>
          <w:p w:rsidR="00B10F73" w:rsidRDefault="00914739">
            <w:pPr>
              <w:jc w:val="center"/>
            </w:pPr>
            <w:r>
              <w:rPr>
                <w:color w:val="000000"/>
                <w:sz w:val="24"/>
              </w:rPr>
              <w:t>0.75%</w:t>
            </w:r>
          </w:p>
        </w:tc>
        <w:tc>
          <w:tcPr>
            <w:tcW w:w="1250" w:type="dxa"/>
            <w:vAlign w:val="center"/>
          </w:tcPr>
          <w:p w:rsidR="00B10F73" w:rsidRDefault="00914739">
            <w:pPr>
              <w:jc w:val="center"/>
            </w:pPr>
            <w:r>
              <w:rPr>
                <w:color w:val="000000"/>
                <w:sz w:val="24"/>
              </w:rPr>
              <w:t>6.43%</w:t>
            </w:r>
          </w:p>
        </w:tc>
        <w:tc>
          <w:tcPr>
            <w:tcW w:w="1250" w:type="dxa"/>
            <w:vAlign w:val="center"/>
          </w:tcPr>
          <w:p w:rsidR="00B10F73" w:rsidRDefault="00914739">
            <w:pPr>
              <w:jc w:val="center"/>
            </w:pPr>
            <w:r>
              <w:rPr>
                <w:color w:val="000000"/>
                <w:sz w:val="24"/>
              </w:rPr>
              <w:t>0.34%</w:t>
            </w:r>
          </w:p>
        </w:tc>
        <w:tc>
          <w:tcPr>
            <w:tcW w:w="1250" w:type="dxa"/>
            <w:vAlign w:val="center"/>
          </w:tcPr>
          <w:p w:rsidR="00B10F73" w:rsidRDefault="00914739">
            <w:pPr>
              <w:jc w:val="center"/>
            </w:pPr>
            <w:r>
              <w:rPr>
                <w:color w:val="000000"/>
                <w:sz w:val="24"/>
              </w:rPr>
              <w:t>-7.28%</w:t>
            </w:r>
          </w:p>
        </w:tc>
        <w:tc>
          <w:tcPr>
            <w:tcW w:w="1250" w:type="dxa"/>
            <w:vAlign w:val="center"/>
          </w:tcPr>
          <w:p w:rsidR="00B10F73" w:rsidRDefault="00914739">
            <w:pPr>
              <w:jc w:val="center"/>
            </w:pPr>
            <w:r>
              <w:rPr>
                <w:color w:val="000000"/>
                <w:sz w:val="24"/>
              </w:rPr>
              <w:t>0.41%</w:t>
            </w:r>
          </w:p>
        </w:tc>
      </w:tr>
      <w:tr w:rsidR="00B10F73">
        <w:tc>
          <w:tcPr>
            <w:tcW w:w="1497" w:type="dxa"/>
            <w:vAlign w:val="center"/>
          </w:tcPr>
          <w:p w:rsidR="00B10F73" w:rsidRDefault="00914739">
            <w:pPr>
              <w:jc w:val="left"/>
            </w:pPr>
            <w:r>
              <w:rPr>
                <w:color w:val="000000"/>
                <w:sz w:val="24"/>
              </w:rPr>
              <w:t>过去一年</w:t>
            </w:r>
          </w:p>
        </w:tc>
        <w:tc>
          <w:tcPr>
            <w:tcW w:w="1251" w:type="dxa"/>
            <w:vAlign w:val="center"/>
          </w:tcPr>
          <w:p w:rsidR="00B10F73" w:rsidRDefault="00914739">
            <w:pPr>
              <w:jc w:val="center"/>
            </w:pPr>
            <w:r>
              <w:rPr>
                <w:color w:val="000000"/>
                <w:sz w:val="24"/>
              </w:rPr>
              <w:t>11.24%</w:t>
            </w:r>
          </w:p>
        </w:tc>
        <w:tc>
          <w:tcPr>
            <w:tcW w:w="1250" w:type="dxa"/>
            <w:vAlign w:val="center"/>
          </w:tcPr>
          <w:p w:rsidR="00B10F73" w:rsidRDefault="00914739">
            <w:pPr>
              <w:jc w:val="center"/>
            </w:pPr>
            <w:r>
              <w:rPr>
                <w:color w:val="000000"/>
                <w:sz w:val="24"/>
              </w:rPr>
              <w:t>0.76%</w:t>
            </w:r>
          </w:p>
        </w:tc>
        <w:tc>
          <w:tcPr>
            <w:tcW w:w="1250" w:type="dxa"/>
            <w:vAlign w:val="center"/>
          </w:tcPr>
          <w:p w:rsidR="00B10F73" w:rsidRDefault="00914739">
            <w:pPr>
              <w:jc w:val="center"/>
            </w:pPr>
            <w:r>
              <w:rPr>
                <w:color w:val="000000"/>
                <w:sz w:val="24"/>
              </w:rPr>
              <w:t>9.89%</w:t>
            </w:r>
          </w:p>
        </w:tc>
        <w:tc>
          <w:tcPr>
            <w:tcW w:w="1250" w:type="dxa"/>
            <w:vAlign w:val="center"/>
          </w:tcPr>
          <w:p w:rsidR="00B10F73" w:rsidRDefault="00914739">
            <w:pPr>
              <w:jc w:val="center"/>
            </w:pPr>
            <w:r>
              <w:rPr>
                <w:color w:val="000000"/>
                <w:sz w:val="24"/>
              </w:rPr>
              <w:t>0.41%</w:t>
            </w:r>
          </w:p>
        </w:tc>
        <w:tc>
          <w:tcPr>
            <w:tcW w:w="1250" w:type="dxa"/>
            <w:vAlign w:val="center"/>
          </w:tcPr>
          <w:p w:rsidR="00B10F73" w:rsidRDefault="00914739">
            <w:pPr>
              <w:jc w:val="center"/>
            </w:pPr>
            <w:r>
              <w:rPr>
                <w:color w:val="000000"/>
                <w:sz w:val="24"/>
              </w:rPr>
              <w:t>1.35%</w:t>
            </w:r>
          </w:p>
        </w:tc>
        <w:tc>
          <w:tcPr>
            <w:tcW w:w="1250" w:type="dxa"/>
            <w:vAlign w:val="center"/>
          </w:tcPr>
          <w:p w:rsidR="00B10F73" w:rsidRDefault="00914739">
            <w:pPr>
              <w:jc w:val="center"/>
            </w:pPr>
            <w:r>
              <w:rPr>
                <w:color w:val="000000"/>
                <w:sz w:val="24"/>
              </w:rPr>
              <w:t>0.35%</w:t>
            </w:r>
          </w:p>
        </w:tc>
      </w:tr>
      <w:tr w:rsidR="00B10F73">
        <w:tc>
          <w:tcPr>
            <w:tcW w:w="1497" w:type="dxa"/>
            <w:vAlign w:val="center"/>
          </w:tcPr>
          <w:p w:rsidR="00B10F73" w:rsidRDefault="00914739">
            <w:pPr>
              <w:jc w:val="left"/>
            </w:pPr>
            <w:r>
              <w:rPr>
                <w:color w:val="000000"/>
                <w:sz w:val="24"/>
              </w:rPr>
              <w:t>过去三年</w:t>
            </w:r>
          </w:p>
        </w:tc>
        <w:tc>
          <w:tcPr>
            <w:tcW w:w="1251" w:type="dxa"/>
            <w:vAlign w:val="center"/>
          </w:tcPr>
          <w:p w:rsidR="00B10F73" w:rsidRDefault="00914739">
            <w:pPr>
              <w:jc w:val="center"/>
            </w:pPr>
            <w:r>
              <w:rPr>
                <w:color w:val="000000"/>
                <w:sz w:val="24"/>
              </w:rPr>
              <w:t>154.66%</w:t>
            </w:r>
          </w:p>
        </w:tc>
        <w:tc>
          <w:tcPr>
            <w:tcW w:w="1250" w:type="dxa"/>
            <w:vAlign w:val="center"/>
          </w:tcPr>
          <w:p w:rsidR="00B10F73" w:rsidRDefault="00914739">
            <w:pPr>
              <w:jc w:val="center"/>
            </w:pPr>
            <w:r>
              <w:rPr>
                <w:color w:val="000000"/>
                <w:sz w:val="24"/>
              </w:rPr>
              <w:t>1.62%</w:t>
            </w:r>
          </w:p>
        </w:tc>
        <w:tc>
          <w:tcPr>
            <w:tcW w:w="1250" w:type="dxa"/>
            <w:vAlign w:val="center"/>
          </w:tcPr>
          <w:p w:rsidR="00B10F73" w:rsidRDefault="00914739">
            <w:pPr>
              <w:jc w:val="center"/>
            </w:pPr>
            <w:r>
              <w:rPr>
                <w:color w:val="000000"/>
                <w:sz w:val="24"/>
              </w:rPr>
              <w:t>48.69%</w:t>
            </w:r>
          </w:p>
        </w:tc>
        <w:tc>
          <w:tcPr>
            <w:tcW w:w="1250" w:type="dxa"/>
            <w:vAlign w:val="center"/>
          </w:tcPr>
          <w:p w:rsidR="00B10F73" w:rsidRDefault="00914739">
            <w:pPr>
              <w:jc w:val="center"/>
            </w:pPr>
            <w:r>
              <w:rPr>
                <w:color w:val="000000"/>
                <w:sz w:val="24"/>
              </w:rPr>
              <w:t>1.06%</w:t>
            </w:r>
          </w:p>
        </w:tc>
        <w:tc>
          <w:tcPr>
            <w:tcW w:w="1250" w:type="dxa"/>
            <w:vAlign w:val="center"/>
          </w:tcPr>
          <w:p w:rsidR="00B10F73" w:rsidRDefault="00914739">
            <w:pPr>
              <w:jc w:val="center"/>
            </w:pPr>
            <w:r>
              <w:rPr>
                <w:color w:val="000000"/>
                <w:sz w:val="24"/>
              </w:rPr>
              <w:t>105.97%</w:t>
            </w:r>
          </w:p>
        </w:tc>
        <w:tc>
          <w:tcPr>
            <w:tcW w:w="1250" w:type="dxa"/>
            <w:vAlign w:val="center"/>
          </w:tcPr>
          <w:p w:rsidR="00B10F73" w:rsidRDefault="00914739">
            <w:pPr>
              <w:jc w:val="center"/>
            </w:pPr>
            <w:r>
              <w:rPr>
                <w:color w:val="000000"/>
                <w:sz w:val="24"/>
              </w:rPr>
              <w:t>0.56%</w:t>
            </w:r>
          </w:p>
        </w:tc>
      </w:tr>
      <w:tr w:rsidR="00B10F73">
        <w:tc>
          <w:tcPr>
            <w:tcW w:w="1497" w:type="dxa"/>
            <w:vAlign w:val="center"/>
          </w:tcPr>
          <w:p w:rsidR="00B10F73" w:rsidRDefault="00914739">
            <w:pPr>
              <w:jc w:val="left"/>
            </w:pPr>
            <w:r>
              <w:rPr>
                <w:color w:val="000000"/>
                <w:sz w:val="24"/>
              </w:rPr>
              <w:t>自基金合同生效起至今</w:t>
            </w:r>
          </w:p>
        </w:tc>
        <w:tc>
          <w:tcPr>
            <w:tcW w:w="1251" w:type="dxa"/>
            <w:vAlign w:val="center"/>
          </w:tcPr>
          <w:p w:rsidR="00B10F73" w:rsidRDefault="00914739">
            <w:pPr>
              <w:jc w:val="center"/>
            </w:pPr>
            <w:r>
              <w:rPr>
                <w:color w:val="000000"/>
                <w:sz w:val="24"/>
              </w:rPr>
              <w:t>182.21%</w:t>
            </w:r>
          </w:p>
        </w:tc>
        <w:tc>
          <w:tcPr>
            <w:tcW w:w="1250" w:type="dxa"/>
            <w:vAlign w:val="center"/>
          </w:tcPr>
          <w:p w:rsidR="00B10F73" w:rsidRDefault="00914739">
            <w:pPr>
              <w:jc w:val="center"/>
            </w:pPr>
            <w:r>
              <w:rPr>
                <w:color w:val="000000"/>
                <w:sz w:val="24"/>
              </w:rPr>
              <w:t>1.34%</w:t>
            </w:r>
          </w:p>
        </w:tc>
        <w:tc>
          <w:tcPr>
            <w:tcW w:w="1250" w:type="dxa"/>
            <w:vAlign w:val="center"/>
          </w:tcPr>
          <w:p w:rsidR="00B10F73" w:rsidRDefault="00914739">
            <w:pPr>
              <w:jc w:val="center"/>
            </w:pPr>
            <w:r>
              <w:rPr>
                <w:color w:val="000000"/>
                <w:sz w:val="24"/>
              </w:rPr>
              <w:t>43.45%</w:t>
            </w:r>
          </w:p>
        </w:tc>
        <w:tc>
          <w:tcPr>
            <w:tcW w:w="1250" w:type="dxa"/>
            <w:vAlign w:val="center"/>
          </w:tcPr>
          <w:p w:rsidR="00B10F73" w:rsidRDefault="00914739">
            <w:pPr>
              <w:jc w:val="center"/>
            </w:pPr>
            <w:r>
              <w:rPr>
                <w:color w:val="000000"/>
                <w:sz w:val="24"/>
              </w:rPr>
              <w:t>0.94%</w:t>
            </w:r>
          </w:p>
        </w:tc>
        <w:tc>
          <w:tcPr>
            <w:tcW w:w="1250" w:type="dxa"/>
            <w:vAlign w:val="center"/>
          </w:tcPr>
          <w:p w:rsidR="00B10F73" w:rsidRDefault="00914739">
            <w:pPr>
              <w:jc w:val="center"/>
            </w:pPr>
            <w:r>
              <w:rPr>
                <w:color w:val="000000"/>
                <w:sz w:val="24"/>
              </w:rPr>
              <w:t>138.76%</w:t>
            </w:r>
          </w:p>
        </w:tc>
        <w:tc>
          <w:tcPr>
            <w:tcW w:w="1250" w:type="dxa"/>
            <w:vAlign w:val="center"/>
          </w:tcPr>
          <w:p w:rsidR="00B10F73" w:rsidRDefault="00914739">
            <w:pPr>
              <w:jc w:val="center"/>
            </w:pPr>
            <w:r>
              <w:rPr>
                <w:color w:val="000000"/>
                <w:sz w:val="24"/>
              </w:rPr>
              <w:t>0.40%</w:t>
            </w:r>
          </w:p>
        </w:tc>
      </w:tr>
    </w:tbl>
    <w:p w:rsidR="00B10F73" w:rsidRDefault="00914739">
      <w:pPr>
        <w:tabs>
          <w:tab w:val="left" w:pos="426"/>
        </w:tabs>
        <w:spacing w:before="29" w:line="288" w:lineRule="auto"/>
        <w:jc w:val="left"/>
        <w:rPr>
          <w:kern w:val="0"/>
          <w:sz w:val="24"/>
        </w:rPr>
      </w:pPr>
      <w:r>
        <w:rPr>
          <w:kern w:val="0"/>
          <w:sz w:val="24"/>
        </w:rPr>
        <w:t>注：</w:t>
      </w:r>
      <w:r>
        <w:rPr>
          <w:kern w:val="0"/>
          <w:sz w:val="24"/>
        </w:rPr>
        <w:t>1</w:t>
      </w:r>
      <w:r>
        <w:rPr>
          <w:kern w:val="0"/>
          <w:sz w:val="24"/>
        </w:rPr>
        <w:t>、交银施罗德保本混合型证券投资基金从</w:t>
      </w:r>
      <w:r>
        <w:rPr>
          <w:kern w:val="0"/>
          <w:sz w:val="24"/>
        </w:rPr>
        <w:t>2012</w:t>
      </w:r>
      <w:r>
        <w:rPr>
          <w:kern w:val="0"/>
          <w:sz w:val="24"/>
        </w:rPr>
        <w:t>年</w:t>
      </w:r>
      <w:r>
        <w:rPr>
          <w:kern w:val="0"/>
          <w:sz w:val="24"/>
        </w:rPr>
        <w:t>2</w:t>
      </w:r>
      <w:r>
        <w:rPr>
          <w:kern w:val="0"/>
          <w:sz w:val="24"/>
        </w:rPr>
        <w:t>月</w:t>
      </w:r>
      <w:r>
        <w:rPr>
          <w:kern w:val="0"/>
          <w:sz w:val="24"/>
        </w:rPr>
        <w:t>3</w:t>
      </w:r>
      <w:r>
        <w:rPr>
          <w:kern w:val="0"/>
          <w:sz w:val="24"/>
        </w:rPr>
        <w:t>日起正式转型为交银施罗德优势行业灵活配置混合型证券投资基金，本表列示的是基金转型后的基金净值表现。</w:t>
      </w:r>
    </w:p>
    <w:p w:rsidR="00B10F73" w:rsidRDefault="00914739" w:rsidP="00EC5B5F">
      <w:pPr>
        <w:tabs>
          <w:tab w:val="left" w:pos="426"/>
        </w:tabs>
        <w:spacing w:before="29" w:line="288" w:lineRule="auto"/>
        <w:ind w:firstLineChars="200" w:firstLine="480"/>
        <w:jc w:val="left"/>
        <w:rPr>
          <w:kern w:val="0"/>
          <w:sz w:val="24"/>
        </w:rPr>
      </w:pPr>
      <w:r>
        <w:rPr>
          <w:kern w:val="0"/>
          <w:sz w:val="24"/>
        </w:rPr>
        <w:t>2</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548F9" w:rsidRPr="005C672D" w:rsidRDefault="001548F9" w:rsidP="00EC5B5F">
      <w:pPr>
        <w:tabs>
          <w:tab w:val="left" w:pos="426"/>
        </w:tabs>
        <w:spacing w:before="29" w:line="288" w:lineRule="auto"/>
        <w:ind w:firstLineChars="200" w:firstLine="480"/>
        <w:jc w:val="left"/>
        <w:rPr>
          <w:kern w:val="0"/>
          <w:sz w:val="24"/>
        </w:rPr>
      </w:pPr>
      <w:r w:rsidRPr="005C672D">
        <w:rPr>
          <w:kern w:val="0"/>
          <w:sz w:val="24"/>
        </w:rPr>
        <w:t>3</w:t>
      </w:r>
      <w:r w:rsidRPr="005C672D">
        <w:rPr>
          <w:kern w:val="0"/>
          <w:sz w:val="24"/>
        </w:rPr>
        <w:t>、本基金的业绩比较基准每日进行再平衡过程。</w:t>
      </w:r>
    </w:p>
    <w:p w:rsidR="001548F9" w:rsidRPr="005C672D"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自基金转型以来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交银施罗德优势行业灵活配置混合型证券投资基金</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5"/>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B9460A" w:rsidRPr="00B9460A">
        <w:rPr>
          <w:rFonts w:ascii="Times New Roman" w:hAnsi="Times New Roman" w:hint="eastAsia"/>
          <w:sz w:val="24"/>
          <w:szCs w:val="24"/>
        </w:rPr>
        <w:t>2012</w:t>
      </w:r>
      <w:r w:rsidR="00B9460A" w:rsidRPr="00B9460A">
        <w:rPr>
          <w:rFonts w:ascii="Times New Roman" w:hAnsi="Times New Roman" w:hint="eastAsia"/>
          <w:sz w:val="24"/>
          <w:szCs w:val="24"/>
        </w:rPr>
        <w:t>年</w:t>
      </w:r>
      <w:r w:rsidR="00B9460A" w:rsidRPr="00B9460A">
        <w:rPr>
          <w:rFonts w:ascii="Times New Roman" w:hAnsi="Times New Roman" w:hint="eastAsia"/>
          <w:sz w:val="24"/>
          <w:szCs w:val="24"/>
        </w:rPr>
        <w:t>2</w:t>
      </w:r>
      <w:r w:rsidR="00B9460A" w:rsidRPr="00B9460A">
        <w:rPr>
          <w:rFonts w:ascii="Times New Roman" w:hAnsi="Times New Roman" w:hint="eastAsia"/>
          <w:sz w:val="24"/>
          <w:szCs w:val="24"/>
        </w:rPr>
        <w:t>月</w:t>
      </w:r>
      <w:r w:rsidR="00B9460A" w:rsidRPr="00B9460A">
        <w:rPr>
          <w:rFonts w:ascii="Times New Roman" w:hAnsi="Times New Roman" w:hint="eastAsia"/>
          <w:sz w:val="24"/>
          <w:szCs w:val="24"/>
        </w:rPr>
        <w:t>3</w:t>
      </w:r>
      <w:r w:rsidR="00B9460A" w:rsidRPr="00B9460A">
        <w:rPr>
          <w:rFonts w:ascii="Times New Roman" w:hAnsi="Times New Roman" w:hint="eastAsia"/>
          <w:sz w:val="24"/>
          <w:szCs w:val="24"/>
        </w:rPr>
        <w:t>日</w:t>
      </w:r>
      <w:r w:rsidR="001548F9" w:rsidRPr="005C672D">
        <w:rPr>
          <w:rFonts w:ascii="Times New Roman" w:hAnsi="Times New Roman"/>
          <w:sz w:val="24"/>
          <w:szCs w:val="24"/>
        </w:rPr>
        <w:t>至</w:t>
      </w:r>
      <w:r w:rsidRPr="005C672D">
        <w:rPr>
          <w:rFonts w:ascii="Times New Roman" w:hAnsi="Times New Roman"/>
          <w:sz w:val="24"/>
          <w:szCs w:val="24"/>
        </w:rPr>
        <w:t>2017</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lastRenderedPageBreak/>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t>注：本基金由交银施罗德保本混合型证券投资基金转型而来。基金</w:t>
      </w:r>
      <w:proofErr w:type="gramStart"/>
      <w:r w:rsidRPr="005C672D">
        <w:rPr>
          <w:kern w:val="0"/>
          <w:sz w:val="24"/>
        </w:rPr>
        <w:t>转型日</w:t>
      </w:r>
      <w:proofErr w:type="gramEnd"/>
      <w:r w:rsidRPr="005C672D">
        <w:rPr>
          <w:kern w:val="0"/>
          <w:sz w:val="24"/>
        </w:rPr>
        <w:t>为</w:t>
      </w:r>
      <w:r w:rsidRPr="005C672D">
        <w:rPr>
          <w:kern w:val="0"/>
          <w:sz w:val="24"/>
        </w:rPr>
        <w:t>2012</w:t>
      </w:r>
      <w:r w:rsidRPr="005C672D">
        <w:rPr>
          <w:kern w:val="0"/>
          <w:sz w:val="24"/>
        </w:rPr>
        <w:t>年</w:t>
      </w:r>
      <w:r w:rsidRPr="005C672D">
        <w:rPr>
          <w:kern w:val="0"/>
          <w:sz w:val="24"/>
        </w:rPr>
        <w:t>2</w:t>
      </w:r>
      <w:r w:rsidRPr="005C672D">
        <w:rPr>
          <w:kern w:val="0"/>
          <w:sz w:val="24"/>
        </w:rPr>
        <w:t>月</w:t>
      </w:r>
      <w:r w:rsidRPr="005C672D">
        <w:rPr>
          <w:kern w:val="0"/>
          <w:sz w:val="24"/>
        </w:rPr>
        <w:t>3</w:t>
      </w:r>
      <w:r w:rsidRPr="005C672D">
        <w:rPr>
          <w:kern w:val="0"/>
          <w:sz w:val="24"/>
        </w:rPr>
        <w:t>日。本基金的投资转型期为交银施罗德保本混合型证券投资基金保本周期到期选择期截止日次日（即</w:t>
      </w:r>
      <w:r w:rsidRPr="005C672D">
        <w:rPr>
          <w:kern w:val="0"/>
          <w:sz w:val="24"/>
        </w:rPr>
        <w:t>2012</w:t>
      </w:r>
      <w:r w:rsidRPr="005C672D">
        <w:rPr>
          <w:kern w:val="0"/>
          <w:sz w:val="24"/>
        </w:rPr>
        <w:t>年</w:t>
      </w:r>
      <w:r w:rsidRPr="005C672D">
        <w:rPr>
          <w:kern w:val="0"/>
          <w:sz w:val="24"/>
        </w:rPr>
        <w:t>2</w:t>
      </w:r>
      <w:r w:rsidRPr="005C672D">
        <w:rPr>
          <w:kern w:val="0"/>
          <w:sz w:val="24"/>
        </w:rPr>
        <w:t>月</w:t>
      </w:r>
      <w:r w:rsidRPr="005C672D">
        <w:rPr>
          <w:kern w:val="0"/>
          <w:sz w:val="24"/>
        </w:rPr>
        <w:t>3</w:t>
      </w:r>
      <w:r w:rsidRPr="005C672D">
        <w:rPr>
          <w:kern w:val="0"/>
          <w:sz w:val="24"/>
        </w:rPr>
        <w:t>日）起的</w:t>
      </w:r>
      <w:r w:rsidRPr="005C672D">
        <w:rPr>
          <w:kern w:val="0"/>
          <w:sz w:val="24"/>
        </w:rPr>
        <w:t>3</w:t>
      </w:r>
      <w:r w:rsidRPr="005C672D">
        <w:rPr>
          <w:kern w:val="0"/>
          <w:sz w:val="24"/>
        </w:rPr>
        <w:t>个月。截至投资转型期结束，本基金各项资产配置比例符合基金合同及招募说明书有关投资比例的约定。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5C672D">
        <w:rPr>
          <w:b/>
          <w:bCs/>
          <w:szCs w:val="24"/>
          <w:lang w:val="en-US"/>
        </w:rPr>
        <w:t xml:space="preserve">4  </w:t>
      </w:r>
      <w:r w:rsidRPr="005C672D">
        <w:rPr>
          <w:b/>
          <w:bCs/>
          <w:szCs w:val="24"/>
          <w:lang w:val="en-US"/>
        </w:rPr>
        <w:t>管理人报告</w:t>
      </w:r>
      <w:bookmarkEnd w:id="18"/>
      <w:bookmarkEnd w:id="19"/>
    </w:p>
    <w:p w:rsidR="001548F9" w:rsidRPr="005C672D" w:rsidRDefault="001548F9" w:rsidP="00AC6DDA">
      <w:pPr>
        <w:pStyle w:val="20"/>
        <w:spacing w:before="29" w:after="0" w:line="288" w:lineRule="auto"/>
        <w:rPr>
          <w:rFonts w:ascii="Times New Roman" w:hAnsi="Times New Roman"/>
          <w:kern w:val="0"/>
          <w:szCs w:val="24"/>
        </w:rPr>
      </w:pPr>
      <w:bookmarkStart w:id="20"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0"/>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B10F73" w:rsidRDefault="00914739">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截至报告期末，公司管理了包括货币型、债券型、保本混合型、普通混合型和股票型在内的</w:t>
      </w:r>
      <w:r w:rsidRPr="005C672D">
        <w:rPr>
          <w:color w:val="000000"/>
          <w:sz w:val="24"/>
        </w:rPr>
        <w:t>75</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proofErr w:type="gramStart"/>
            <w:r w:rsidRPr="005C672D">
              <w:rPr>
                <w:color w:val="000000"/>
                <w:sz w:val="24"/>
              </w:rPr>
              <w:t>任本基金</w:t>
            </w:r>
            <w:proofErr w:type="gramEnd"/>
            <w:r w:rsidRPr="005C672D">
              <w:rPr>
                <w:color w:val="000000"/>
                <w:sz w:val="24"/>
              </w:rPr>
              <w:t>的基金经</w:t>
            </w:r>
            <w:r w:rsidRPr="005C672D">
              <w:rPr>
                <w:color w:val="000000"/>
                <w:sz w:val="24"/>
              </w:rPr>
              <w:lastRenderedPageBreak/>
              <w:t>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证券从</w:t>
            </w:r>
            <w:r w:rsidRPr="005C672D">
              <w:rPr>
                <w:color w:val="000000"/>
                <w:sz w:val="24"/>
              </w:rPr>
              <w:lastRenderedPageBreak/>
              <w:t>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B10F73">
        <w:tc>
          <w:tcPr>
            <w:tcW w:w="1033" w:type="dxa"/>
            <w:vAlign w:val="center"/>
          </w:tcPr>
          <w:p w:rsidR="00B10F73" w:rsidRDefault="00914739">
            <w:pPr>
              <w:jc w:val="center"/>
            </w:pPr>
            <w:r>
              <w:rPr>
                <w:color w:val="000000"/>
                <w:sz w:val="24"/>
              </w:rPr>
              <w:t>何帅</w:t>
            </w:r>
          </w:p>
        </w:tc>
        <w:tc>
          <w:tcPr>
            <w:tcW w:w="1416" w:type="dxa"/>
            <w:vAlign w:val="center"/>
          </w:tcPr>
          <w:p w:rsidR="00B10F73" w:rsidRDefault="00914739">
            <w:pPr>
              <w:jc w:val="center"/>
            </w:pPr>
            <w:r>
              <w:rPr>
                <w:color w:val="000000"/>
                <w:sz w:val="24"/>
              </w:rPr>
              <w:t>交</w:t>
            </w:r>
            <w:proofErr w:type="gramStart"/>
            <w:r>
              <w:rPr>
                <w:color w:val="000000"/>
                <w:sz w:val="24"/>
              </w:rPr>
              <w:t>银优势</w:t>
            </w:r>
            <w:proofErr w:type="gramEnd"/>
            <w:r>
              <w:rPr>
                <w:color w:val="000000"/>
                <w:sz w:val="24"/>
              </w:rPr>
              <w:t>行业混合、交</w:t>
            </w:r>
            <w:proofErr w:type="gramStart"/>
            <w:r>
              <w:rPr>
                <w:color w:val="000000"/>
                <w:sz w:val="24"/>
              </w:rPr>
              <w:t>银阿尔法核心混合</w:t>
            </w:r>
            <w:proofErr w:type="gramEnd"/>
            <w:r>
              <w:rPr>
                <w:color w:val="000000"/>
                <w:sz w:val="24"/>
              </w:rPr>
              <w:t>的基金经理</w:t>
            </w:r>
          </w:p>
        </w:tc>
        <w:tc>
          <w:tcPr>
            <w:tcW w:w="1126" w:type="dxa"/>
            <w:vAlign w:val="center"/>
          </w:tcPr>
          <w:p w:rsidR="00B10F73" w:rsidRDefault="00914739">
            <w:pPr>
              <w:jc w:val="center"/>
            </w:pPr>
            <w:r>
              <w:rPr>
                <w:color w:val="000000"/>
                <w:sz w:val="24"/>
              </w:rPr>
              <w:t>2015-07-09</w:t>
            </w:r>
          </w:p>
        </w:tc>
        <w:tc>
          <w:tcPr>
            <w:tcW w:w="1192" w:type="dxa"/>
            <w:vAlign w:val="center"/>
          </w:tcPr>
          <w:p w:rsidR="00B10F73" w:rsidRDefault="00914739">
            <w:pPr>
              <w:jc w:val="center"/>
            </w:pPr>
            <w:r>
              <w:rPr>
                <w:color w:val="000000"/>
                <w:sz w:val="24"/>
              </w:rPr>
              <w:t>-</w:t>
            </w:r>
          </w:p>
        </w:tc>
        <w:tc>
          <w:tcPr>
            <w:tcW w:w="1169" w:type="dxa"/>
            <w:vAlign w:val="center"/>
          </w:tcPr>
          <w:p w:rsidR="00B10F73" w:rsidRDefault="00914739">
            <w:pPr>
              <w:jc w:val="center"/>
            </w:pPr>
            <w:r>
              <w:rPr>
                <w:color w:val="000000"/>
                <w:sz w:val="24"/>
              </w:rPr>
              <w:t>7</w:t>
            </w:r>
            <w:r>
              <w:rPr>
                <w:color w:val="000000"/>
                <w:sz w:val="24"/>
              </w:rPr>
              <w:t>年</w:t>
            </w:r>
          </w:p>
        </w:tc>
        <w:tc>
          <w:tcPr>
            <w:tcW w:w="3062" w:type="dxa"/>
            <w:vAlign w:val="center"/>
          </w:tcPr>
          <w:p w:rsidR="00B10F73" w:rsidRDefault="00914739">
            <w:r>
              <w:rPr>
                <w:color w:val="000000"/>
                <w:sz w:val="24"/>
              </w:rPr>
              <w:t>何帅先生，上海财经大学硕士。历任国联安基金管理有限公司研究员。</w:t>
            </w:r>
            <w:r>
              <w:rPr>
                <w:color w:val="000000"/>
                <w:sz w:val="24"/>
              </w:rPr>
              <w:t>2012</w:t>
            </w:r>
            <w:r>
              <w:rPr>
                <w:color w:val="000000"/>
                <w:sz w:val="24"/>
              </w:rPr>
              <w:t>年加入交银施罗德基金管理有限公司，历任行业分析师。</w:t>
            </w:r>
          </w:p>
        </w:tc>
      </w:tr>
    </w:tbl>
    <w:p w:rsidR="00B10F73" w:rsidRDefault="0091473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B10F73" w:rsidRDefault="00914739">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1"/>
      <w:bookmarkEnd w:id="22"/>
    </w:p>
    <w:p w:rsidR="00B10F73" w:rsidRDefault="0091473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本报告期内，本基金整体运作合</w:t>
      </w:r>
      <w:proofErr w:type="gramStart"/>
      <w:r w:rsidRPr="005C672D">
        <w:rPr>
          <w:color w:val="000000"/>
          <w:sz w:val="24"/>
        </w:rPr>
        <w:t>规</w:t>
      </w:r>
      <w:proofErr w:type="gramEnd"/>
      <w:r w:rsidRPr="005C672D">
        <w:rPr>
          <w:color w:val="000000"/>
          <w:sz w:val="24"/>
        </w:rPr>
        <w:t>合法，无不当内幕交易和关联交易，基金投资范围、投资比例及投资组合符合有关法律法规及基金合同的约定，未发生损害基金持有人利益的行为。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3"/>
      <w:bookmarkEnd w:id="24"/>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B10F73" w:rsidRDefault="00914739">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10F73" w:rsidRDefault="00914739">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10F73" w:rsidRDefault="00914739">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w:t>
      </w:r>
      <w:r>
        <w:rPr>
          <w:color w:val="000000"/>
          <w:sz w:val="24"/>
        </w:rPr>
        <w:lastRenderedPageBreak/>
        <w:t>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C672D">
        <w:rPr>
          <w:color w:val="000000"/>
          <w:sz w:val="24"/>
        </w:rPr>
        <w:t>5%</w:t>
      </w:r>
      <w:r w:rsidRPr="005C672D">
        <w:rPr>
          <w:color w:val="000000"/>
          <w:sz w:val="24"/>
        </w:rPr>
        <w:t>的情形，本基金与本公司管理的其他投资组合在不同时间窗下（如日内、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日内）同向交易的交易价差未出现异常。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5"/>
      <w:bookmarkEnd w:id="26"/>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B10F73" w:rsidRDefault="00914739">
      <w:pPr>
        <w:spacing w:before="29" w:line="288" w:lineRule="auto"/>
        <w:ind w:firstLineChars="200" w:firstLine="480"/>
        <w:rPr>
          <w:color w:val="000000"/>
          <w:sz w:val="24"/>
        </w:rPr>
      </w:pPr>
      <w:r>
        <w:rPr>
          <w:color w:val="000000"/>
          <w:sz w:val="24"/>
        </w:rPr>
        <w:t>2017</w:t>
      </w:r>
      <w:r>
        <w:rPr>
          <w:color w:val="000000"/>
          <w:sz w:val="24"/>
        </w:rPr>
        <w:t>年上半年</w:t>
      </w:r>
      <w:r>
        <w:rPr>
          <w:color w:val="000000"/>
          <w:sz w:val="24"/>
        </w:rPr>
        <w:t>A</w:t>
      </w:r>
      <w:r>
        <w:rPr>
          <w:color w:val="000000"/>
          <w:sz w:val="24"/>
        </w:rPr>
        <w:t>股市场分化较为明显，上证指数上涨</w:t>
      </w:r>
      <w:r>
        <w:rPr>
          <w:color w:val="000000"/>
          <w:sz w:val="24"/>
        </w:rPr>
        <w:t>2.86%</w:t>
      </w:r>
      <w:r>
        <w:rPr>
          <w:color w:val="000000"/>
          <w:sz w:val="24"/>
        </w:rPr>
        <w:t>，创业</w:t>
      </w:r>
      <w:proofErr w:type="gramStart"/>
      <w:r>
        <w:rPr>
          <w:color w:val="000000"/>
          <w:sz w:val="24"/>
        </w:rPr>
        <w:t>板指数</w:t>
      </w:r>
      <w:proofErr w:type="gramEnd"/>
      <w:r>
        <w:rPr>
          <w:color w:val="000000"/>
          <w:sz w:val="24"/>
        </w:rPr>
        <w:t>下跌</w:t>
      </w:r>
      <w:r>
        <w:rPr>
          <w:color w:val="000000"/>
          <w:sz w:val="24"/>
        </w:rPr>
        <w:t>7.34%</w:t>
      </w:r>
      <w:r>
        <w:rPr>
          <w:color w:val="000000"/>
          <w:sz w:val="24"/>
        </w:rPr>
        <w:t>。其中家电、白酒、煤炭等低估值蓝筹上涨明显，而计算机、传媒等高估值成长股则跌幅明显。</w:t>
      </w:r>
    </w:p>
    <w:p w:rsidR="00B10F73" w:rsidRDefault="00914739">
      <w:pPr>
        <w:spacing w:before="29" w:line="288" w:lineRule="auto"/>
        <w:ind w:firstLineChars="200" w:firstLine="480"/>
        <w:rPr>
          <w:color w:val="000000"/>
          <w:sz w:val="24"/>
        </w:rPr>
      </w:pPr>
      <w:r>
        <w:rPr>
          <w:color w:val="000000"/>
          <w:sz w:val="24"/>
        </w:rPr>
        <w:t>本基金在上半年业绩受到影响，主要原因是在投资策略上以成长股研究为主，</w:t>
      </w:r>
      <w:proofErr w:type="gramStart"/>
      <w:r>
        <w:rPr>
          <w:color w:val="000000"/>
          <w:sz w:val="24"/>
        </w:rPr>
        <w:t>蓝筹类及</w:t>
      </w:r>
      <w:proofErr w:type="gramEnd"/>
      <w:r>
        <w:rPr>
          <w:color w:val="000000"/>
          <w:sz w:val="24"/>
        </w:rPr>
        <w:t>周期类个股的研究相对偏少。</w:t>
      </w:r>
    </w:p>
    <w:p w:rsidR="00C02A8F" w:rsidRPr="005C672D" w:rsidRDefault="00C02A8F" w:rsidP="00AC6DDA">
      <w:pPr>
        <w:spacing w:before="29" w:line="288" w:lineRule="auto"/>
        <w:ind w:firstLineChars="200" w:firstLine="480"/>
        <w:rPr>
          <w:color w:val="000000"/>
          <w:sz w:val="24"/>
        </w:rPr>
      </w:pPr>
      <w:r w:rsidRPr="005C672D">
        <w:rPr>
          <w:color w:val="000000"/>
          <w:sz w:val="24"/>
        </w:rPr>
        <w:t>寻找可持续成长的行业及公司是我们的主要投资方法，其中这种成长性是来自于一种市场需求的演化或者商业模式的升级，这样才具备增长惯性。同时很多成长类公司在其细分领域龙头优势非常明显，市场占有率达到</w:t>
      </w:r>
      <w:r w:rsidRPr="005C672D">
        <w:rPr>
          <w:color w:val="000000"/>
          <w:sz w:val="24"/>
        </w:rPr>
        <w:t>95%</w:t>
      </w:r>
      <w:r w:rsidRPr="005C672D">
        <w:rPr>
          <w:color w:val="000000"/>
          <w:sz w:val="24"/>
        </w:rPr>
        <w:t>，甚至超过了目前市场追捧的白马龙头。</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截至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日，交银施罗德优势行业灵活配置混合型证券投资基金份额净值为</w:t>
      </w:r>
      <w:r w:rsidRPr="005C672D">
        <w:rPr>
          <w:color w:val="000000"/>
          <w:sz w:val="24"/>
        </w:rPr>
        <w:t>2.515</w:t>
      </w:r>
      <w:r w:rsidRPr="005C672D">
        <w:rPr>
          <w:color w:val="000000"/>
          <w:sz w:val="24"/>
        </w:rPr>
        <w:t>元，本报告期份额净值增长率为</w:t>
      </w:r>
      <w:r w:rsidRPr="005C672D">
        <w:rPr>
          <w:color w:val="000000"/>
          <w:sz w:val="24"/>
        </w:rPr>
        <w:t>-0.85%</w:t>
      </w:r>
      <w:r w:rsidRPr="005C672D">
        <w:rPr>
          <w:color w:val="000000"/>
          <w:sz w:val="24"/>
        </w:rPr>
        <w:t>，同期业绩比较基准增长率为</w:t>
      </w:r>
      <w:r w:rsidRPr="005C672D">
        <w:rPr>
          <w:color w:val="000000"/>
          <w:sz w:val="24"/>
        </w:rPr>
        <w:t>6.43%</w:t>
      </w:r>
      <w:r w:rsidRPr="005C672D">
        <w:rPr>
          <w:color w:val="000000"/>
          <w:sz w:val="24"/>
        </w:rPr>
        <w:t>。</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7"/>
      <w:bookmarkEnd w:id="28"/>
    </w:p>
    <w:p w:rsidR="001548F9" w:rsidRPr="005C672D" w:rsidRDefault="001548F9" w:rsidP="00AC6DDA">
      <w:pPr>
        <w:spacing w:before="29" w:line="288" w:lineRule="auto"/>
        <w:ind w:firstLineChars="200" w:firstLine="480"/>
        <w:rPr>
          <w:color w:val="000000"/>
          <w:sz w:val="24"/>
        </w:rPr>
      </w:pPr>
      <w:r w:rsidRPr="005C672D">
        <w:rPr>
          <w:color w:val="000000"/>
          <w:sz w:val="24"/>
        </w:rPr>
        <w:t>我们对下半年市场仍持</w:t>
      </w:r>
      <w:r w:rsidRPr="005C672D">
        <w:rPr>
          <w:color w:val="000000"/>
          <w:sz w:val="24"/>
        </w:rPr>
        <w:t>“</w:t>
      </w:r>
      <w:r w:rsidRPr="005C672D">
        <w:rPr>
          <w:color w:val="000000"/>
          <w:sz w:val="24"/>
        </w:rPr>
        <w:t>震荡格局</w:t>
      </w:r>
      <w:r w:rsidRPr="005C672D">
        <w:rPr>
          <w:color w:val="000000"/>
          <w:sz w:val="24"/>
        </w:rPr>
        <w:t>”</w:t>
      </w:r>
      <w:r w:rsidRPr="005C672D">
        <w:rPr>
          <w:color w:val="000000"/>
          <w:sz w:val="24"/>
        </w:rPr>
        <w:t>的大致判断。市场短期的风格偏好使得不同板块间估值波动极大，造成基金净值的波动差异，但是从中长期角度，市场仍是有效的：优秀的公司，持续成长的公司，一定会通过自身业绩获得应有的价值提升。而我们也在一个相对合理的估值体系下合理布局这些短期不被市场偏爱的行业和个股，希望通过中长期的研究和持股，力争为持有人获得持续稳健回报。</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29"/>
      <w:bookmarkEnd w:id="30"/>
      <w:bookmarkEnd w:id="31"/>
    </w:p>
    <w:p w:rsidR="00B10F73" w:rsidRDefault="00914739">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w:t>
      </w:r>
      <w:r>
        <w:rPr>
          <w:color w:val="000000"/>
          <w:sz w:val="24"/>
        </w:rPr>
        <w:lastRenderedPageBreak/>
        <w:t>成立了估值委员会，估值委员会成员由研究部、基金运营部、风险管理部等人员和固定收益人员及基金经理组成。</w:t>
      </w:r>
    </w:p>
    <w:p w:rsidR="00B10F73" w:rsidRDefault="0091473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5C672D">
        <w:rPr>
          <w:rFonts w:ascii="Times New Roman" w:hAnsi="Times New Roman"/>
          <w:kern w:val="0"/>
          <w:szCs w:val="24"/>
        </w:rPr>
        <w:t xml:space="preserve">4.7 </w:t>
      </w:r>
      <w:r w:rsidRPr="005C672D">
        <w:rPr>
          <w:rFonts w:ascii="Times New Roman" w:hAnsi="Times New Roman"/>
          <w:kern w:val="0"/>
          <w:szCs w:val="24"/>
        </w:rPr>
        <w:t>管理人对报告期内基金利润分配情况的说明</w:t>
      </w:r>
      <w:bookmarkEnd w:id="32"/>
      <w:bookmarkEnd w:id="33"/>
      <w:bookmarkEnd w:id="34"/>
    </w:p>
    <w:p w:rsidR="00B10F73" w:rsidRDefault="00914739">
      <w:pPr>
        <w:spacing w:before="29" w:line="288" w:lineRule="auto"/>
        <w:ind w:firstLineChars="200" w:firstLine="480"/>
        <w:rPr>
          <w:color w:val="000000"/>
          <w:sz w:val="24"/>
        </w:rPr>
      </w:pPr>
      <w:r>
        <w:rPr>
          <w:color w:val="000000"/>
          <w:sz w:val="24"/>
        </w:rPr>
        <w:t>根据相关法律法规和基金合同要求，本基金本报告期内对上一年度应分配的可分配利润进行了收益分配，具体情况参见半年度报告正文</w:t>
      </w:r>
      <w:r>
        <w:rPr>
          <w:color w:val="000000"/>
          <w:sz w:val="24"/>
        </w:rPr>
        <w:t>6.4.11</w:t>
      </w:r>
      <w:r>
        <w:rPr>
          <w:color w:val="000000"/>
          <w:sz w:val="24"/>
        </w:rPr>
        <w:t>利润分配情况。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本基金未对本报告期</w:t>
      </w:r>
      <w:proofErr w:type="gramStart"/>
      <w:r w:rsidRPr="005C672D">
        <w:rPr>
          <w:color w:val="000000"/>
          <w:sz w:val="24"/>
        </w:rPr>
        <w:t>内利润</w:t>
      </w:r>
      <w:proofErr w:type="gramEnd"/>
      <w:r w:rsidRPr="005C672D">
        <w:rPr>
          <w:color w:val="000000"/>
          <w:sz w:val="24"/>
        </w:rPr>
        <w:t>进行分配。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本基金本报告期内无需预警说明。</w:t>
      </w:r>
      <w:r w:rsidRPr="005C672D">
        <w:rPr>
          <w:kern w:val="0"/>
          <w:sz w:val="24"/>
        </w:rPr>
        <w:t xml:space="preserve"> </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5C672D">
        <w:rPr>
          <w:b/>
          <w:bCs/>
          <w:szCs w:val="24"/>
          <w:lang w:val="en-US"/>
        </w:rPr>
        <w:t xml:space="preserve">5  </w:t>
      </w:r>
      <w:r w:rsidRPr="005C672D">
        <w:rPr>
          <w:b/>
          <w:bCs/>
          <w:szCs w:val="24"/>
          <w:lang w:val="en-US"/>
        </w:rPr>
        <w:t>托管人报告</w:t>
      </w:r>
      <w:bookmarkEnd w:id="35"/>
      <w:bookmarkEnd w:id="36"/>
    </w:p>
    <w:p w:rsidR="001548F9" w:rsidRPr="005C672D"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7"/>
      <w:bookmarkEnd w:id="38"/>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本基金托管人在对交银施罗德优势行业灵活配置混合型证券投资基金的托管过程中，严格遵守《证券投资基金法》及其他法律法规和基金合同的有关规定，不存在任何损害基金份额持有人利益的行为，完全尽职尽责地履行了基金托管人应尽的义务。</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39"/>
      <w:r w:rsidRPr="005C672D">
        <w:rPr>
          <w:rFonts w:ascii="Times New Roman" w:hAnsi="Times New Roman"/>
          <w:kern w:val="0"/>
          <w:szCs w:val="24"/>
        </w:rPr>
        <w:t>说明</w:t>
      </w:r>
      <w:bookmarkEnd w:id="40"/>
    </w:p>
    <w:p w:rsidR="00B10F73" w:rsidRDefault="00914739">
      <w:pPr>
        <w:spacing w:before="29" w:line="288" w:lineRule="auto"/>
        <w:ind w:firstLineChars="200" w:firstLine="480"/>
        <w:rPr>
          <w:color w:val="000000"/>
          <w:sz w:val="24"/>
        </w:rPr>
      </w:pPr>
      <w:r>
        <w:rPr>
          <w:color w:val="000000"/>
          <w:sz w:val="24"/>
        </w:rPr>
        <w:t>本报告期内，交银施罗德优势行业灵活配置混合型证券投资基金的管理人</w:t>
      </w:r>
      <w:r>
        <w:rPr>
          <w:color w:val="000000"/>
          <w:sz w:val="24"/>
        </w:rPr>
        <w:t>——</w:t>
      </w:r>
      <w:r>
        <w:rPr>
          <w:color w:val="000000"/>
          <w:sz w:val="24"/>
        </w:rPr>
        <w:t>交银施罗德基金管理有限公司在交银施罗德优势行业灵活配置混合型证券投资基金的投资运作、基金资产净值计算、基金份额申购赎回价格计算、基金费用开支等问题上，不存在任何损害基金份额持有人利益的行为，在各重要方面的运作严格按照基金合同的规定</w:t>
      </w:r>
      <w:r>
        <w:rPr>
          <w:color w:val="000000"/>
          <w:sz w:val="24"/>
        </w:rPr>
        <w:lastRenderedPageBreak/>
        <w:t>进行。</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本报告期内，交银施罗德优势行业灵活配置混合型证券投资基金对基金份额持有人进行了</w:t>
      </w:r>
      <w:r w:rsidRPr="005C672D">
        <w:rPr>
          <w:color w:val="000000"/>
          <w:sz w:val="24"/>
        </w:rPr>
        <w:t>1</w:t>
      </w:r>
      <w:r w:rsidRPr="005C672D">
        <w:rPr>
          <w:color w:val="000000"/>
          <w:sz w:val="24"/>
        </w:rPr>
        <w:t>次利润分配，分配金额为</w:t>
      </w:r>
      <w:r w:rsidRPr="005C672D">
        <w:rPr>
          <w:color w:val="000000"/>
          <w:sz w:val="24"/>
        </w:rPr>
        <w:t>42,744,715.10</w:t>
      </w:r>
      <w:r w:rsidRPr="005C672D">
        <w:rPr>
          <w:color w:val="000000"/>
          <w:sz w:val="24"/>
        </w:rPr>
        <w:t>元。</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5C672D">
        <w:rPr>
          <w:rFonts w:ascii="Times New Roman" w:hAnsi="Times New Roman"/>
          <w:kern w:val="0"/>
          <w:szCs w:val="24"/>
        </w:rPr>
        <w:t xml:space="preserve">5.3 </w:t>
      </w:r>
      <w:r w:rsidRPr="005C672D">
        <w:rPr>
          <w:rFonts w:ascii="Times New Roman" w:hAnsi="Times New Roman"/>
          <w:kern w:val="0"/>
          <w:szCs w:val="24"/>
        </w:rPr>
        <w:t>托管人</w:t>
      </w:r>
      <w:proofErr w:type="gramStart"/>
      <w:r w:rsidRPr="005C672D">
        <w:rPr>
          <w:rFonts w:ascii="Times New Roman" w:hAnsi="Times New Roman"/>
          <w:kern w:val="0"/>
          <w:szCs w:val="24"/>
        </w:rPr>
        <w:t>对本半年度</w:t>
      </w:r>
      <w:proofErr w:type="gramEnd"/>
      <w:r w:rsidRPr="005C672D">
        <w:rPr>
          <w:rFonts w:ascii="Times New Roman" w:hAnsi="Times New Roman"/>
          <w:kern w:val="0"/>
          <w:szCs w:val="24"/>
        </w:rPr>
        <w:t>报告中财务信息等内容的真实、准确和完整发表意见</w:t>
      </w:r>
      <w:bookmarkEnd w:id="41"/>
      <w:bookmarkEnd w:id="42"/>
    </w:p>
    <w:p w:rsidR="001548F9" w:rsidRPr="005C672D" w:rsidRDefault="001548F9" w:rsidP="00AC6DDA">
      <w:pPr>
        <w:spacing w:before="29" w:line="288" w:lineRule="auto"/>
        <w:ind w:firstLineChars="200" w:firstLine="480"/>
        <w:rPr>
          <w:color w:val="000000"/>
          <w:sz w:val="24"/>
        </w:rPr>
      </w:pPr>
      <w:r w:rsidRPr="005C672D">
        <w:rPr>
          <w:color w:val="000000"/>
          <w:sz w:val="24"/>
        </w:rPr>
        <w:t>本托管人依法对交银施罗德基金管理有限公司编制和披露的交银施罗德优势行业灵活配置混合型证券投资基金</w:t>
      </w:r>
      <w:r w:rsidRPr="005C672D">
        <w:rPr>
          <w:color w:val="000000"/>
          <w:sz w:val="24"/>
        </w:rPr>
        <w:t>2017</w:t>
      </w:r>
      <w:r w:rsidRPr="005C672D">
        <w:rPr>
          <w:color w:val="000000"/>
          <w:sz w:val="24"/>
        </w:rPr>
        <w:t>年半年度报告中财务指标、净值表现、利润分配情况、财务会计报告、投资组合报告等内容进行了核查，以上内容真实、准确和完整。</w:t>
      </w:r>
    </w:p>
    <w:p w:rsidR="001127DC" w:rsidRPr="005C672D" w:rsidRDefault="001127DC" w:rsidP="00AC6DDA">
      <w:pPr>
        <w:spacing w:before="29" w:line="288" w:lineRule="auto"/>
        <w:ind w:firstLineChars="200" w:firstLine="480"/>
        <w:rPr>
          <w:color w:val="000000"/>
          <w:sz w:val="24"/>
        </w:r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43" w:name="_Toc331410096"/>
      <w:r w:rsidRPr="005C672D">
        <w:rPr>
          <w:b/>
          <w:bCs/>
          <w:szCs w:val="24"/>
          <w:lang w:val="en-US"/>
        </w:rPr>
        <w:t>6</w:t>
      </w:r>
      <w:bookmarkEnd w:id="43"/>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4"/>
      <w:bookmarkEnd w:id="45"/>
    </w:p>
    <w:p w:rsidR="006C5149" w:rsidRPr="005C672D" w:rsidRDefault="006C5149" w:rsidP="00AC6DDA">
      <w:pPr>
        <w:spacing w:before="29" w:line="288" w:lineRule="auto"/>
        <w:rPr>
          <w:color w:val="000000"/>
          <w:sz w:val="24"/>
        </w:rPr>
      </w:pPr>
      <w:r w:rsidRPr="005C672D">
        <w:rPr>
          <w:color w:val="000000"/>
          <w:sz w:val="24"/>
        </w:rPr>
        <w:t>会计主体：交银施罗德优势行业灵活配置混合型证券投资基金</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2017</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2016</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资产：</w:t>
            </w:r>
          </w:p>
        </w:tc>
        <w:tc>
          <w:tcPr>
            <w:tcW w:w="1080" w:type="dxa"/>
            <w:vAlign w:val="center"/>
          </w:tcPr>
          <w:p w:rsidR="006C5149" w:rsidRPr="003A6CAB"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3A6CAB" w:rsidRDefault="0006098B" w:rsidP="00AC6DDA">
            <w:pPr>
              <w:widowControl/>
              <w:autoSpaceDE w:val="0"/>
              <w:autoSpaceDN w:val="0"/>
              <w:spacing w:before="29" w:line="288" w:lineRule="auto"/>
              <w:ind w:right="-15"/>
              <w:jc w:val="center"/>
              <w:textAlignment w:val="bottom"/>
              <w:rPr>
                <w:color w:val="000000"/>
                <w:sz w:val="24"/>
              </w:rPr>
            </w:pPr>
            <w:r w:rsidRPr="003A6CAB">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118,823,129.70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150,597,572.90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2,086,024.78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4,430,593.02</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433,479.49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414,495.21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517,160,362.28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499,072,522.45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其中：股票投资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487,316,362.28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469,279,522.45</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29,844,000.00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29,793,000.00</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3A6CAB"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8,617,941.15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3,974,960.47</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470,715.16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122,804.66</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639,779.69</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1,560,821.08</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lastRenderedPageBreak/>
              <w:t>其他资产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648,231,432.25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660,173,769.79</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2017</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2016</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短期借款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应付证券清算款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1,306,008.88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w:t>
            </w:r>
            <w:proofErr w:type="gramStart"/>
            <w:r w:rsidRPr="005C672D">
              <w:rPr>
                <w:color w:val="000000"/>
                <w:sz w:val="24"/>
              </w:rPr>
              <w:t>赎回款</w:t>
            </w:r>
            <w:proofErr w:type="gramEnd"/>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2,913,998.25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2,247,261.64</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781,897.39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819,955.25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130,316.24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136,659.17</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1,288,818.87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1,829,222.55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应付利息</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364,347.03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236,220.65</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5,479,378.87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6,575,329.23</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p>
        </w:tc>
        <w:tc>
          <w:tcPr>
            <w:tcW w:w="2520" w:type="dxa"/>
            <w:vAlign w:val="center"/>
          </w:tcPr>
          <w:p w:rsidR="006C5149" w:rsidRPr="005C672D" w:rsidRDefault="006C5149" w:rsidP="00AC6DDA">
            <w:pPr>
              <w:spacing w:before="29" w:line="288" w:lineRule="auto"/>
              <w:jc w:val="right"/>
              <w:rPr>
                <w:b/>
                <w:color w:val="000000"/>
                <w:sz w:val="24"/>
              </w:rPr>
            </w:pP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实收基金</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255,606,174.48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239,931,396.20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387,145,878.90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413,667,044.36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642,752,053.38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653,598,440.56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648,231,432.25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660,173,769.79</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2017</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日，基金份额净值</w:t>
      </w:r>
      <w:r w:rsidR="006C5149" w:rsidRPr="005C672D">
        <w:rPr>
          <w:kern w:val="0"/>
          <w:sz w:val="24"/>
        </w:rPr>
        <w:t>2.515</w:t>
      </w:r>
      <w:r w:rsidR="006C5149" w:rsidRPr="005C672D">
        <w:rPr>
          <w:kern w:val="0"/>
          <w:sz w:val="24"/>
        </w:rPr>
        <w:t>元，基金份额总额</w:t>
      </w:r>
      <w:r w:rsidR="006C5149" w:rsidRPr="005C672D">
        <w:rPr>
          <w:kern w:val="0"/>
          <w:sz w:val="24"/>
        </w:rPr>
        <w:t>255,606,174.48</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6"/>
      <w:bookmarkEnd w:id="47"/>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交银施罗德优势行业灵活配置混合型证券投资基金</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2017</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2017</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6C5149" w:rsidRPr="005C672D" w:rsidTr="00BA0FB8">
        <w:tc>
          <w:tcPr>
            <w:tcW w:w="342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2017</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2017</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2016</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2016</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BA0FB8">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3,431,740.23</w:t>
            </w: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-10,067,409.60</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1.</w:t>
            </w:r>
            <w:r w:rsidRPr="005C672D">
              <w:rPr>
                <w:color w:val="000000"/>
                <w:sz w:val="24"/>
              </w:rPr>
              <w:t>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1,146,768.93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476,336.78</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588,643.93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361,287.60</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349,602.74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115,049.18</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买入返售金融资产收入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208,522.26</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-18,608,638.28</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-2,361,029.11</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-20,646,184.21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-3,175,651.57</w:t>
            </w:r>
          </w:p>
        </w:tc>
      </w:tr>
      <w:tr w:rsidR="006C5149" w:rsidRPr="005C672D" w:rsidTr="00BA0FB8">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-47,190.00</w:t>
            </w:r>
          </w:p>
        </w:tc>
      </w:tr>
      <w:tr w:rsidR="006C5149" w:rsidRPr="005C672D" w:rsidTr="00BA0FB8">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3A6CAB"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2,037,545.93</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861,812.46</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20,635,500.71</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-8,243,464.49</w:t>
            </w:r>
          </w:p>
        </w:tc>
      </w:tr>
      <w:tr w:rsidR="008F704B" w:rsidRPr="005C672D" w:rsidTr="00BA0FB8">
        <w:tc>
          <w:tcPr>
            <w:tcW w:w="3420" w:type="dxa"/>
            <w:vAlign w:val="center"/>
          </w:tcPr>
          <w:p w:rsidR="008F704B" w:rsidRPr="005C672D" w:rsidRDefault="008F704B" w:rsidP="00AC6DDA">
            <w:pPr>
              <w:pStyle w:val="af6"/>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258,108.87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60,747.22</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10,257,059.97</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6,830,355.60</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4,698,775.68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2,087,442.19</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783,129.24</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347,907.03</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4,570,491.29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4,261,550.58</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6</w:t>
            </w:r>
            <w:r w:rsidRPr="005C672D">
              <w:rPr>
                <w:color w:val="000000"/>
                <w:sz w:val="24"/>
              </w:rPr>
              <w:t>．其他费用</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6.4.7.20</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204,663.76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133,455.80</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-6,825,319.74</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-16,897,765.20</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lastRenderedPageBreak/>
              <w:t>四、净利润（净亏损以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-6,825,319.74</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-16,897,765.20</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8"/>
      <w:bookmarkEnd w:id="49"/>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交银施罗德优势行业灵活配置混合型证券投资基金</w:t>
      </w:r>
    </w:p>
    <w:p w:rsidR="001548F9" w:rsidRPr="005C672D" w:rsidRDefault="001548F9" w:rsidP="00AC6DDA">
      <w:pPr>
        <w:spacing w:before="29" w:line="288" w:lineRule="auto"/>
        <w:rPr>
          <w:kern w:val="0"/>
          <w:sz w:val="24"/>
        </w:rPr>
      </w:pPr>
      <w:r w:rsidRPr="005C672D">
        <w:rPr>
          <w:color w:val="000000"/>
          <w:sz w:val="24"/>
        </w:rPr>
        <w:t>本报告期：</w:t>
      </w:r>
      <w:r w:rsidRPr="005C672D">
        <w:rPr>
          <w:kern w:val="0"/>
          <w:sz w:val="24"/>
        </w:rPr>
        <w:t>2017</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2017</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2017</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2017</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239,931,396.20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413,667,044.36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653,598,440.56</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-6,825,319.74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-6,825,319.74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15,674,778.28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23,048,869.38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38,723,647.66</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103,789,120.03</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156,896,423.91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260,685,543.94</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w:t>
            </w:r>
            <w:proofErr w:type="gramStart"/>
            <w:r w:rsidRPr="005C672D">
              <w:rPr>
                <w:color w:val="000000"/>
                <w:sz w:val="24"/>
              </w:rPr>
              <w:t>赎回款</w:t>
            </w:r>
            <w:proofErr w:type="gramEnd"/>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-88,114,341.75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-133,847,554.53</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-221,961,896.28</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-42,744,715.10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-42,744,715.10</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255,606,174.48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387,145,878.90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642,752,053.38</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2016</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2016</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109,825,066.69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187,658,062.46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297,483,129.15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-16,897,765.20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-16,897,765.20</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lastRenderedPageBreak/>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21,350,163.51</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26,160,743.55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47,510,907.06</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45,348,787.83</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57,755,481.26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103,104,269.09</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w:t>
            </w:r>
            <w:proofErr w:type="gramStart"/>
            <w:r w:rsidRPr="005C672D">
              <w:rPr>
                <w:color w:val="000000"/>
                <w:sz w:val="24"/>
              </w:rPr>
              <w:t>赎回款</w:t>
            </w:r>
            <w:proofErr w:type="gramEnd"/>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-23,998,624.32</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-31,594,737.71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-55,593,362.03</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-9,649,848.55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-9,649,848.55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131,175,230.20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187,271,192.26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318,446,422.46</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A630A" w:rsidP="00AC6DDA">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R="002A630A" w:rsidRPr="005C672D" w:rsidRDefault="002D20E4" w:rsidP="00AC6DDA">
      <w:pPr>
        <w:spacing w:before="29" w:line="288" w:lineRule="auto"/>
        <w:rPr>
          <w:sz w:val="24"/>
        </w:rPr>
      </w:pPr>
      <w:r w:rsidRPr="005C672D">
        <w:rPr>
          <w:sz w:val="24"/>
        </w:rPr>
        <w:t>基金管理人</w:t>
      </w:r>
      <w:r w:rsidR="002A630A" w:rsidRPr="005C672D">
        <w:rPr>
          <w:sz w:val="24"/>
        </w:rPr>
        <w:t>负责人：阮红，主管会计工作负责人：</w:t>
      </w:r>
      <w:proofErr w:type="gramStart"/>
      <w:r w:rsidR="002A630A" w:rsidRPr="005C672D">
        <w:rPr>
          <w:sz w:val="24"/>
        </w:rPr>
        <w:t>夏华龙</w:t>
      </w:r>
      <w:proofErr w:type="gramEnd"/>
      <w:r w:rsidR="002A630A" w:rsidRPr="005C672D">
        <w:rPr>
          <w:sz w:val="24"/>
        </w:rPr>
        <w:t>，会计机构负责人：单江</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0"/>
      <w:bookmarkEnd w:id="5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B10F73" w:rsidRDefault="00914739">
      <w:pPr>
        <w:spacing w:before="29" w:line="288" w:lineRule="auto"/>
        <w:ind w:firstLineChars="200" w:firstLine="480"/>
        <w:rPr>
          <w:color w:val="000000"/>
          <w:sz w:val="24"/>
        </w:rPr>
      </w:pPr>
      <w:r>
        <w:rPr>
          <w:color w:val="000000"/>
          <w:sz w:val="24"/>
        </w:rPr>
        <w:t>交银施罗德优势行业灵活配置混合型证券投资基金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是由交银施罗德保本混合型证券投资基金</w:t>
      </w:r>
      <w:r>
        <w:rPr>
          <w:color w:val="000000"/>
          <w:sz w:val="24"/>
        </w:rPr>
        <w:t>(</w:t>
      </w:r>
      <w:r>
        <w:rPr>
          <w:color w:val="000000"/>
          <w:sz w:val="24"/>
        </w:rPr>
        <w:t>以下简称</w:t>
      </w:r>
      <w:r>
        <w:rPr>
          <w:color w:val="000000"/>
          <w:sz w:val="24"/>
        </w:rPr>
        <w:t>“</w:t>
      </w:r>
      <w:r>
        <w:rPr>
          <w:color w:val="000000"/>
          <w:sz w:val="24"/>
        </w:rPr>
        <w:t>交银施罗德保本基金</w:t>
      </w:r>
      <w:r>
        <w:rPr>
          <w:color w:val="000000"/>
          <w:sz w:val="24"/>
        </w:rPr>
        <w:t>”)</w:t>
      </w:r>
      <w:r>
        <w:rPr>
          <w:color w:val="000000"/>
          <w:sz w:val="24"/>
        </w:rPr>
        <w:t>转型而来。按照原《交银施罗德保本混合型证券投资基金基金合同》的约定，交银施罗德保本基金自基金合同生效之日起至三个公历年后对应日止为基金保本期</w:t>
      </w:r>
      <w:r>
        <w:rPr>
          <w:color w:val="000000"/>
          <w:sz w:val="24"/>
        </w:rPr>
        <w:t>(</w:t>
      </w:r>
      <w:r>
        <w:rPr>
          <w:color w:val="000000"/>
          <w:sz w:val="24"/>
        </w:rPr>
        <w:t>如保本周期届满的最后一日为非工作日，则保本周期到期日顺延至下一个工作日</w:t>
      </w:r>
      <w:r>
        <w:rPr>
          <w:color w:val="000000"/>
          <w:sz w:val="24"/>
        </w:rPr>
        <w:t>)</w:t>
      </w:r>
      <w:r>
        <w:rPr>
          <w:color w:val="000000"/>
          <w:sz w:val="24"/>
        </w:rPr>
        <w:t>，保本周期到期后转型为非保本的混合型基金，名称相应变更为</w:t>
      </w:r>
      <w:r>
        <w:rPr>
          <w:color w:val="000000"/>
          <w:sz w:val="24"/>
        </w:rPr>
        <w:t>“</w:t>
      </w:r>
      <w:r>
        <w:rPr>
          <w:color w:val="000000"/>
          <w:sz w:val="24"/>
        </w:rPr>
        <w:t>交银施罗德优势行业灵活配置混合型证券投资基金</w:t>
      </w:r>
      <w:r>
        <w:rPr>
          <w:color w:val="000000"/>
          <w:sz w:val="24"/>
        </w:rPr>
        <w:t>”</w:t>
      </w:r>
      <w:r>
        <w:rPr>
          <w:color w:val="000000"/>
          <w:sz w:val="24"/>
        </w:rPr>
        <w:t>。自</w:t>
      </w:r>
      <w:r>
        <w:rPr>
          <w:color w:val="000000"/>
          <w:sz w:val="24"/>
        </w:rPr>
        <w:t>2012</w:t>
      </w:r>
      <w:r>
        <w:rPr>
          <w:color w:val="000000"/>
          <w:sz w:val="24"/>
        </w:rPr>
        <w:t>年</w:t>
      </w:r>
      <w:r>
        <w:rPr>
          <w:color w:val="000000"/>
          <w:sz w:val="24"/>
        </w:rPr>
        <w:t>2</w:t>
      </w:r>
      <w:r>
        <w:rPr>
          <w:color w:val="000000"/>
          <w:sz w:val="24"/>
        </w:rPr>
        <w:t>月</w:t>
      </w:r>
      <w:r>
        <w:rPr>
          <w:color w:val="000000"/>
          <w:sz w:val="24"/>
        </w:rPr>
        <w:t>3</w:t>
      </w:r>
      <w:r>
        <w:rPr>
          <w:color w:val="000000"/>
          <w:sz w:val="24"/>
        </w:rPr>
        <w:t>日起，《交银施罗德优势行业灵活配置混合型证券投资基金基金合同》正式生效。本基金为契约型开放式，存续期限不定。本基金的基金管理人为交银施罗德基金管理有限公司，基金托管人为中国工商银行股份有限公司。</w:t>
      </w:r>
    </w:p>
    <w:p w:rsidR="00B10F73" w:rsidRDefault="00914739">
      <w:pPr>
        <w:spacing w:before="29" w:line="288" w:lineRule="auto"/>
        <w:ind w:firstLineChars="200" w:firstLine="480"/>
        <w:rPr>
          <w:color w:val="000000"/>
          <w:sz w:val="24"/>
        </w:rPr>
      </w:pPr>
      <w:r>
        <w:rPr>
          <w:color w:val="000000"/>
          <w:sz w:val="24"/>
        </w:rPr>
        <w:t>原交银施罗德保本基金经中国证券监督管理委员会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[2008]1285</w:t>
      </w:r>
      <w:r>
        <w:rPr>
          <w:color w:val="000000"/>
          <w:sz w:val="24"/>
        </w:rPr>
        <w:t>号《关于核准交银施罗德保本混合型证券投资基金募集的批复》核准，由交银施罗德基金管理有限公司依照《中华人民共和国证券投资基金法》和《交银施罗德保本混合型证券投资基金基金合同》负责公开募集。原交银施罗德保本基金首次设立募集不包括认购资金利息共募集人民币</w:t>
      </w:r>
      <w:r>
        <w:rPr>
          <w:color w:val="000000"/>
          <w:sz w:val="24"/>
        </w:rPr>
        <w:t>4,953,570,766.25</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(2009)</w:t>
      </w:r>
      <w:r>
        <w:rPr>
          <w:color w:val="000000"/>
          <w:sz w:val="24"/>
        </w:rPr>
        <w:t>第</w:t>
      </w:r>
      <w:r>
        <w:rPr>
          <w:color w:val="000000"/>
          <w:sz w:val="24"/>
        </w:rPr>
        <w:t>012</w:t>
      </w:r>
      <w:r>
        <w:rPr>
          <w:color w:val="000000"/>
          <w:sz w:val="24"/>
        </w:rPr>
        <w:t>号验资报告予以验证。经向中国证监会备案，《交银施罗德保本混合型证券投资基金基金合同》于</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日正式生效，基金合同生效日的基金份额总额为</w:t>
      </w:r>
      <w:r>
        <w:rPr>
          <w:color w:val="000000"/>
          <w:sz w:val="24"/>
        </w:rPr>
        <w:t>4,956,375,599.84</w:t>
      </w:r>
      <w:r>
        <w:rPr>
          <w:color w:val="000000"/>
          <w:sz w:val="24"/>
        </w:rPr>
        <w:t>份基金份额，其中认购资金利息折</w:t>
      </w:r>
      <w:r>
        <w:rPr>
          <w:color w:val="000000"/>
          <w:sz w:val="24"/>
        </w:rPr>
        <w:lastRenderedPageBreak/>
        <w:t>合</w:t>
      </w:r>
      <w:r>
        <w:rPr>
          <w:color w:val="000000"/>
          <w:sz w:val="24"/>
        </w:rPr>
        <w:t>2,804,833.59</w:t>
      </w:r>
      <w:r>
        <w:rPr>
          <w:color w:val="000000"/>
          <w:sz w:val="24"/>
        </w:rPr>
        <w:t>份基金份额。</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优势行业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w:t>
      </w:r>
      <w:r w:rsidRPr="005C672D">
        <w:rPr>
          <w:color w:val="000000"/>
          <w:sz w:val="24"/>
        </w:rPr>
        <w:t>30%-80%</w:t>
      </w:r>
      <w:r w:rsidRPr="005C672D">
        <w:rPr>
          <w:color w:val="000000"/>
          <w:sz w:val="24"/>
        </w:rPr>
        <w:t>；债券、货币市场工具、权证、资产支持证券以及法律法规或中国证监会允许基金投资的其他证券品种占基金资产的</w:t>
      </w:r>
      <w:r w:rsidRPr="005C672D">
        <w:rPr>
          <w:color w:val="000000"/>
          <w:sz w:val="24"/>
        </w:rPr>
        <w:t>20%-70%</w:t>
      </w:r>
      <w:r w:rsidRPr="005C672D">
        <w:rPr>
          <w:color w:val="000000"/>
          <w:sz w:val="24"/>
        </w:rPr>
        <w:t>，其中基金保留的现金以及投资于到期日在一年以内的政府债券的比例合计不低于基金资产净值的</w:t>
      </w:r>
      <w:r w:rsidRPr="005C672D">
        <w:rPr>
          <w:color w:val="000000"/>
          <w:sz w:val="24"/>
        </w:rPr>
        <w:t>5%</w:t>
      </w:r>
      <w:r w:rsidRPr="005C672D">
        <w:rPr>
          <w:color w:val="000000"/>
          <w:sz w:val="24"/>
        </w:rPr>
        <w:t>。自基金合同生效日至</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30</w:t>
      </w:r>
      <w:r w:rsidRPr="005C672D">
        <w:rPr>
          <w:color w:val="000000"/>
          <w:sz w:val="24"/>
        </w:rPr>
        <w:t>日，本基金的业绩比较基准为：</w:t>
      </w:r>
      <w:r w:rsidRPr="005C672D">
        <w:rPr>
          <w:color w:val="000000"/>
          <w:sz w:val="24"/>
        </w:rPr>
        <w:t>60%×</w:t>
      </w:r>
      <w:r w:rsidRPr="005C672D">
        <w:rPr>
          <w:color w:val="000000"/>
          <w:sz w:val="24"/>
        </w:rPr>
        <w:t>沪深</w:t>
      </w:r>
      <w:r w:rsidRPr="005C672D">
        <w:rPr>
          <w:color w:val="000000"/>
          <w:sz w:val="24"/>
        </w:rPr>
        <w:t>300</w:t>
      </w:r>
      <w:r w:rsidRPr="005C672D">
        <w:rPr>
          <w:color w:val="000000"/>
          <w:sz w:val="24"/>
        </w:rPr>
        <w:t>指数收益率</w:t>
      </w:r>
      <w:r w:rsidRPr="005C672D">
        <w:rPr>
          <w:color w:val="000000"/>
          <w:sz w:val="24"/>
        </w:rPr>
        <w:t>+40%×</w:t>
      </w:r>
      <w:r w:rsidRPr="005C672D">
        <w:rPr>
          <w:color w:val="000000"/>
          <w:sz w:val="24"/>
        </w:rPr>
        <w:t>中信标</w:t>
      </w:r>
      <w:proofErr w:type="gramStart"/>
      <w:r w:rsidRPr="005C672D">
        <w:rPr>
          <w:color w:val="000000"/>
          <w:sz w:val="24"/>
        </w:rPr>
        <w:t>普全债指数</w:t>
      </w:r>
      <w:proofErr w:type="gramEnd"/>
      <w:r w:rsidRPr="005C672D">
        <w:rPr>
          <w:color w:val="000000"/>
          <w:sz w:val="24"/>
        </w:rPr>
        <w:t>收益率。根据本基金的基金管理人于</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28</w:t>
      </w:r>
      <w:r w:rsidRPr="005C672D">
        <w:rPr>
          <w:color w:val="000000"/>
          <w:sz w:val="24"/>
        </w:rPr>
        <w:t>日发布的《交银施罗德基金管理有限公司关于旗下部分基金业绩比较基准变更并修改基金合同相关内容的公告》，自</w:t>
      </w:r>
      <w:r w:rsidRPr="005C672D">
        <w:rPr>
          <w:color w:val="000000"/>
          <w:sz w:val="24"/>
        </w:rPr>
        <w:t>2015</w:t>
      </w:r>
      <w:r w:rsidRPr="005C672D">
        <w:rPr>
          <w:color w:val="000000"/>
          <w:sz w:val="24"/>
        </w:rPr>
        <w:t>年</w:t>
      </w:r>
      <w:r w:rsidRPr="005C672D">
        <w:rPr>
          <w:color w:val="000000"/>
          <w:sz w:val="24"/>
        </w:rPr>
        <w:t>10</w:t>
      </w:r>
      <w:r w:rsidRPr="005C672D">
        <w:rPr>
          <w:color w:val="000000"/>
          <w:sz w:val="24"/>
        </w:rPr>
        <w:t>月</w:t>
      </w:r>
      <w:r w:rsidRPr="005C672D">
        <w:rPr>
          <w:color w:val="000000"/>
          <w:sz w:val="24"/>
        </w:rPr>
        <w:t>1</w:t>
      </w:r>
      <w:r w:rsidRPr="005C672D">
        <w:rPr>
          <w:color w:val="000000"/>
          <w:sz w:val="24"/>
        </w:rPr>
        <w:t>日起，本基金的业绩比较基准变更为：</w:t>
      </w:r>
      <w:r w:rsidRPr="005C672D">
        <w:rPr>
          <w:color w:val="000000"/>
          <w:sz w:val="24"/>
        </w:rPr>
        <w:t>60%×</w:t>
      </w:r>
      <w:r w:rsidRPr="005C672D">
        <w:rPr>
          <w:color w:val="000000"/>
          <w:sz w:val="24"/>
        </w:rPr>
        <w:t>沪深</w:t>
      </w:r>
      <w:r w:rsidRPr="005C672D">
        <w:rPr>
          <w:color w:val="000000"/>
          <w:sz w:val="24"/>
        </w:rPr>
        <w:t>300</w:t>
      </w:r>
      <w:r w:rsidRPr="005C672D">
        <w:rPr>
          <w:color w:val="000000"/>
          <w:sz w:val="24"/>
        </w:rPr>
        <w:t>指数收益率</w:t>
      </w:r>
      <w:r w:rsidRPr="005C672D">
        <w:rPr>
          <w:color w:val="000000"/>
          <w:sz w:val="24"/>
        </w:rPr>
        <w:t>+40%×</w:t>
      </w:r>
      <w:r w:rsidRPr="005C672D">
        <w:rPr>
          <w:color w:val="000000"/>
          <w:sz w:val="24"/>
        </w:rPr>
        <w:t>中证综合债券指数收益率。</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本基金的财务报表按照财政部于</w:t>
      </w:r>
      <w:r w:rsidRPr="005C672D">
        <w:rPr>
          <w:color w:val="000000"/>
          <w:sz w:val="24"/>
        </w:rPr>
        <w:t>2006</w:t>
      </w:r>
      <w:r w:rsidRPr="005C672D">
        <w:rPr>
          <w:color w:val="000000"/>
          <w:sz w:val="24"/>
        </w:rPr>
        <w:t>年</w:t>
      </w:r>
      <w:r w:rsidRPr="005C672D">
        <w:rPr>
          <w:color w:val="000000"/>
          <w:sz w:val="24"/>
        </w:rPr>
        <w:t>2</w:t>
      </w:r>
      <w:r w:rsidRPr="005C672D">
        <w:rPr>
          <w:color w:val="000000"/>
          <w:sz w:val="24"/>
        </w:rPr>
        <w:t>月</w:t>
      </w:r>
      <w:r w:rsidRPr="005C672D">
        <w:rPr>
          <w:color w:val="000000"/>
          <w:sz w:val="24"/>
        </w:rPr>
        <w:t>15</w:t>
      </w:r>
      <w:r w:rsidRPr="005C672D">
        <w:rPr>
          <w:color w:val="000000"/>
          <w:sz w:val="24"/>
        </w:rPr>
        <w:t>日及以后期间颁布的《企业会计准则－基本准则》、各项具体会计准则及相关规定</w:t>
      </w:r>
      <w:r w:rsidRPr="005C672D">
        <w:rPr>
          <w:color w:val="000000"/>
          <w:sz w:val="24"/>
        </w:rPr>
        <w:t>(</w:t>
      </w:r>
      <w:r w:rsidRPr="005C672D">
        <w:rPr>
          <w:color w:val="000000"/>
          <w:sz w:val="24"/>
        </w:rPr>
        <w:t>以下合称</w:t>
      </w:r>
      <w:r w:rsidRPr="005C672D">
        <w:rPr>
          <w:color w:val="000000"/>
          <w:sz w:val="24"/>
        </w:rPr>
        <w:t>“</w:t>
      </w:r>
      <w:r w:rsidRPr="005C672D">
        <w:rPr>
          <w:color w:val="000000"/>
          <w:sz w:val="24"/>
        </w:rPr>
        <w:t>企业会计准则</w:t>
      </w:r>
      <w:r w:rsidRPr="005C672D">
        <w:rPr>
          <w:color w:val="000000"/>
          <w:sz w:val="24"/>
        </w:rPr>
        <w:t>”)</w:t>
      </w:r>
      <w:r w:rsidRPr="005C672D">
        <w:rPr>
          <w:color w:val="000000"/>
          <w:sz w:val="24"/>
        </w:rPr>
        <w:t>、中国证监会颁布的《证券投资基金信息披露</w:t>
      </w:r>
      <w:r w:rsidRPr="005C672D">
        <w:rPr>
          <w:color w:val="000000"/>
          <w:sz w:val="24"/>
        </w:rPr>
        <w:t>XBRL</w:t>
      </w:r>
      <w:r w:rsidRPr="005C672D">
        <w:rPr>
          <w:color w:val="000000"/>
          <w:sz w:val="24"/>
        </w:rPr>
        <w:t>模板第</w:t>
      </w:r>
      <w:r w:rsidRPr="005C672D">
        <w:rPr>
          <w:color w:val="000000"/>
          <w:sz w:val="24"/>
        </w:rPr>
        <w:t>3</w:t>
      </w:r>
      <w:r w:rsidRPr="005C672D">
        <w:rPr>
          <w:color w:val="000000"/>
          <w:sz w:val="24"/>
        </w:rPr>
        <w:t>号</w:t>
      </w:r>
      <w:r w:rsidRPr="005C672D">
        <w:rPr>
          <w:color w:val="000000"/>
          <w:sz w:val="24"/>
        </w:rPr>
        <w:t>&lt;</w:t>
      </w:r>
      <w:r w:rsidRPr="005C672D">
        <w:rPr>
          <w:color w:val="000000"/>
          <w:sz w:val="24"/>
        </w:rPr>
        <w:t>年度报告和半年度报告</w:t>
      </w:r>
      <w:r w:rsidRPr="005C672D">
        <w:rPr>
          <w:color w:val="000000"/>
          <w:sz w:val="24"/>
        </w:rPr>
        <w:t>&gt;</w:t>
      </w:r>
      <w:r w:rsidRPr="005C672D">
        <w:rPr>
          <w:color w:val="000000"/>
          <w:sz w:val="24"/>
        </w:rPr>
        <w:t>》、中国证券投资基金业协会</w:t>
      </w:r>
      <w:r w:rsidRPr="005C672D">
        <w:rPr>
          <w:color w:val="000000"/>
          <w:sz w:val="24"/>
        </w:rPr>
        <w:t>(</w:t>
      </w:r>
      <w:r w:rsidRPr="005C672D">
        <w:rPr>
          <w:color w:val="000000"/>
          <w:sz w:val="24"/>
        </w:rPr>
        <w:t>以下简称</w:t>
      </w:r>
      <w:r w:rsidRPr="005C672D">
        <w:rPr>
          <w:color w:val="000000"/>
          <w:sz w:val="24"/>
        </w:rPr>
        <w:t>“</w:t>
      </w:r>
      <w:r w:rsidRPr="005C672D">
        <w:rPr>
          <w:color w:val="000000"/>
          <w:sz w:val="24"/>
        </w:rPr>
        <w:t>中国基金业协会</w:t>
      </w:r>
      <w:r w:rsidRPr="005C672D">
        <w:rPr>
          <w:color w:val="000000"/>
          <w:sz w:val="24"/>
        </w:rPr>
        <w:t>”)</w:t>
      </w:r>
      <w:r w:rsidRPr="005C672D">
        <w:rPr>
          <w:color w:val="000000"/>
          <w:sz w:val="24"/>
        </w:rPr>
        <w:t>颁布的《证券投资基金会计核算业务指引》、《交银施罗德优势行业灵活配置混合型证券投资基金基金合同》和在财务报表附注</w:t>
      </w:r>
      <w:r w:rsidRPr="005C672D">
        <w:rPr>
          <w:color w:val="000000"/>
          <w:sz w:val="24"/>
        </w:rPr>
        <w:t>6.4.4</w:t>
      </w:r>
      <w:r w:rsidRPr="005C672D">
        <w:rPr>
          <w:color w:val="000000"/>
          <w:sz w:val="24"/>
        </w:rPr>
        <w:t>所列示的中国证监会、中国基金业协会发布的有关规定及允许的基金行业实务操作编制。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2017</w:t>
      </w:r>
      <w:r w:rsidRPr="005C672D">
        <w:rPr>
          <w:color w:val="000000"/>
          <w:sz w:val="24"/>
        </w:rPr>
        <w:t>上半年度财务报表符合企业会计准则的要求，真实、完整地反映了本基金</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2017</w:t>
      </w:r>
      <w:r w:rsidRPr="005C672D">
        <w:rPr>
          <w:color w:val="000000"/>
          <w:sz w:val="24"/>
        </w:rPr>
        <w:t>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w:t>
      </w:r>
      <w:proofErr w:type="gramStart"/>
      <w:r w:rsidRPr="005C672D">
        <w:rPr>
          <w:b/>
          <w:kern w:val="0"/>
          <w:sz w:val="24"/>
        </w:rPr>
        <w:t>度报告</w:t>
      </w:r>
      <w:proofErr w:type="gramEnd"/>
      <w:r w:rsidRPr="005C672D">
        <w:rPr>
          <w:b/>
          <w:kern w:val="0"/>
          <w:sz w:val="24"/>
        </w:rPr>
        <w:t>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w:t>
      </w:r>
      <w:proofErr w:type="gramStart"/>
      <w:r w:rsidRPr="005C672D">
        <w:rPr>
          <w:color w:val="000000"/>
          <w:sz w:val="24"/>
        </w:rPr>
        <w:t>度报告</w:t>
      </w:r>
      <w:proofErr w:type="gramEnd"/>
      <w:r w:rsidRPr="005C672D">
        <w:rPr>
          <w:color w:val="000000"/>
          <w:sz w:val="24"/>
        </w:rPr>
        <w:t>相一致。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lastRenderedPageBreak/>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本基金在本报告期间无需说明的会计差错更正。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B10F73" w:rsidRDefault="00914739">
      <w:pPr>
        <w:spacing w:before="29" w:line="288" w:lineRule="auto"/>
        <w:ind w:firstLineChars="200" w:firstLine="480"/>
        <w:rPr>
          <w:color w:val="000000"/>
          <w:sz w:val="24"/>
        </w:rPr>
      </w:pPr>
      <w:r>
        <w:rPr>
          <w:color w:val="000000"/>
          <w:sz w:val="24"/>
        </w:rPr>
        <w:t xml:space="preserve">    </w:t>
      </w: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B10F73" w:rsidRDefault="00914739">
      <w:pPr>
        <w:spacing w:before="29" w:line="288" w:lineRule="auto"/>
        <w:ind w:firstLineChars="200" w:firstLine="480"/>
        <w:rPr>
          <w:color w:val="000000"/>
          <w:sz w:val="24"/>
        </w:rPr>
      </w:pPr>
      <w:r>
        <w:rPr>
          <w:color w:val="000000"/>
          <w:sz w:val="24"/>
        </w:rPr>
        <w:t xml:space="preserve">    (1)</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B10F73" w:rsidRDefault="00914739">
      <w:pPr>
        <w:spacing w:before="29" w:line="288" w:lineRule="auto"/>
        <w:ind w:firstLineChars="200" w:firstLine="480"/>
        <w:rPr>
          <w:color w:val="000000"/>
          <w:sz w:val="24"/>
        </w:rPr>
      </w:pPr>
      <w:r>
        <w:rPr>
          <w:color w:val="000000"/>
          <w:sz w:val="24"/>
        </w:rPr>
        <w:t xml:space="preserve">    (2)</w:t>
      </w:r>
      <w:r>
        <w:rPr>
          <w:color w:val="000000"/>
          <w:sz w:val="24"/>
        </w:rPr>
        <w:t>对基金从证券市场中取得的收入，包括买卖股票、债券的差价收入，股票的股息、红利收入，债券的利息收入及其他收入，暂不征收企业所得税。</w:t>
      </w:r>
    </w:p>
    <w:p w:rsidR="00B10F73" w:rsidRDefault="00914739">
      <w:pPr>
        <w:spacing w:before="29" w:line="288" w:lineRule="auto"/>
        <w:ind w:firstLineChars="200" w:firstLine="480"/>
        <w:rPr>
          <w:color w:val="000000"/>
          <w:sz w:val="24"/>
        </w:rPr>
      </w:pPr>
      <w:r>
        <w:rPr>
          <w:color w:val="000000"/>
          <w:sz w:val="24"/>
        </w:rPr>
        <w:t xml:space="preserve">    (3)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548F9" w:rsidRPr="005C672D" w:rsidRDefault="001548F9" w:rsidP="00AC6DDA">
      <w:pPr>
        <w:spacing w:before="29" w:line="288" w:lineRule="auto"/>
        <w:ind w:firstLineChars="200" w:firstLine="480"/>
        <w:rPr>
          <w:color w:val="000000"/>
          <w:sz w:val="24"/>
        </w:rPr>
      </w:pPr>
      <w:r w:rsidRPr="005C672D">
        <w:rPr>
          <w:color w:val="000000"/>
          <w:sz w:val="24"/>
        </w:rPr>
        <w:t xml:space="preserve">    (4)</w:t>
      </w:r>
      <w:r w:rsidRPr="005C672D">
        <w:rPr>
          <w:color w:val="000000"/>
          <w:sz w:val="24"/>
        </w:rPr>
        <w:t>基金卖出股票按</w:t>
      </w:r>
      <w:r w:rsidRPr="005C672D">
        <w:rPr>
          <w:color w:val="000000"/>
          <w:sz w:val="24"/>
        </w:rPr>
        <w:t>0.1%</w:t>
      </w:r>
      <w:r w:rsidRPr="005C672D">
        <w:rPr>
          <w:color w:val="000000"/>
          <w:sz w:val="24"/>
        </w:rPr>
        <w:t>的税率缴纳股票交易印花税，买入股票不征收股票交易印花税。</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B10F73">
        <w:tc>
          <w:tcPr>
            <w:tcW w:w="5219" w:type="dxa"/>
            <w:vAlign w:val="center"/>
          </w:tcPr>
          <w:p w:rsidR="00B10F73" w:rsidRDefault="0091473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B10F73" w:rsidRDefault="00914739">
            <w:pPr>
              <w:jc w:val="left"/>
            </w:pPr>
            <w:r>
              <w:rPr>
                <w:color w:val="000000"/>
                <w:sz w:val="24"/>
              </w:rPr>
              <w:t>基金管理人、基金销售机构</w:t>
            </w:r>
          </w:p>
        </w:tc>
      </w:tr>
      <w:tr w:rsidR="00B10F73">
        <w:tc>
          <w:tcPr>
            <w:tcW w:w="5219" w:type="dxa"/>
            <w:vAlign w:val="center"/>
          </w:tcPr>
          <w:p w:rsidR="00B10F73" w:rsidRDefault="00914739">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79" w:type="dxa"/>
            <w:vAlign w:val="center"/>
          </w:tcPr>
          <w:p w:rsidR="00B10F73" w:rsidRDefault="00914739">
            <w:pPr>
              <w:jc w:val="left"/>
            </w:pPr>
            <w:r>
              <w:rPr>
                <w:color w:val="000000"/>
                <w:sz w:val="24"/>
              </w:rPr>
              <w:t>基金托管人、基金销售机构</w:t>
            </w:r>
          </w:p>
        </w:tc>
      </w:tr>
      <w:tr w:rsidR="00B10F73">
        <w:tc>
          <w:tcPr>
            <w:tcW w:w="5219" w:type="dxa"/>
            <w:vAlign w:val="center"/>
          </w:tcPr>
          <w:p w:rsidR="00B10F73" w:rsidRDefault="0091473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B10F73" w:rsidRDefault="00914739">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w:t>
      </w:r>
      <w:proofErr w:type="gramStart"/>
      <w:r w:rsidRPr="005C672D">
        <w:rPr>
          <w:color w:val="000000"/>
          <w:sz w:val="24"/>
        </w:rPr>
        <w:t>无通过</w:t>
      </w:r>
      <w:proofErr w:type="gramEnd"/>
      <w:r w:rsidRPr="005C672D">
        <w:rPr>
          <w:color w:val="000000"/>
          <w:sz w:val="24"/>
        </w:rPr>
        <w:t>关联方交易单元进行的交易。</w:t>
      </w:r>
    </w:p>
    <w:p w:rsidR="00EC30D6" w:rsidRPr="005C672D" w:rsidRDefault="00EC30D6"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2017</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2017</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2016</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4,698,775.68</w:t>
            </w:r>
          </w:p>
        </w:tc>
        <w:tc>
          <w:tcPr>
            <w:tcW w:w="2657" w:type="dxa"/>
            <w:vAlign w:val="center"/>
          </w:tcPr>
          <w:p w:rsidR="001548F9" w:rsidRPr="005C672D" w:rsidRDefault="001548F9" w:rsidP="00AC6DDA">
            <w:pPr>
              <w:spacing w:before="29" w:line="288" w:lineRule="auto"/>
              <w:jc w:val="right"/>
              <w:rPr>
                <w:sz w:val="24"/>
              </w:rPr>
            </w:pPr>
            <w:r w:rsidRPr="005C672D">
              <w:rPr>
                <w:sz w:val="24"/>
              </w:rPr>
              <w:t>2,087,442.19</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1,879,090.33</w:t>
            </w:r>
          </w:p>
        </w:tc>
        <w:tc>
          <w:tcPr>
            <w:tcW w:w="2657" w:type="dxa"/>
            <w:vAlign w:val="center"/>
          </w:tcPr>
          <w:p w:rsidR="001548F9" w:rsidRPr="005C672D" w:rsidRDefault="001548F9" w:rsidP="00AC6DDA">
            <w:pPr>
              <w:spacing w:before="29" w:line="288" w:lineRule="auto"/>
              <w:jc w:val="right"/>
              <w:rPr>
                <w:sz w:val="24"/>
              </w:rPr>
            </w:pPr>
            <w:r w:rsidRPr="005C672D">
              <w:rPr>
                <w:sz w:val="24"/>
              </w:rPr>
              <w:t>882,821.19</w:t>
            </w:r>
          </w:p>
        </w:tc>
      </w:tr>
    </w:tbl>
    <w:p w:rsidR="00B10F73" w:rsidRDefault="0091473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 xml:space="preserve"> × 1.5% ÷ </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2017</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2017</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2016</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783,129.24</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347,907.03</w:t>
            </w:r>
          </w:p>
        </w:tc>
      </w:tr>
    </w:tbl>
    <w:p w:rsidR="00B10F73" w:rsidRDefault="0091473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 xml:space="preserve"> × 0.25% ÷ </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w:t>
      </w:r>
      <w:proofErr w:type="gramStart"/>
      <w:r w:rsidRPr="005C672D">
        <w:rPr>
          <w:b/>
          <w:bCs/>
          <w:color w:val="000000"/>
          <w:sz w:val="24"/>
        </w:rPr>
        <w:t>固有资金</w:t>
      </w:r>
      <w:proofErr w:type="gramEnd"/>
      <w:r w:rsidRPr="005C672D">
        <w:rPr>
          <w:b/>
          <w:bCs/>
          <w:color w:val="000000"/>
          <w:sz w:val="24"/>
        </w:rPr>
        <w:t>投资本基金的情况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本报告期内及上年度可比期间未发生基金管理人运用</w:t>
      </w:r>
      <w:proofErr w:type="gramStart"/>
      <w:r w:rsidRPr="005C672D">
        <w:rPr>
          <w:kern w:val="0"/>
          <w:sz w:val="24"/>
        </w:rPr>
        <w:t>固有资金</w:t>
      </w:r>
      <w:proofErr w:type="gramEnd"/>
      <w:r w:rsidRPr="005C672D">
        <w:rPr>
          <w:kern w:val="0"/>
          <w:sz w:val="24"/>
        </w:rPr>
        <w:t>投资本基金的情况。</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F31BCF" w:rsidRPr="005C672D" w:rsidRDefault="00F31BCF" w:rsidP="00AC6DDA">
      <w:pPr>
        <w:tabs>
          <w:tab w:val="left" w:pos="426"/>
        </w:tabs>
        <w:spacing w:before="29" w:line="288" w:lineRule="auto"/>
        <w:jc w:val="left"/>
        <w:rPr>
          <w:kern w:val="0"/>
          <w:sz w:val="24"/>
        </w:rPr>
      </w:pPr>
      <w:r w:rsidRPr="005C672D">
        <w:rPr>
          <w:kern w:val="0"/>
          <w:sz w:val="24"/>
        </w:rPr>
        <w:t>本报告期末及上年度末除基金管理人之外的其他关联方未持有本基金。</w:t>
      </w:r>
    </w:p>
    <w:p w:rsidR="001548F9" w:rsidRPr="005C672D" w:rsidRDefault="001548F9" w:rsidP="00AC6DDA">
      <w:pPr>
        <w:spacing w:before="29" w:line="288" w:lineRule="auto"/>
        <w:rPr>
          <w:color w:val="000000"/>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2016</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B10F73">
        <w:tc>
          <w:tcPr>
            <w:tcW w:w="2171" w:type="dxa"/>
            <w:vAlign w:val="center"/>
          </w:tcPr>
          <w:p w:rsidR="00B10F73" w:rsidRDefault="00914739">
            <w:pPr>
              <w:jc w:val="left"/>
            </w:pPr>
            <w:r>
              <w:rPr>
                <w:sz w:val="24"/>
              </w:rPr>
              <w:t>中国工商银行</w:t>
            </w:r>
          </w:p>
        </w:tc>
        <w:tc>
          <w:tcPr>
            <w:tcW w:w="2023" w:type="dxa"/>
            <w:vAlign w:val="center"/>
          </w:tcPr>
          <w:p w:rsidR="00B10F73" w:rsidRDefault="00914739">
            <w:pPr>
              <w:jc w:val="right"/>
            </w:pPr>
            <w:r>
              <w:rPr>
                <w:sz w:val="24"/>
              </w:rPr>
              <w:t>118,823,129.70</w:t>
            </w:r>
          </w:p>
        </w:tc>
        <w:tc>
          <w:tcPr>
            <w:tcW w:w="1772" w:type="dxa"/>
            <w:vAlign w:val="center"/>
          </w:tcPr>
          <w:p w:rsidR="00B10F73" w:rsidRDefault="00914739">
            <w:pPr>
              <w:jc w:val="right"/>
            </w:pPr>
            <w:r>
              <w:rPr>
                <w:sz w:val="24"/>
              </w:rPr>
              <w:t>561,347.92</w:t>
            </w:r>
          </w:p>
        </w:tc>
        <w:tc>
          <w:tcPr>
            <w:tcW w:w="1412" w:type="dxa"/>
            <w:vAlign w:val="center"/>
          </w:tcPr>
          <w:p w:rsidR="00B10F73" w:rsidRDefault="00914739">
            <w:pPr>
              <w:jc w:val="right"/>
            </w:pPr>
            <w:r>
              <w:rPr>
                <w:sz w:val="24"/>
              </w:rPr>
              <w:t>110,068,957.61</w:t>
            </w:r>
          </w:p>
        </w:tc>
        <w:tc>
          <w:tcPr>
            <w:tcW w:w="1807" w:type="dxa"/>
            <w:vAlign w:val="center"/>
          </w:tcPr>
          <w:p w:rsidR="00B10F73" w:rsidRDefault="00914739">
            <w:pPr>
              <w:jc w:val="right"/>
            </w:pPr>
            <w:r>
              <w:rPr>
                <w:sz w:val="24"/>
              </w:rPr>
              <w:t>337,890.47</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本基金本报告期内及上年度可比期间未在承销期内参与关联方承销证券。</w:t>
      </w:r>
    </w:p>
    <w:p w:rsidR="001548F9" w:rsidRPr="005C672D" w:rsidRDefault="001548F9" w:rsidP="00AC6DDA">
      <w:pPr>
        <w:adjustRightInd w:val="0"/>
        <w:snapToGrid w:val="0"/>
        <w:spacing w:before="29" w:line="288" w:lineRule="auto"/>
        <w:jc w:val="left"/>
        <w:rPr>
          <w:bCs/>
          <w:color w:val="000000"/>
          <w:sz w:val="24"/>
        </w:rPr>
      </w:pPr>
    </w:p>
    <w:p w:rsidR="001548F9" w:rsidRPr="005C672D" w:rsidRDefault="001548F9" w:rsidP="00AC6DDA">
      <w:pPr>
        <w:adjustRightInd w:val="0"/>
        <w:snapToGrid w:val="0"/>
        <w:spacing w:before="29" w:line="288" w:lineRule="auto"/>
        <w:jc w:val="left"/>
        <w:rPr>
          <w:b/>
          <w:color w:val="000000"/>
          <w:sz w:val="24"/>
        </w:rPr>
      </w:pPr>
      <w:r w:rsidRPr="005C672D">
        <w:rPr>
          <w:b/>
          <w:bCs/>
          <w:color w:val="000000"/>
          <w:kern w:val="0"/>
          <w:sz w:val="24"/>
        </w:rPr>
        <w:t xml:space="preserve">6.4.8.7 </w:t>
      </w:r>
      <w:r w:rsidRPr="005C672D">
        <w:rPr>
          <w:b/>
          <w:color w:val="000000"/>
          <w:sz w:val="24"/>
        </w:rPr>
        <w:t>其他关联交易事项的说明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本基金本报告期内及上年度可比期间无其他关联交易事项。</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2017</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spacing w:before="29" w:line="288" w:lineRule="auto"/>
        <w:jc w:val="right"/>
        <w:rPr>
          <w:color w:val="00000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548F9" w:rsidRPr="005C672D" w:rsidTr="00C17210">
        <w:trPr>
          <w:trHeight w:val="270"/>
        </w:trPr>
        <w:tc>
          <w:tcPr>
            <w:tcW w:w="9180" w:type="dxa"/>
            <w:gridSpan w:val="11"/>
            <w:vAlign w:val="center"/>
          </w:tcPr>
          <w:p w:rsidR="001548F9" w:rsidRPr="005C672D" w:rsidRDefault="001548F9" w:rsidP="00AC6DDA">
            <w:pPr>
              <w:spacing w:before="29" w:line="288" w:lineRule="auto"/>
              <w:rPr>
                <w:sz w:val="24"/>
              </w:rPr>
            </w:pPr>
            <w:r w:rsidRPr="005C672D">
              <w:rPr>
                <w:b/>
                <w:bCs/>
                <w:color w:val="000000"/>
                <w:kern w:val="0"/>
                <w:sz w:val="24"/>
              </w:rPr>
              <w:t>6.4.9.1.1</w:t>
            </w:r>
            <w:r w:rsidRPr="005C672D">
              <w:rPr>
                <w:color w:val="000000"/>
                <w:sz w:val="24"/>
              </w:rPr>
              <w:t>受限证券类别：股票</w:t>
            </w:r>
          </w:p>
        </w:tc>
      </w:tr>
      <w:tr w:rsidR="001548F9" w:rsidRPr="005C672D" w:rsidTr="00C17210">
        <w:trPr>
          <w:trHeight w:val="745"/>
        </w:trPr>
        <w:tc>
          <w:tcPr>
            <w:tcW w:w="834" w:type="dxa"/>
            <w:vAlign w:val="center"/>
          </w:tcPr>
          <w:p w:rsidR="001548F9" w:rsidRPr="005C672D" w:rsidRDefault="001548F9" w:rsidP="00AC6DDA">
            <w:pPr>
              <w:spacing w:before="29" w:line="288" w:lineRule="auto"/>
              <w:ind w:leftChars="-46" w:left="-97" w:rightChars="-57" w:right="-120"/>
              <w:jc w:val="center"/>
              <w:rPr>
                <w:sz w:val="24"/>
              </w:rPr>
            </w:pPr>
            <w:r w:rsidRPr="005C672D">
              <w:rPr>
                <w:sz w:val="24"/>
              </w:rPr>
              <w:t>证券</w:t>
            </w:r>
          </w:p>
          <w:p w:rsidR="001548F9" w:rsidRPr="005C672D" w:rsidRDefault="001548F9" w:rsidP="00AC6DDA">
            <w:pPr>
              <w:spacing w:before="29" w:line="288" w:lineRule="auto"/>
              <w:ind w:leftChars="-46" w:left="-97" w:rightChars="-57" w:right="-120"/>
              <w:jc w:val="center"/>
              <w:rPr>
                <w:sz w:val="24"/>
              </w:rPr>
            </w:pPr>
            <w:r w:rsidRPr="005C672D">
              <w:rPr>
                <w:sz w:val="24"/>
              </w:rPr>
              <w:t>代码</w:t>
            </w:r>
          </w:p>
        </w:tc>
        <w:tc>
          <w:tcPr>
            <w:tcW w:w="835" w:type="dxa"/>
            <w:vAlign w:val="center"/>
          </w:tcPr>
          <w:p w:rsidR="001548F9" w:rsidRPr="005C672D" w:rsidRDefault="001548F9" w:rsidP="00AC6DDA">
            <w:pPr>
              <w:spacing w:before="29" w:line="288" w:lineRule="auto"/>
              <w:ind w:leftChars="-50" w:left="-105" w:rightChars="-54" w:right="-113"/>
              <w:jc w:val="center"/>
              <w:rPr>
                <w:sz w:val="24"/>
              </w:rPr>
            </w:pPr>
            <w:r w:rsidRPr="005C672D">
              <w:rPr>
                <w:sz w:val="24"/>
              </w:rPr>
              <w:t>证券</w:t>
            </w:r>
          </w:p>
          <w:p w:rsidR="001548F9" w:rsidRPr="005C672D" w:rsidRDefault="001548F9" w:rsidP="00AC6DDA">
            <w:pPr>
              <w:spacing w:before="29" w:line="288" w:lineRule="auto"/>
              <w:ind w:leftChars="-50" w:left="-105" w:rightChars="-54" w:right="-113"/>
              <w:jc w:val="center"/>
              <w:rPr>
                <w:sz w:val="24"/>
              </w:rPr>
            </w:pPr>
            <w:r w:rsidRPr="005C672D">
              <w:rPr>
                <w:sz w:val="24"/>
              </w:rPr>
              <w:t>名称</w:t>
            </w:r>
          </w:p>
        </w:tc>
        <w:tc>
          <w:tcPr>
            <w:tcW w:w="834" w:type="dxa"/>
            <w:vAlign w:val="center"/>
          </w:tcPr>
          <w:p w:rsidR="001548F9" w:rsidRPr="005C672D" w:rsidRDefault="001548F9" w:rsidP="00AC6DDA">
            <w:pPr>
              <w:spacing w:before="29" w:line="288" w:lineRule="auto"/>
              <w:jc w:val="center"/>
              <w:rPr>
                <w:sz w:val="24"/>
              </w:rPr>
            </w:pPr>
            <w:r w:rsidRPr="005C672D">
              <w:rPr>
                <w:sz w:val="24"/>
              </w:rPr>
              <w:t>成功</w:t>
            </w:r>
          </w:p>
          <w:p w:rsidR="001548F9" w:rsidRPr="005C672D" w:rsidRDefault="001548F9" w:rsidP="00AC6DDA">
            <w:pPr>
              <w:spacing w:before="29" w:line="288" w:lineRule="auto"/>
              <w:ind w:leftChars="-32" w:left="-67" w:rightChars="-66" w:right="-139"/>
              <w:jc w:val="center"/>
              <w:rPr>
                <w:sz w:val="24"/>
              </w:rPr>
            </w:pPr>
            <w:r w:rsidRPr="005C672D">
              <w:rPr>
                <w:sz w:val="24"/>
              </w:rPr>
              <w:t>认购日</w:t>
            </w:r>
          </w:p>
        </w:tc>
        <w:tc>
          <w:tcPr>
            <w:tcW w:w="835" w:type="dxa"/>
            <w:vAlign w:val="center"/>
          </w:tcPr>
          <w:p w:rsidR="001548F9" w:rsidRPr="005C672D" w:rsidRDefault="001548F9" w:rsidP="00AC6DDA">
            <w:pPr>
              <w:spacing w:before="29" w:line="288" w:lineRule="auto"/>
              <w:jc w:val="center"/>
              <w:rPr>
                <w:sz w:val="24"/>
              </w:rPr>
            </w:pPr>
            <w:r w:rsidRPr="005C672D">
              <w:rPr>
                <w:sz w:val="24"/>
              </w:rPr>
              <w:t>可流</w:t>
            </w:r>
          </w:p>
          <w:p w:rsidR="001548F9" w:rsidRPr="005C672D" w:rsidRDefault="001548F9" w:rsidP="00AC6DDA">
            <w:pPr>
              <w:spacing w:before="29" w:line="288" w:lineRule="auto"/>
              <w:jc w:val="center"/>
              <w:rPr>
                <w:sz w:val="24"/>
              </w:rPr>
            </w:pPr>
            <w:proofErr w:type="gramStart"/>
            <w:r w:rsidRPr="005C672D">
              <w:rPr>
                <w:sz w:val="24"/>
              </w:rPr>
              <w:t>通日</w:t>
            </w:r>
            <w:proofErr w:type="gramEnd"/>
          </w:p>
        </w:tc>
        <w:tc>
          <w:tcPr>
            <w:tcW w:w="834" w:type="dxa"/>
            <w:vAlign w:val="center"/>
          </w:tcPr>
          <w:p w:rsidR="001548F9" w:rsidRPr="005C672D" w:rsidRDefault="001548F9" w:rsidP="00AC6DDA">
            <w:pPr>
              <w:spacing w:before="29" w:line="288" w:lineRule="auto"/>
              <w:jc w:val="center"/>
              <w:rPr>
                <w:sz w:val="24"/>
              </w:rPr>
            </w:pPr>
            <w:r w:rsidRPr="005C672D">
              <w:rPr>
                <w:sz w:val="24"/>
              </w:rPr>
              <w:t>流通受</w:t>
            </w:r>
          </w:p>
          <w:p w:rsidR="001548F9" w:rsidRPr="005C672D" w:rsidRDefault="001548F9" w:rsidP="00AC6DDA">
            <w:pPr>
              <w:spacing w:before="29" w:line="288" w:lineRule="auto"/>
              <w:jc w:val="center"/>
              <w:rPr>
                <w:sz w:val="24"/>
              </w:rPr>
            </w:pPr>
            <w:proofErr w:type="gramStart"/>
            <w:r w:rsidRPr="005C672D">
              <w:rPr>
                <w:sz w:val="24"/>
              </w:rPr>
              <w:t>限类型</w:t>
            </w:r>
            <w:proofErr w:type="gramEnd"/>
          </w:p>
        </w:tc>
        <w:tc>
          <w:tcPr>
            <w:tcW w:w="835" w:type="dxa"/>
            <w:vAlign w:val="center"/>
          </w:tcPr>
          <w:p w:rsidR="001548F9" w:rsidRPr="005C672D" w:rsidRDefault="001548F9" w:rsidP="00AC6DDA">
            <w:pPr>
              <w:spacing w:before="29" w:line="288" w:lineRule="auto"/>
              <w:jc w:val="center"/>
              <w:rPr>
                <w:sz w:val="24"/>
              </w:rPr>
            </w:pPr>
            <w:r w:rsidRPr="005C672D">
              <w:rPr>
                <w:sz w:val="24"/>
              </w:rPr>
              <w:t>认购</w:t>
            </w:r>
          </w:p>
          <w:p w:rsidR="001548F9" w:rsidRPr="005C672D" w:rsidRDefault="001548F9" w:rsidP="00AC6DDA">
            <w:pPr>
              <w:spacing w:before="29" w:line="288" w:lineRule="auto"/>
              <w:jc w:val="center"/>
              <w:rPr>
                <w:sz w:val="24"/>
              </w:rPr>
            </w:pPr>
            <w:r w:rsidRPr="005C672D">
              <w:rPr>
                <w:sz w:val="24"/>
              </w:rPr>
              <w:t>价格</w:t>
            </w:r>
          </w:p>
        </w:tc>
        <w:tc>
          <w:tcPr>
            <w:tcW w:w="834" w:type="dxa"/>
            <w:vAlign w:val="center"/>
          </w:tcPr>
          <w:p w:rsidR="001548F9" w:rsidRPr="005C672D" w:rsidRDefault="001548F9" w:rsidP="00AC6DDA">
            <w:pPr>
              <w:spacing w:before="29" w:line="288" w:lineRule="auto"/>
              <w:ind w:leftChars="-33" w:left="-69" w:rightChars="-46" w:right="-97"/>
              <w:jc w:val="center"/>
              <w:rPr>
                <w:sz w:val="24"/>
              </w:rPr>
            </w:pPr>
            <w:r w:rsidRPr="005C672D">
              <w:rPr>
                <w:sz w:val="24"/>
              </w:rPr>
              <w:t>期末</w:t>
            </w:r>
            <w:proofErr w:type="gramStart"/>
            <w:r w:rsidRPr="005C672D">
              <w:rPr>
                <w:sz w:val="24"/>
              </w:rPr>
              <w:t>估</w:t>
            </w:r>
            <w:proofErr w:type="gramEnd"/>
          </w:p>
          <w:p w:rsidR="001548F9" w:rsidRPr="005C672D" w:rsidRDefault="001548F9" w:rsidP="00AC6DDA">
            <w:pPr>
              <w:spacing w:before="29" w:line="288" w:lineRule="auto"/>
              <w:ind w:leftChars="-33" w:left="-69" w:rightChars="-46" w:right="-97"/>
              <w:jc w:val="center"/>
              <w:rPr>
                <w:sz w:val="24"/>
              </w:rPr>
            </w:pPr>
            <w:r w:rsidRPr="005C672D">
              <w:rPr>
                <w:sz w:val="24"/>
              </w:rPr>
              <w:t>值单价</w:t>
            </w:r>
          </w:p>
        </w:tc>
        <w:tc>
          <w:tcPr>
            <w:tcW w:w="835" w:type="dxa"/>
            <w:vAlign w:val="center"/>
          </w:tcPr>
          <w:p w:rsidR="001548F9" w:rsidRPr="005C672D" w:rsidRDefault="001548F9" w:rsidP="00AC6DDA">
            <w:pPr>
              <w:spacing w:before="29" w:line="288" w:lineRule="auto"/>
              <w:ind w:leftChars="-77" w:left="-162" w:rightChars="-50" w:right="-105"/>
              <w:jc w:val="center"/>
              <w:rPr>
                <w:sz w:val="24"/>
              </w:rPr>
            </w:pPr>
            <w:r w:rsidRPr="005C672D">
              <w:rPr>
                <w:sz w:val="24"/>
              </w:rPr>
              <w:t>数量</w:t>
            </w:r>
            <w:r w:rsidR="00246478" w:rsidRPr="005C672D">
              <w:rPr>
                <w:color w:val="000000"/>
                <w:sz w:val="24"/>
              </w:rPr>
              <w:t>（</w:t>
            </w:r>
            <w:r w:rsidRPr="005C672D">
              <w:rPr>
                <w:sz w:val="24"/>
              </w:rPr>
              <w:t>单位：股</w:t>
            </w:r>
            <w:r w:rsidR="00246478" w:rsidRPr="005C672D">
              <w:rPr>
                <w:color w:val="000000"/>
                <w:sz w:val="24"/>
              </w:rPr>
              <w:t>）</w:t>
            </w:r>
          </w:p>
        </w:tc>
        <w:tc>
          <w:tcPr>
            <w:tcW w:w="834" w:type="dxa"/>
            <w:vAlign w:val="center"/>
          </w:tcPr>
          <w:p w:rsidR="001548F9" w:rsidRPr="005C672D" w:rsidRDefault="001548F9" w:rsidP="00AC6DDA">
            <w:pPr>
              <w:spacing w:before="29" w:line="288" w:lineRule="auto"/>
              <w:jc w:val="center"/>
              <w:rPr>
                <w:sz w:val="24"/>
              </w:rPr>
            </w:pPr>
            <w:r w:rsidRPr="005C672D">
              <w:rPr>
                <w:sz w:val="24"/>
              </w:rPr>
              <w:t>期末</w:t>
            </w:r>
          </w:p>
          <w:p w:rsidR="001548F9" w:rsidRPr="005C672D" w:rsidRDefault="001548F9" w:rsidP="00AC6DDA">
            <w:pPr>
              <w:spacing w:before="29" w:line="288" w:lineRule="auto"/>
              <w:jc w:val="center"/>
              <w:rPr>
                <w:sz w:val="24"/>
              </w:rPr>
            </w:pPr>
            <w:r w:rsidRPr="005C672D">
              <w:rPr>
                <w:sz w:val="24"/>
              </w:rPr>
              <w:t>成本总额</w:t>
            </w:r>
          </w:p>
        </w:tc>
        <w:tc>
          <w:tcPr>
            <w:tcW w:w="835" w:type="dxa"/>
            <w:vAlign w:val="center"/>
          </w:tcPr>
          <w:p w:rsidR="001548F9" w:rsidRPr="005C672D" w:rsidRDefault="001548F9" w:rsidP="00AC6DDA">
            <w:pPr>
              <w:spacing w:before="29" w:line="288" w:lineRule="auto"/>
              <w:jc w:val="center"/>
              <w:rPr>
                <w:sz w:val="24"/>
              </w:rPr>
            </w:pPr>
            <w:r w:rsidRPr="005C672D">
              <w:rPr>
                <w:sz w:val="24"/>
              </w:rPr>
              <w:t>期末</w:t>
            </w:r>
          </w:p>
          <w:p w:rsidR="001548F9" w:rsidRPr="005C672D" w:rsidRDefault="001548F9" w:rsidP="00AC6DDA">
            <w:pPr>
              <w:spacing w:before="29" w:line="288" w:lineRule="auto"/>
              <w:jc w:val="center"/>
              <w:rPr>
                <w:sz w:val="24"/>
              </w:rPr>
            </w:pPr>
            <w:r w:rsidRPr="005C672D">
              <w:rPr>
                <w:sz w:val="24"/>
              </w:rPr>
              <w:t>估值总额</w:t>
            </w:r>
          </w:p>
        </w:tc>
        <w:tc>
          <w:tcPr>
            <w:tcW w:w="835" w:type="dxa"/>
            <w:vAlign w:val="center"/>
          </w:tcPr>
          <w:p w:rsidR="001548F9" w:rsidRPr="005C672D" w:rsidRDefault="001548F9" w:rsidP="00AC6DDA">
            <w:pPr>
              <w:spacing w:before="29" w:line="288" w:lineRule="auto"/>
              <w:ind w:leftChars="-48" w:left="-101" w:rightChars="-54" w:right="-113"/>
              <w:jc w:val="center"/>
              <w:rPr>
                <w:sz w:val="24"/>
              </w:rPr>
            </w:pPr>
            <w:r w:rsidRPr="005C672D">
              <w:rPr>
                <w:sz w:val="24"/>
              </w:rPr>
              <w:t>备注</w:t>
            </w:r>
          </w:p>
        </w:tc>
      </w:tr>
      <w:tr w:rsidR="00B10F73">
        <w:tc>
          <w:tcPr>
            <w:tcW w:w="834" w:type="dxa"/>
            <w:vAlign w:val="center"/>
          </w:tcPr>
          <w:p w:rsidR="00B10F73" w:rsidRDefault="00914739">
            <w:pPr>
              <w:jc w:val="center"/>
            </w:pPr>
            <w:r>
              <w:rPr>
                <w:sz w:val="24"/>
              </w:rPr>
              <w:lastRenderedPageBreak/>
              <w:t>002879</w:t>
            </w:r>
          </w:p>
        </w:tc>
        <w:tc>
          <w:tcPr>
            <w:tcW w:w="835" w:type="dxa"/>
            <w:vAlign w:val="center"/>
          </w:tcPr>
          <w:p w:rsidR="00B10F73" w:rsidRDefault="00914739">
            <w:pPr>
              <w:jc w:val="center"/>
            </w:pPr>
            <w:proofErr w:type="gramStart"/>
            <w:r>
              <w:rPr>
                <w:sz w:val="24"/>
              </w:rPr>
              <w:t>长缆科技</w:t>
            </w:r>
            <w:proofErr w:type="gramEnd"/>
          </w:p>
        </w:tc>
        <w:tc>
          <w:tcPr>
            <w:tcW w:w="834" w:type="dxa"/>
            <w:vAlign w:val="center"/>
          </w:tcPr>
          <w:p w:rsidR="00B10F73" w:rsidRDefault="00914739">
            <w:pPr>
              <w:jc w:val="center"/>
            </w:pPr>
            <w:r>
              <w:rPr>
                <w:sz w:val="24"/>
              </w:rPr>
              <w:t>2017-06-05</w:t>
            </w:r>
          </w:p>
        </w:tc>
        <w:tc>
          <w:tcPr>
            <w:tcW w:w="835" w:type="dxa"/>
            <w:vAlign w:val="center"/>
          </w:tcPr>
          <w:p w:rsidR="00B10F73" w:rsidRDefault="00914739">
            <w:pPr>
              <w:jc w:val="center"/>
            </w:pPr>
            <w:r>
              <w:rPr>
                <w:sz w:val="24"/>
              </w:rPr>
              <w:t>2017-07-07</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18.02</w:t>
            </w:r>
          </w:p>
        </w:tc>
        <w:tc>
          <w:tcPr>
            <w:tcW w:w="834" w:type="dxa"/>
            <w:vAlign w:val="center"/>
          </w:tcPr>
          <w:p w:rsidR="00B10F73" w:rsidRDefault="00914739">
            <w:pPr>
              <w:jc w:val="center"/>
            </w:pPr>
            <w:r>
              <w:rPr>
                <w:sz w:val="24"/>
              </w:rPr>
              <w:t>18.02</w:t>
            </w:r>
          </w:p>
        </w:tc>
        <w:tc>
          <w:tcPr>
            <w:tcW w:w="835" w:type="dxa"/>
            <w:vAlign w:val="center"/>
          </w:tcPr>
          <w:p w:rsidR="00B10F73" w:rsidRDefault="00914739">
            <w:pPr>
              <w:jc w:val="right"/>
            </w:pPr>
            <w:r>
              <w:rPr>
                <w:sz w:val="24"/>
              </w:rPr>
              <w:t>1,313</w:t>
            </w:r>
          </w:p>
        </w:tc>
        <w:tc>
          <w:tcPr>
            <w:tcW w:w="834" w:type="dxa"/>
            <w:vAlign w:val="center"/>
          </w:tcPr>
          <w:p w:rsidR="00B10F73" w:rsidRDefault="00914739">
            <w:pPr>
              <w:jc w:val="right"/>
            </w:pPr>
            <w:r>
              <w:rPr>
                <w:sz w:val="24"/>
              </w:rPr>
              <w:t>23,660.26</w:t>
            </w:r>
          </w:p>
        </w:tc>
        <w:tc>
          <w:tcPr>
            <w:tcW w:w="835" w:type="dxa"/>
            <w:vAlign w:val="center"/>
          </w:tcPr>
          <w:p w:rsidR="00B10F73" w:rsidRDefault="00914739">
            <w:pPr>
              <w:jc w:val="right"/>
            </w:pPr>
            <w:r>
              <w:rPr>
                <w:sz w:val="24"/>
              </w:rPr>
              <w:t>23,660.26</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002882</w:t>
            </w:r>
          </w:p>
        </w:tc>
        <w:tc>
          <w:tcPr>
            <w:tcW w:w="835" w:type="dxa"/>
            <w:vAlign w:val="center"/>
          </w:tcPr>
          <w:p w:rsidR="00B10F73" w:rsidRDefault="00914739">
            <w:pPr>
              <w:jc w:val="center"/>
            </w:pPr>
            <w:proofErr w:type="gramStart"/>
            <w:r>
              <w:rPr>
                <w:sz w:val="24"/>
              </w:rPr>
              <w:t>金龙羽</w:t>
            </w:r>
            <w:proofErr w:type="gramEnd"/>
          </w:p>
        </w:tc>
        <w:tc>
          <w:tcPr>
            <w:tcW w:w="834" w:type="dxa"/>
            <w:vAlign w:val="center"/>
          </w:tcPr>
          <w:p w:rsidR="00B10F73" w:rsidRDefault="00914739">
            <w:pPr>
              <w:jc w:val="center"/>
            </w:pPr>
            <w:r>
              <w:rPr>
                <w:sz w:val="24"/>
              </w:rPr>
              <w:t>2017-06-15</w:t>
            </w:r>
          </w:p>
        </w:tc>
        <w:tc>
          <w:tcPr>
            <w:tcW w:w="835" w:type="dxa"/>
            <w:vAlign w:val="center"/>
          </w:tcPr>
          <w:p w:rsidR="00B10F73" w:rsidRDefault="00914739">
            <w:pPr>
              <w:jc w:val="center"/>
            </w:pPr>
            <w:r>
              <w:rPr>
                <w:sz w:val="24"/>
              </w:rPr>
              <w:t>2017-07-17</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6.20</w:t>
            </w:r>
          </w:p>
        </w:tc>
        <w:tc>
          <w:tcPr>
            <w:tcW w:w="834" w:type="dxa"/>
            <w:vAlign w:val="center"/>
          </w:tcPr>
          <w:p w:rsidR="00B10F73" w:rsidRDefault="00914739">
            <w:pPr>
              <w:jc w:val="center"/>
            </w:pPr>
            <w:r>
              <w:rPr>
                <w:sz w:val="24"/>
              </w:rPr>
              <w:t>6.20</w:t>
            </w:r>
          </w:p>
        </w:tc>
        <w:tc>
          <w:tcPr>
            <w:tcW w:w="835" w:type="dxa"/>
            <w:vAlign w:val="center"/>
          </w:tcPr>
          <w:p w:rsidR="00B10F73" w:rsidRDefault="00914739">
            <w:pPr>
              <w:jc w:val="right"/>
            </w:pPr>
            <w:r>
              <w:rPr>
                <w:sz w:val="24"/>
              </w:rPr>
              <w:t>2,966</w:t>
            </w:r>
          </w:p>
        </w:tc>
        <w:tc>
          <w:tcPr>
            <w:tcW w:w="834" w:type="dxa"/>
            <w:vAlign w:val="center"/>
          </w:tcPr>
          <w:p w:rsidR="00B10F73" w:rsidRDefault="00914739">
            <w:pPr>
              <w:jc w:val="right"/>
            </w:pPr>
            <w:r>
              <w:rPr>
                <w:sz w:val="24"/>
              </w:rPr>
              <w:t>18,389.20</w:t>
            </w:r>
          </w:p>
        </w:tc>
        <w:tc>
          <w:tcPr>
            <w:tcW w:w="835" w:type="dxa"/>
            <w:vAlign w:val="center"/>
          </w:tcPr>
          <w:p w:rsidR="00B10F73" w:rsidRDefault="00914739">
            <w:pPr>
              <w:jc w:val="right"/>
            </w:pPr>
            <w:r>
              <w:rPr>
                <w:sz w:val="24"/>
              </w:rPr>
              <w:t>18,389.20</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300670</w:t>
            </w:r>
          </w:p>
        </w:tc>
        <w:tc>
          <w:tcPr>
            <w:tcW w:w="835" w:type="dxa"/>
            <w:vAlign w:val="center"/>
          </w:tcPr>
          <w:p w:rsidR="00B10F73" w:rsidRDefault="00914739">
            <w:pPr>
              <w:jc w:val="center"/>
            </w:pPr>
            <w:r>
              <w:rPr>
                <w:sz w:val="24"/>
              </w:rPr>
              <w:t>大</w:t>
            </w:r>
            <w:proofErr w:type="gramStart"/>
            <w:r>
              <w:rPr>
                <w:sz w:val="24"/>
              </w:rPr>
              <w:t>烨</w:t>
            </w:r>
            <w:proofErr w:type="gramEnd"/>
            <w:r>
              <w:rPr>
                <w:sz w:val="24"/>
              </w:rPr>
              <w:t>智能</w:t>
            </w:r>
          </w:p>
        </w:tc>
        <w:tc>
          <w:tcPr>
            <w:tcW w:w="834" w:type="dxa"/>
            <w:vAlign w:val="center"/>
          </w:tcPr>
          <w:p w:rsidR="00B10F73" w:rsidRDefault="00914739">
            <w:pPr>
              <w:jc w:val="center"/>
            </w:pPr>
            <w:r>
              <w:rPr>
                <w:sz w:val="24"/>
              </w:rPr>
              <w:t>2017-06-26</w:t>
            </w:r>
          </w:p>
        </w:tc>
        <w:tc>
          <w:tcPr>
            <w:tcW w:w="835" w:type="dxa"/>
            <w:vAlign w:val="center"/>
          </w:tcPr>
          <w:p w:rsidR="00B10F73" w:rsidRDefault="00914739">
            <w:pPr>
              <w:jc w:val="center"/>
            </w:pPr>
            <w:r>
              <w:rPr>
                <w:sz w:val="24"/>
              </w:rPr>
              <w:t>2017-07-03</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10.93</w:t>
            </w:r>
          </w:p>
        </w:tc>
        <w:tc>
          <w:tcPr>
            <w:tcW w:w="834" w:type="dxa"/>
            <w:vAlign w:val="center"/>
          </w:tcPr>
          <w:p w:rsidR="00B10F73" w:rsidRDefault="00914739">
            <w:pPr>
              <w:jc w:val="center"/>
            </w:pPr>
            <w:r>
              <w:rPr>
                <w:sz w:val="24"/>
              </w:rPr>
              <w:t>10.93</w:t>
            </w:r>
          </w:p>
        </w:tc>
        <w:tc>
          <w:tcPr>
            <w:tcW w:w="835" w:type="dxa"/>
            <w:vAlign w:val="center"/>
          </w:tcPr>
          <w:p w:rsidR="00B10F73" w:rsidRDefault="00914739">
            <w:pPr>
              <w:jc w:val="right"/>
            </w:pPr>
            <w:r>
              <w:rPr>
                <w:sz w:val="24"/>
              </w:rPr>
              <w:t>1,259</w:t>
            </w:r>
          </w:p>
        </w:tc>
        <w:tc>
          <w:tcPr>
            <w:tcW w:w="834" w:type="dxa"/>
            <w:vAlign w:val="center"/>
          </w:tcPr>
          <w:p w:rsidR="00B10F73" w:rsidRDefault="00914739">
            <w:pPr>
              <w:jc w:val="right"/>
            </w:pPr>
            <w:r>
              <w:rPr>
                <w:sz w:val="24"/>
              </w:rPr>
              <w:t>13,760.87</w:t>
            </w:r>
          </w:p>
        </w:tc>
        <w:tc>
          <w:tcPr>
            <w:tcW w:w="835" w:type="dxa"/>
            <w:vAlign w:val="center"/>
          </w:tcPr>
          <w:p w:rsidR="00B10F73" w:rsidRDefault="00914739">
            <w:pPr>
              <w:jc w:val="right"/>
            </w:pPr>
            <w:r>
              <w:rPr>
                <w:sz w:val="24"/>
              </w:rPr>
              <w:t>13,760.87</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300671</w:t>
            </w:r>
          </w:p>
        </w:tc>
        <w:tc>
          <w:tcPr>
            <w:tcW w:w="835" w:type="dxa"/>
            <w:vAlign w:val="center"/>
          </w:tcPr>
          <w:p w:rsidR="00B10F73" w:rsidRDefault="00914739">
            <w:pPr>
              <w:jc w:val="center"/>
            </w:pPr>
            <w:proofErr w:type="gramStart"/>
            <w:r>
              <w:rPr>
                <w:sz w:val="24"/>
              </w:rPr>
              <w:t>富满电子</w:t>
            </w:r>
            <w:proofErr w:type="gramEnd"/>
          </w:p>
        </w:tc>
        <w:tc>
          <w:tcPr>
            <w:tcW w:w="834" w:type="dxa"/>
            <w:vAlign w:val="center"/>
          </w:tcPr>
          <w:p w:rsidR="00B10F73" w:rsidRDefault="00914739">
            <w:pPr>
              <w:jc w:val="center"/>
            </w:pPr>
            <w:r>
              <w:rPr>
                <w:sz w:val="24"/>
              </w:rPr>
              <w:t>2017-06-27</w:t>
            </w:r>
          </w:p>
        </w:tc>
        <w:tc>
          <w:tcPr>
            <w:tcW w:w="835" w:type="dxa"/>
            <w:vAlign w:val="center"/>
          </w:tcPr>
          <w:p w:rsidR="00B10F73" w:rsidRDefault="00914739">
            <w:pPr>
              <w:jc w:val="center"/>
            </w:pPr>
            <w:r>
              <w:rPr>
                <w:sz w:val="24"/>
              </w:rPr>
              <w:t>2017-07-05</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8.11</w:t>
            </w:r>
          </w:p>
        </w:tc>
        <w:tc>
          <w:tcPr>
            <w:tcW w:w="834" w:type="dxa"/>
            <w:vAlign w:val="center"/>
          </w:tcPr>
          <w:p w:rsidR="00B10F73" w:rsidRDefault="00914739">
            <w:pPr>
              <w:jc w:val="center"/>
            </w:pPr>
            <w:r>
              <w:rPr>
                <w:sz w:val="24"/>
              </w:rPr>
              <w:t>8.11</w:t>
            </w:r>
          </w:p>
        </w:tc>
        <w:tc>
          <w:tcPr>
            <w:tcW w:w="835" w:type="dxa"/>
            <w:vAlign w:val="center"/>
          </w:tcPr>
          <w:p w:rsidR="00B10F73" w:rsidRDefault="00914739">
            <w:pPr>
              <w:jc w:val="right"/>
            </w:pPr>
            <w:r>
              <w:rPr>
                <w:sz w:val="24"/>
              </w:rPr>
              <w:t>942</w:t>
            </w:r>
          </w:p>
        </w:tc>
        <w:tc>
          <w:tcPr>
            <w:tcW w:w="834" w:type="dxa"/>
            <w:vAlign w:val="center"/>
          </w:tcPr>
          <w:p w:rsidR="00B10F73" w:rsidRDefault="00914739">
            <w:pPr>
              <w:jc w:val="right"/>
            </w:pPr>
            <w:r>
              <w:rPr>
                <w:sz w:val="24"/>
              </w:rPr>
              <w:t>7,639.62</w:t>
            </w:r>
          </w:p>
        </w:tc>
        <w:tc>
          <w:tcPr>
            <w:tcW w:w="835" w:type="dxa"/>
            <w:vAlign w:val="center"/>
          </w:tcPr>
          <w:p w:rsidR="00B10F73" w:rsidRDefault="00914739">
            <w:pPr>
              <w:jc w:val="right"/>
            </w:pPr>
            <w:r>
              <w:rPr>
                <w:sz w:val="24"/>
              </w:rPr>
              <w:t>7,639.62</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300672</w:t>
            </w:r>
          </w:p>
        </w:tc>
        <w:tc>
          <w:tcPr>
            <w:tcW w:w="835" w:type="dxa"/>
            <w:vAlign w:val="center"/>
          </w:tcPr>
          <w:p w:rsidR="00B10F73" w:rsidRDefault="00914739">
            <w:pPr>
              <w:jc w:val="center"/>
            </w:pPr>
            <w:proofErr w:type="gramStart"/>
            <w:r>
              <w:rPr>
                <w:sz w:val="24"/>
              </w:rPr>
              <w:t>国科微</w:t>
            </w:r>
            <w:proofErr w:type="gramEnd"/>
          </w:p>
        </w:tc>
        <w:tc>
          <w:tcPr>
            <w:tcW w:w="834" w:type="dxa"/>
            <w:vAlign w:val="center"/>
          </w:tcPr>
          <w:p w:rsidR="00B10F73" w:rsidRDefault="00914739">
            <w:pPr>
              <w:jc w:val="center"/>
            </w:pPr>
            <w:r>
              <w:rPr>
                <w:sz w:val="24"/>
              </w:rPr>
              <w:t>2017-06-30</w:t>
            </w:r>
          </w:p>
        </w:tc>
        <w:tc>
          <w:tcPr>
            <w:tcW w:w="835" w:type="dxa"/>
            <w:vAlign w:val="center"/>
          </w:tcPr>
          <w:p w:rsidR="00B10F73" w:rsidRDefault="00914739">
            <w:pPr>
              <w:jc w:val="center"/>
            </w:pPr>
            <w:r>
              <w:rPr>
                <w:sz w:val="24"/>
              </w:rPr>
              <w:t>2017-07-12</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8.48</w:t>
            </w:r>
          </w:p>
        </w:tc>
        <w:tc>
          <w:tcPr>
            <w:tcW w:w="834" w:type="dxa"/>
            <w:vAlign w:val="center"/>
          </w:tcPr>
          <w:p w:rsidR="00B10F73" w:rsidRDefault="00914739">
            <w:pPr>
              <w:jc w:val="center"/>
            </w:pPr>
            <w:r>
              <w:rPr>
                <w:sz w:val="24"/>
              </w:rPr>
              <w:t>8.48</w:t>
            </w:r>
          </w:p>
        </w:tc>
        <w:tc>
          <w:tcPr>
            <w:tcW w:w="835" w:type="dxa"/>
            <w:vAlign w:val="center"/>
          </w:tcPr>
          <w:p w:rsidR="00B10F73" w:rsidRDefault="00914739">
            <w:pPr>
              <w:jc w:val="right"/>
            </w:pPr>
            <w:r>
              <w:rPr>
                <w:sz w:val="24"/>
              </w:rPr>
              <w:t>1,257</w:t>
            </w:r>
          </w:p>
        </w:tc>
        <w:tc>
          <w:tcPr>
            <w:tcW w:w="834" w:type="dxa"/>
            <w:vAlign w:val="center"/>
          </w:tcPr>
          <w:p w:rsidR="00B10F73" w:rsidRDefault="00914739">
            <w:pPr>
              <w:jc w:val="right"/>
            </w:pPr>
            <w:r>
              <w:rPr>
                <w:sz w:val="24"/>
              </w:rPr>
              <w:t>10,659.36</w:t>
            </w:r>
          </w:p>
        </w:tc>
        <w:tc>
          <w:tcPr>
            <w:tcW w:w="835" w:type="dxa"/>
            <w:vAlign w:val="center"/>
          </w:tcPr>
          <w:p w:rsidR="00B10F73" w:rsidRDefault="00914739">
            <w:pPr>
              <w:jc w:val="right"/>
            </w:pPr>
            <w:r>
              <w:rPr>
                <w:sz w:val="24"/>
              </w:rPr>
              <w:t>10,659.36</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603305</w:t>
            </w:r>
          </w:p>
        </w:tc>
        <w:tc>
          <w:tcPr>
            <w:tcW w:w="835" w:type="dxa"/>
            <w:vAlign w:val="center"/>
          </w:tcPr>
          <w:p w:rsidR="00B10F73" w:rsidRDefault="00914739">
            <w:pPr>
              <w:jc w:val="center"/>
            </w:pPr>
            <w:r>
              <w:rPr>
                <w:sz w:val="24"/>
              </w:rPr>
              <w:t>旭</w:t>
            </w:r>
            <w:proofErr w:type="gramStart"/>
            <w:r>
              <w:rPr>
                <w:sz w:val="24"/>
              </w:rPr>
              <w:t>升股份</w:t>
            </w:r>
            <w:proofErr w:type="gramEnd"/>
          </w:p>
        </w:tc>
        <w:tc>
          <w:tcPr>
            <w:tcW w:w="834" w:type="dxa"/>
            <w:vAlign w:val="center"/>
          </w:tcPr>
          <w:p w:rsidR="00B10F73" w:rsidRDefault="00914739">
            <w:pPr>
              <w:jc w:val="center"/>
            </w:pPr>
            <w:r>
              <w:rPr>
                <w:sz w:val="24"/>
              </w:rPr>
              <w:t>2017-06-30</w:t>
            </w:r>
          </w:p>
        </w:tc>
        <w:tc>
          <w:tcPr>
            <w:tcW w:w="835" w:type="dxa"/>
            <w:vAlign w:val="center"/>
          </w:tcPr>
          <w:p w:rsidR="00B10F73" w:rsidRDefault="00914739">
            <w:pPr>
              <w:jc w:val="center"/>
            </w:pPr>
            <w:r>
              <w:rPr>
                <w:sz w:val="24"/>
              </w:rPr>
              <w:t>2017-07-10</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11.26</w:t>
            </w:r>
          </w:p>
        </w:tc>
        <w:tc>
          <w:tcPr>
            <w:tcW w:w="834" w:type="dxa"/>
            <w:vAlign w:val="center"/>
          </w:tcPr>
          <w:p w:rsidR="00B10F73" w:rsidRDefault="00914739">
            <w:pPr>
              <w:jc w:val="center"/>
            </w:pPr>
            <w:r>
              <w:rPr>
                <w:sz w:val="24"/>
              </w:rPr>
              <w:t>11.26</w:t>
            </w:r>
          </w:p>
        </w:tc>
        <w:tc>
          <w:tcPr>
            <w:tcW w:w="835" w:type="dxa"/>
            <w:vAlign w:val="center"/>
          </w:tcPr>
          <w:p w:rsidR="00B10F73" w:rsidRDefault="00914739">
            <w:pPr>
              <w:jc w:val="right"/>
            </w:pPr>
            <w:r>
              <w:rPr>
                <w:sz w:val="24"/>
              </w:rPr>
              <w:t>1,351</w:t>
            </w:r>
          </w:p>
        </w:tc>
        <w:tc>
          <w:tcPr>
            <w:tcW w:w="834" w:type="dxa"/>
            <w:vAlign w:val="center"/>
          </w:tcPr>
          <w:p w:rsidR="00B10F73" w:rsidRDefault="00914739">
            <w:pPr>
              <w:jc w:val="right"/>
            </w:pPr>
            <w:r>
              <w:rPr>
                <w:sz w:val="24"/>
              </w:rPr>
              <w:t>15,212.26</w:t>
            </w:r>
          </w:p>
        </w:tc>
        <w:tc>
          <w:tcPr>
            <w:tcW w:w="835" w:type="dxa"/>
            <w:vAlign w:val="center"/>
          </w:tcPr>
          <w:p w:rsidR="00B10F73" w:rsidRDefault="00914739">
            <w:pPr>
              <w:jc w:val="right"/>
            </w:pPr>
            <w:r>
              <w:rPr>
                <w:sz w:val="24"/>
              </w:rPr>
              <w:t>15,212.26</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603331</w:t>
            </w:r>
          </w:p>
        </w:tc>
        <w:tc>
          <w:tcPr>
            <w:tcW w:w="835" w:type="dxa"/>
            <w:vAlign w:val="center"/>
          </w:tcPr>
          <w:p w:rsidR="00B10F73" w:rsidRDefault="00914739">
            <w:pPr>
              <w:jc w:val="center"/>
            </w:pPr>
            <w:r>
              <w:rPr>
                <w:sz w:val="24"/>
              </w:rPr>
              <w:t>百达精工</w:t>
            </w:r>
          </w:p>
        </w:tc>
        <w:tc>
          <w:tcPr>
            <w:tcW w:w="834" w:type="dxa"/>
            <w:vAlign w:val="center"/>
          </w:tcPr>
          <w:p w:rsidR="00B10F73" w:rsidRDefault="00914739">
            <w:pPr>
              <w:jc w:val="center"/>
            </w:pPr>
            <w:r>
              <w:rPr>
                <w:sz w:val="24"/>
              </w:rPr>
              <w:t>2017-06-27</w:t>
            </w:r>
          </w:p>
        </w:tc>
        <w:tc>
          <w:tcPr>
            <w:tcW w:w="835" w:type="dxa"/>
            <w:vAlign w:val="center"/>
          </w:tcPr>
          <w:p w:rsidR="00B10F73" w:rsidRDefault="00914739">
            <w:pPr>
              <w:jc w:val="center"/>
            </w:pPr>
            <w:r>
              <w:rPr>
                <w:sz w:val="24"/>
              </w:rPr>
              <w:t>2017-07-05</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9.63</w:t>
            </w:r>
          </w:p>
        </w:tc>
        <w:tc>
          <w:tcPr>
            <w:tcW w:w="834" w:type="dxa"/>
            <w:vAlign w:val="center"/>
          </w:tcPr>
          <w:p w:rsidR="00B10F73" w:rsidRDefault="00914739">
            <w:pPr>
              <w:jc w:val="center"/>
            </w:pPr>
            <w:r>
              <w:rPr>
                <w:sz w:val="24"/>
              </w:rPr>
              <w:t>9.63</w:t>
            </w:r>
          </w:p>
        </w:tc>
        <w:tc>
          <w:tcPr>
            <w:tcW w:w="835" w:type="dxa"/>
            <w:vAlign w:val="center"/>
          </w:tcPr>
          <w:p w:rsidR="00B10F73" w:rsidRDefault="00914739">
            <w:pPr>
              <w:jc w:val="right"/>
            </w:pPr>
            <w:r>
              <w:rPr>
                <w:sz w:val="24"/>
              </w:rPr>
              <w:t>999</w:t>
            </w:r>
          </w:p>
        </w:tc>
        <w:tc>
          <w:tcPr>
            <w:tcW w:w="834" w:type="dxa"/>
            <w:vAlign w:val="center"/>
          </w:tcPr>
          <w:p w:rsidR="00B10F73" w:rsidRDefault="00914739">
            <w:pPr>
              <w:jc w:val="right"/>
            </w:pPr>
            <w:r>
              <w:rPr>
                <w:sz w:val="24"/>
              </w:rPr>
              <w:t>9,620.37</w:t>
            </w:r>
          </w:p>
        </w:tc>
        <w:tc>
          <w:tcPr>
            <w:tcW w:w="835" w:type="dxa"/>
            <w:vAlign w:val="center"/>
          </w:tcPr>
          <w:p w:rsidR="00B10F73" w:rsidRDefault="00914739">
            <w:pPr>
              <w:jc w:val="right"/>
            </w:pPr>
            <w:r>
              <w:rPr>
                <w:sz w:val="24"/>
              </w:rPr>
              <w:t>9,620.37</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603617</w:t>
            </w:r>
          </w:p>
        </w:tc>
        <w:tc>
          <w:tcPr>
            <w:tcW w:w="835" w:type="dxa"/>
            <w:vAlign w:val="center"/>
          </w:tcPr>
          <w:p w:rsidR="00B10F73" w:rsidRDefault="00914739">
            <w:pPr>
              <w:jc w:val="center"/>
            </w:pPr>
            <w:proofErr w:type="gramStart"/>
            <w:r>
              <w:rPr>
                <w:sz w:val="24"/>
              </w:rPr>
              <w:t>君禾股份</w:t>
            </w:r>
            <w:proofErr w:type="gramEnd"/>
          </w:p>
        </w:tc>
        <w:tc>
          <w:tcPr>
            <w:tcW w:w="834" w:type="dxa"/>
            <w:vAlign w:val="center"/>
          </w:tcPr>
          <w:p w:rsidR="00B10F73" w:rsidRDefault="00914739">
            <w:pPr>
              <w:jc w:val="center"/>
            </w:pPr>
            <w:r>
              <w:rPr>
                <w:sz w:val="24"/>
              </w:rPr>
              <w:t>2017-06-23</w:t>
            </w:r>
          </w:p>
        </w:tc>
        <w:tc>
          <w:tcPr>
            <w:tcW w:w="835" w:type="dxa"/>
            <w:vAlign w:val="center"/>
          </w:tcPr>
          <w:p w:rsidR="00B10F73" w:rsidRDefault="00914739">
            <w:pPr>
              <w:jc w:val="center"/>
            </w:pPr>
            <w:r>
              <w:rPr>
                <w:sz w:val="24"/>
              </w:rPr>
              <w:t>2017-07-03</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8.93</w:t>
            </w:r>
          </w:p>
        </w:tc>
        <w:tc>
          <w:tcPr>
            <w:tcW w:w="834" w:type="dxa"/>
            <w:vAlign w:val="center"/>
          </w:tcPr>
          <w:p w:rsidR="00B10F73" w:rsidRDefault="00914739">
            <w:pPr>
              <w:jc w:val="center"/>
            </w:pPr>
            <w:r>
              <w:rPr>
                <w:sz w:val="24"/>
              </w:rPr>
              <w:t>8.93</w:t>
            </w:r>
          </w:p>
        </w:tc>
        <w:tc>
          <w:tcPr>
            <w:tcW w:w="835" w:type="dxa"/>
            <w:vAlign w:val="center"/>
          </w:tcPr>
          <w:p w:rsidR="00B10F73" w:rsidRDefault="00914739">
            <w:pPr>
              <w:jc w:val="right"/>
            </w:pPr>
            <w:r>
              <w:rPr>
                <w:sz w:val="24"/>
              </w:rPr>
              <w:t>832</w:t>
            </w:r>
          </w:p>
        </w:tc>
        <w:tc>
          <w:tcPr>
            <w:tcW w:w="834" w:type="dxa"/>
            <w:vAlign w:val="center"/>
          </w:tcPr>
          <w:p w:rsidR="00B10F73" w:rsidRDefault="00914739">
            <w:pPr>
              <w:jc w:val="right"/>
            </w:pPr>
            <w:r>
              <w:rPr>
                <w:sz w:val="24"/>
              </w:rPr>
              <w:t>7,429.76</w:t>
            </w:r>
          </w:p>
        </w:tc>
        <w:tc>
          <w:tcPr>
            <w:tcW w:w="835" w:type="dxa"/>
            <w:vAlign w:val="center"/>
          </w:tcPr>
          <w:p w:rsidR="00B10F73" w:rsidRDefault="00914739">
            <w:pPr>
              <w:jc w:val="right"/>
            </w:pPr>
            <w:r>
              <w:rPr>
                <w:sz w:val="24"/>
              </w:rPr>
              <w:t>7,429.76</w:t>
            </w:r>
          </w:p>
        </w:tc>
        <w:tc>
          <w:tcPr>
            <w:tcW w:w="835" w:type="dxa"/>
            <w:vAlign w:val="center"/>
          </w:tcPr>
          <w:p w:rsidR="00B10F73" w:rsidRDefault="00914739">
            <w:pPr>
              <w:jc w:val="center"/>
            </w:pPr>
            <w:r>
              <w:rPr>
                <w:sz w:val="24"/>
              </w:rPr>
              <w:t>-</w:t>
            </w:r>
          </w:p>
        </w:tc>
      </w:tr>
      <w:tr w:rsidR="00B10F73">
        <w:tc>
          <w:tcPr>
            <w:tcW w:w="834" w:type="dxa"/>
            <w:vAlign w:val="center"/>
          </w:tcPr>
          <w:p w:rsidR="00B10F73" w:rsidRDefault="00914739">
            <w:pPr>
              <w:jc w:val="center"/>
            </w:pPr>
            <w:r>
              <w:rPr>
                <w:sz w:val="24"/>
              </w:rPr>
              <w:t>603933</w:t>
            </w:r>
          </w:p>
        </w:tc>
        <w:tc>
          <w:tcPr>
            <w:tcW w:w="835" w:type="dxa"/>
            <w:vAlign w:val="center"/>
          </w:tcPr>
          <w:p w:rsidR="00B10F73" w:rsidRDefault="00914739">
            <w:pPr>
              <w:jc w:val="center"/>
            </w:pPr>
            <w:proofErr w:type="gramStart"/>
            <w:r>
              <w:rPr>
                <w:sz w:val="24"/>
              </w:rPr>
              <w:t>睿能科技</w:t>
            </w:r>
            <w:proofErr w:type="gramEnd"/>
          </w:p>
        </w:tc>
        <w:tc>
          <w:tcPr>
            <w:tcW w:w="834" w:type="dxa"/>
            <w:vAlign w:val="center"/>
          </w:tcPr>
          <w:p w:rsidR="00B10F73" w:rsidRDefault="00914739">
            <w:pPr>
              <w:jc w:val="center"/>
            </w:pPr>
            <w:r>
              <w:rPr>
                <w:sz w:val="24"/>
              </w:rPr>
              <w:t>2017-06-28</w:t>
            </w:r>
          </w:p>
        </w:tc>
        <w:tc>
          <w:tcPr>
            <w:tcW w:w="835" w:type="dxa"/>
            <w:vAlign w:val="center"/>
          </w:tcPr>
          <w:p w:rsidR="00B10F73" w:rsidRDefault="00914739">
            <w:pPr>
              <w:jc w:val="center"/>
            </w:pPr>
            <w:r>
              <w:rPr>
                <w:sz w:val="24"/>
              </w:rPr>
              <w:t>2017-07-06</w:t>
            </w:r>
          </w:p>
        </w:tc>
        <w:tc>
          <w:tcPr>
            <w:tcW w:w="834" w:type="dxa"/>
            <w:vAlign w:val="center"/>
          </w:tcPr>
          <w:p w:rsidR="00B10F73" w:rsidRDefault="00914739">
            <w:pPr>
              <w:jc w:val="center"/>
            </w:pPr>
            <w:r>
              <w:rPr>
                <w:sz w:val="24"/>
              </w:rPr>
              <w:t>新股申购</w:t>
            </w:r>
          </w:p>
        </w:tc>
        <w:tc>
          <w:tcPr>
            <w:tcW w:w="835" w:type="dxa"/>
            <w:vAlign w:val="center"/>
          </w:tcPr>
          <w:p w:rsidR="00B10F73" w:rsidRDefault="00914739">
            <w:pPr>
              <w:jc w:val="right"/>
            </w:pPr>
            <w:r>
              <w:rPr>
                <w:sz w:val="24"/>
              </w:rPr>
              <w:t>20.20</w:t>
            </w:r>
          </w:p>
        </w:tc>
        <w:tc>
          <w:tcPr>
            <w:tcW w:w="834" w:type="dxa"/>
            <w:vAlign w:val="center"/>
          </w:tcPr>
          <w:p w:rsidR="00B10F73" w:rsidRDefault="00914739">
            <w:pPr>
              <w:jc w:val="center"/>
            </w:pPr>
            <w:r>
              <w:rPr>
                <w:sz w:val="24"/>
              </w:rPr>
              <w:t>20.20</w:t>
            </w:r>
          </w:p>
        </w:tc>
        <w:tc>
          <w:tcPr>
            <w:tcW w:w="835" w:type="dxa"/>
            <w:vAlign w:val="center"/>
          </w:tcPr>
          <w:p w:rsidR="00B10F73" w:rsidRDefault="00914739">
            <w:pPr>
              <w:jc w:val="right"/>
            </w:pPr>
            <w:r>
              <w:rPr>
                <w:sz w:val="24"/>
              </w:rPr>
              <w:t>857</w:t>
            </w:r>
          </w:p>
        </w:tc>
        <w:tc>
          <w:tcPr>
            <w:tcW w:w="834" w:type="dxa"/>
            <w:vAlign w:val="center"/>
          </w:tcPr>
          <w:p w:rsidR="00B10F73" w:rsidRDefault="00914739">
            <w:pPr>
              <w:jc w:val="right"/>
            </w:pPr>
            <w:r>
              <w:rPr>
                <w:sz w:val="24"/>
              </w:rPr>
              <w:t>17,311.40</w:t>
            </w:r>
          </w:p>
        </w:tc>
        <w:tc>
          <w:tcPr>
            <w:tcW w:w="835" w:type="dxa"/>
            <w:vAlign w:val="center"/>
          </w:tcPr>
          <w:p w:rsidR="00B10F73" w:rsidRDefault="00914739">
            <w:pPr>
              <w:jc w:val="right"/>
            </w:pPr>
            <w:r>
              <w:rPr>
                <w:sz w:val="24"/>
              </w:rPr>
              <w:t>17,311.40</w:t>
            </w:r>
          </w:p>
        </w:tc>
        <w:tc>
          <w:tcPr>
            <w:tcW w:w="835" w:type="dxa"/>
            <w:vAlign w:val="center"/>
          </w:tcPr>
          <w:p w:rsidR="00B10F73" w:rsidRDefault="00914739">
            <w:pPr>
              <w:jc w:val="center"/>
            </w:pPr>
            <w:r>
              <w:rPr>
                <w:sz w:val="24"/>
              </w:rPr>
              <w:t>-</w:t>
            </w:r>
          </w:p>
        </w:tc>
      </w:tr>
    </w:tbl>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w:t>
      </w:r>
      <w:r w:rsidRPr="005C672D">
        <w:rPr>
          <w:bCs/>
          <w:color w:val="000000"/>
          <w:sz w:val="24"/>
        </w:rPr>
        <w:t>：人民币元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548F9" w:rsidRPr="005C672D" w:rsidTr="00A95427">
        <w:trPr>
          <w:trHeight w:val="255"/>
        </w:trPr>
        <w:tc>
          <w:tcPr>
            <w:tcW w:w="616"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w:t>
            </w:r>
          </w:p>
          <w:p w:rsidR="001548F9" w:rsidRPr="005C672D" w:rsidRDefault="001548F9" w:rsidP="00AC6DDA">
            <w:pPr>
              <w:spacing w:before="29" w:line="288" w:lineRule="auto"/>
              <w:jc w:val="center"/>
              <w:rPr>
                <w:color w:val="000000"/>
                <w:sz w:val="24"/>
              </w:rPr>
            </w:pPr>
            <w:r w:rsidRPr="005C672D">
              <w:rPr>
                <w:color w:val="000000"/>
                <w:sz w:val="24"/>
              </w:rPr>
              <w:t>代码</w:t>
            </w:r>
          </w:p>
        </w:tc>
        <w:tc>
          <w:tcPr>
            <w:tcW w:w="686"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股票</w:t>
            </w:r>
          </w:p>
          <w:p w:rsidR="001548F9" w:rsidRPr="005C672D" w:rsidRDefault="001548F9" w:rsidP="00AC6DDA">
            <w:pPr>
              <w:spacing w:before="29" w:line="288" w:lineRule="auto"/>
              <w:jc w:val="center"/>
              <w:rPr>
                <w:color w:val="000000"/>
                <w:sz w:val="24"/>
              </w:rPr>
            </w:pPr>
            <w:r w:rsidRPr="005C672D">
              <w:rPr>
                <w:color w:val="000000"/>
                <w:sz w:val="24"/>
              </w:rPr>
              <w:t>名称</w:t>
            </w:r>
          </w:p>
        </w:tc>
        <w:tc>
          <w:tcPr>
            <w:tcW w:w="742"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停牌</w:t>
            </w:r>
          </w:p>
          <w:p w:rsidR="001548F9" w:rsidRPr="005C672D" w:rsidRDefault="001548F9" w:rsidP="00AC6DDA">
            <w:pPr>
              <w:spacing w:before="29" w:line="288" w:lineRule="auto"/>
              <w:jc w:val="center"/>
              <w:rPr>
                <w:color w:val="000000"/>
                <w:sz w:val="24"/>
              </w:rPr>
            </w:pPr>
            <w:r w:rsidRPr="005C672D">
              <w:rPr>
                <w:color w:val="000000"/>
                <w:sz w:val="24"/>
              </w:rPr>
              <w:t>日期</w:t>
            </w:r>
          </w:p>
        </w:tc>
        <w:tc>
          <w:tcPr>
            <w:tcW w:w="79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停牌</w:t>
            </w:r>
          </w:p>
          <w:p w:rsidR="001548F9" w:rsidRPr="005C672D" w:rsidRDefault="001548F9" w:rsidP="00AC6DDA">
            <w:pPr>
              <w:spacing w:before="29" w:line="288" w:lineRule="auto"/>
              <w:jc w:val="center"/>
              <w:rPr>
                <w:color w:val="000000"/>
                <w:sz w:val="24"/>
              </w:rPr>
            </w:pPr>
            <w:r w:rsidRPr="005C672D">
              <w:rPr>
                <w:color w:val="000000"/>
                <w:sz w:val="24"/>
              </w:rPr>
              <w:t>原因</w:t>
            </w:r>
          </w:p>
        </w:tc>
        <w:tc>
          <w:tcPr>
            <w:tcW w:w="79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期末估值单价</w:t>
            </w:r>
          </w:p>
        </w:tc>
        <w:tc>
          <w:tcPr>
            <w:tcW w:w="686"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复牌</w:t>
            </w:r>
          </w:p>
          <w:p w:rsidR="001548F9" w:rsidRPr="005C672D" w:rsidRDefault="001548F9" w:rsidP="00AC6DDA">
            <w:pPr>
              <w:spacing w:before="29" w:line="288" w:lineRule="auto"/>
              <w:jc w:val="center"/>
              <w:rPr>
                <w:color w:val="000000"/>
                <w:sz w:val="24"/>
              </w:rPr>
            </w:pPr>
            <w:r w:rsidRPr="005C672D">
              <w:rPr>
                <w:color w:val="000000"/>
                <w:sz w:val="24"/>
              </w:rPr>
              <w:t>日期</w:t>
            </w:r>
          </w:p>
        </w:tc>
        <w:tc>
          <w:tcPr>
            <w:tcW w:w="65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复牌开</w:t>
            </w:r>
          </w:p>
          <w:p w:rsidR="001548F9" w:rsidRPr="005C672D" w:rsidRDefault="001548F9" w:rsidP="00AC6DDA">
            <w:pPr>
              <w:spacing w:before="29" w:line="288" w:lineRule="auto"/>
              <w:jc w:val="center"/>
              <w:rPr>
                <w:color w:val="000000"/>
                <w:sz w:val="24"/>
              </w:rPr>
            </w:pPr>
            <w:r w:rsidRPr="005C672D">
              <w:rPr>
                <w:color w:val="000000"/>
                <w:sz w:val="24"/>
              </w:rPr>
              <w:t>盘单价</w:t>
            </w:r>
          </w:p>
        </w:tc>
        <w:tc>
          <w:tcPr>
            <w:tcW w:w="1049"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数量</w:t>
            </w:r>
          </w:p>
          <w:p w:rsidR="001548F9" w:rsidRPr="005C672D" w:rsidRDefault="001548F9" w:rsidP="00AC6DDA">
            <w:pPr>
              <w:spacing w:before="29" w:line="288" w:lineRule="auto"/>
              <w:jc w:val="center"/>
              <w:rPr>
                <w:color w:val="000000"/>
                <w:sz w:val="24"/>
              </w:rPr>
            </w:pPr>
            <w:r w:rsidRPr="005C672D">
              <w:rPr>
                <w:color w:val="000000"/>
                <w:sz w:val="24"/>
              </w:rPr>
              <w:t>(</w:t>
            </w:r>
            <w:r w:rsidRPr="005C672D">
              <w:rPr>
                <w:color w:val="000000"/>
                <w:sz w:val="24"/>
              </w:rPr>
              <w:t>股</w:t>
            </w:r>
            <w:r w:rsidRPr="005C672D">
              <w:rPr>
                <w:color w:val="000000"/>
                <w:sz w:val="24"/>
              </w:rPr>
              <w:t>)</w:t>
            </w:r>
          </w:p>
        </w:tc>
        <w:tc>
          <w:tcPr>
            <w:tcW w:w="1218" w:type="dxa"/>
            <w:vAlign w:val="center"/>
          </w:tcPr>
          <w:p w:rsidR="001548F9" w:rsidRPr="005C672D" w:rsidRDefault="001548F9" w:rsidP="00AC6DDA">
            <w:pPr>
              <w:spacing w:before="29" w:line="288" w:lineRule="auto"/>
              <w:jc w:val="center"/>
              <w:rPr>
                <w:color w:val="000000"/>
                <w:sz w:val="24"/>
              </w:rPr>
            </w:pPr>
            <w:r w:rsidRPr="005C672D">
              <w:rPr>
                <w:color w:val="000000"/>
                <w:sz w:val="24"/>
              </w:rPr>
              <w:t>期末</w:t>
            </w:r>
          </w:p>
          <w:p w:rsidR="001548F9" w:rsidRPr="005C672D" w:rsidRDefault="001548F9" w:rsidP="00AC6DDA">
            <w:pPr>
              <w:spacing w:before="29" w:line="288" w:lineRule="auto"/>
              <w:jc w:val="center"/>
              <w:rPr>
                <w:color w:val="000000"/>
                <w:sz w:val="24"/>
              </w:rPr>
            </w:pPr>
            <w:r w:rsidRPr="005C672D">
              <w:rPr>
                <w:color w:val="000000"/>
                <w:sz w:val="24"/>
              </w:rPr>
              <w:t>成本总额</w:t>
            </w:r>
          </w:p>
        </w:tc>
        <w:tc>
          <w:tcPr>
            <w:tcW w:w="1160" w:type="dxa"/>
            <w:vAlign w:val="center"/>
          </w:tcPr>
          <w:p w:rsidR="001548F9" w:rsidRPr="005C672D" w:rsidRDefault="001548F9" w:rsidP="00AC6DDA">
            <w:pPr>
              <w:spacing w:before="29" w:line="288" w:lineRule="auto"/>
              <w:jc w:val="center"/>
              <w:rPr>
                <w:color w:val="000000"/>
                <w:sz w:val="24"/>
              </w:rPr>
            </w:pPr>
            <w:r w:rsidRPr="005C672D">
              <w:rPr>
                <w:color w:val="000000"/>
                <w:sz w:val="24"/>
              </w:rPr>
              <w:t>期末</w:t>
            </w:r>
          </w:p>
          <w:p w:rsidR="001548F9" w:rsidRPr="005C672D" w:rsidRDefault="001548F9" w:rsidP="00AC6DDA">
            <w:pPr>
              <w:spacing w:before="29" w:line="288" w:lineRule="auto"/>
              <w:jc w:val="center"/>
              <w:rPr>
                <w:color w:val="000000"/>
                <w:sz w:val="24"/>
              </w:rPr>
            </w:pPr>
            <w:r w:rsidRPr="005C672D">
              <w:rPr>
                <w:color w:val="000000"/>
                <w:sz w:val="24"/>
              </w:rPr>
              <w:t>估值总额</w:t>
            </w:r>
          </w:p>
        </w:tc>
        <w:tc>
          <w:tcPr>
            <w:tcW w:w="601" w:type="dxa"/>
            <w:vAlign w:val="center"/>
          </w:tcPr>
          <w:p w:rsidR="001548F9" w:rsidRPr="005C672D" w:rsidRDefault="001548F9" w:rsidP="00AC6DDA">
            <w:pPr>
              <w:spacing w:before="29" w:line="288" w:lineRule="auto"/>
              <w:jc w:val="center"/>
              <w:rPr>
                <w:color w:val="000000"/>
                <w:sz w:val="24"/>
              </w:rPr>
            </w:pPr>
            <w:r w:rsidRPr="005C672D">
              <w:rPr>
                <w:color w:val="000000"/>
                <w:sz w:val="24"/>
              </w:rPr>
              <w:t>备注</w:t>
            </w:r>
          </w:p>
        </w:tc>
      </w:tr>
      <w:tr w:rsidR="00B10F73">
        <w:tc>
          <w:tcPr>
            <w:tcW w:w="616" w:type="dxa"/>
            <w:vAlign w:val="center"/>
          </w:tcPr>
          <w:p w:rsidR="00B10F73" w:rsidRDefault="00914739">
            <w:pPr>
              <w:jc w:val="center"/>
            </w:pPr>
            <w:r>
              <w:rPr>
                <w:sz w:val="24"/>
              </w:rPr>
              <w:t>002696</w:t>
            </w:r>
          </w:p>
        </w:tc>
        <w:tc>
          <w:tcPr>
            <w:tcW w:w="686" w:type="dxa"/>
            <w:vAlign w:val="center"/>
          </w:tcPr>
          <w:p w:rsidR="00B10F73" w:rsidRDefault="00914739">
            <w:pPr>
              <w:jc w:val="center"/>
            </w:pPr>
            <w:proofErr w:type="gramStart"/>
            <w:r>
              <w:rPr>
                <w:sz w:val="24"/>
              </w:rPr>
              <w:t>百洋股份</w:t>
            </w:r>
            <w:proofErr w:type="gramEnd"/>
          </w:p>
        </w:tc>
        <w:tc>
          <w:tcPr>
            <w:tcW w:w="742" w:type="dxa"/>
            <w:vAlign w:val="center"/>
          </w:tcPr>
          <w:p w:rsidR="00B10F73" w:rsidRDefault="00914739">
            <w:pPr>
              <w:jc w:val="center"/>
            </w:pPr>
            <w:r>
              <w:rPr>
                <w:sz w:val="24"/>
              </w:rPr>
              <w:t>2017-06-22</w:t>
            </w:r>
          </w:p>
        </w:tc>
        <w:tc>
          <w:tcPr>
            <w:tcW w:w="798" w:type="dxa"/>
            <w:vAlign w:val="center"/>
          </w:tcPr>
          <w:p w:rsidR="00B10F73" w:rsidRDefault="00914739">
            <w:pPr>
              <w:jc w:val="center"/>
            </w:pPr>
            <w:r>
              <w:rPr>
                <w:sz w:val="24"/>
              </w:rPr>
              <w:t>重大事项</w:t>
            </w:r>
          </w:p>
        </w:tc>
        <w:tc>
          <w:tcPr>
            <w:tcW w:w="798" w:type="dxa"/>
            <w:vAlign w:val="center"/>
          </w:tcPr>
          <w:p w:rsidR="00B10F73" w:rsidRDefault="00914739">
            <w:pPr>
              <w:jc w:val="right"/>
            </w:pPr>
            <w:r>
              <w:rPr>
                <w:sz w:val="24"/>
              </w:rPr>
              <w:t>20.87</w:t>
            </w:r>
          </w:p>
        </w:tc>
        <w:tc>
          <w:tcPr>
            <w:tcW w:w="686" w:type="dxa"/>
            <w:vAlign w:val="center"/>
          </w:tcPr>
          <w:p w:rsidR="00B10F73" w:rsidRDefault="00914739">
            <w:pPr>
              <w:jc w:val="center"/>
            </w:pPr>
            <w:r>
              <w:rPr>
                <w:sz w:val="24"/>
              </w:rPr>
              <w:t>2017-07-03</w:t>
            </w:r>
          </w:p>
        </w:tc>
        <w:tc>
          <w:tcPr>
            <w:tcW w:w="658" w:type="dxa"/>
            <w:vAlign w:val="center"/>
          </w:tcPr>
          <w:p w:rsidR="00B10F73" w:rsidRDefault="00914739">
            <w:pPr>
              <w:jc w:val="right"/>
            </w:pPr>
            <w:r>
              <w:rPr>
                <w:sz w:val="24"/>
              </w:rPr>
              <w:t>21.74</w:t>
            </w:r>
          </w:p>
        </w:tc>
        <w:tc>
          <w:tcPr>
            <w:tcW w:w="1049" w:type="dxa"/>
            <w:vAlign w:val="center"/>
          </w:tcPr>
          <w:p w:rsidR="00B10F73" w:rsidRDefault="00914739">
            <w:pPr>
              <w:jc w:val="right"/>
            </w:pPr>
            <w:r>
              <w:rPr>
                <w:sz w:val="24"/>
              </w:rPr>
              <w:t>573,599</w:t>
            </w:r>
          </w:p>
        </w:tc>
        <w:tc>
          <w:tcPr>
            <w:tcW w:w="1218" w:type="dxa"/>
            <w:vAlign w:val="center"/>
          </w:tcPr>
          <w:p w:rsidR="00B10F73" w:rsidRDefault="00914739">
            <w:pPr>
              <w:jc w:val="right"/>
            </w:pPr>
            <w:r>
              <w:rPr>
                <w:sz w:val="24"/>
              </w:rPr>
              <w:t>10,983,825.70</w:t>
            </w:r>
          </w:p>
        </w:tc>
        <w:tc>
          <w:tcPr>
            <w:tcW w:w="1160" w:type="dxa"/>
            <w:vAlign w:val="center"/>
          </w:tcPr>
          <w:p w:rsidR="00B10F73" w:rsidRDefault="00914739">
            <w:pPr>
              <w:jc w:val="right"/>
            </w:pPr>
            <w:r>
              <w:rPr>
                <w:sz w:val="24"/>
              </w:rPr>
              <w:t>11,971,011.13</w:t>
            </w:r>
          </w:p>
        </w:tc>
        <w:tc>
          <w:tcPr>
            <w:tcW w:w="601" w:type="dxa"/>
            <w:vAlign w:val="center"/>
          </w:tcPr>
          <w:p w:rsidR="00B10F73" w:rsidRDefault="00914739">
            <w:pPr>
              <w:jc w:val="center"/>
            </w:pPr>
            <w:r>
              <w:rPr>
                <w:sz w:val="24"/>
              </w:rPr>
              <w:t>-</w:t>
            </w:r>
          </w:p>
        </w:tc>
      </w:tr>
      <w:tr w:rsidR="00B10F73">
        <w:tc>
          <w:tcPr>
            <w:tcW w:w="616" w:type="dxa"/>
            <w:vAlign w:val="center"/>
          </w:tcPr>
          <w:p w:rsidR="00B10F73" w:rsidRDefault="00914739">
            <w:pPr>
              <w:jc w:val="center"/>
            </w:pPr>
            <w:r>
              <w:rPr>
                <w:sz w:val="24"/>
              </w:rPr>
              <w:t>300088</w:t>
            </w:r>
          </w:p>
        </w:tc>
        <w:tc>
          <w:tcPr>
            <w:tcW w:w="686" w:type="dxa"/>
            <w:vAlign w:val="center"/>
          </w:tcPr>
          <w:p w:rsidR="00B10F73" w:rsidRDefault="00914739">
            <w:pPr>
              <w:jc w:val="center"/>
            </w:pPr>
            <w:r>
              <w:rPr>
                <w:sz w:val="24"/>
              </w:rPr>
              <w:t>长信科技</w:t>
            </w:r>
          </w:p>
        </w:tc>
        <w:tc>
          <w:tcPr>
            <w:tcW w:w="742" w:type="dxa"/>
            <w:vAlign w:val="center"/>
          </w:tcPr>
          <w:p w:rsidR="00B10F73" w:rsidRDefault="00914739">
            <w:pPr>
              <w:jc w:val="center"/>
            </w:pPr>
            <w:r>
              <w:rPr>
                <w:sz w:val="24"/>
              </w:rPr>
              <w:t>2017-05-29</w:t>
            </w:r>
          </w:p>
        </w:tc>
        <w:tc>
          <w:tcPr>
            <w:tcW w:w="798" w:type="dxa"/>
            <w:vAlign w:val="center"/>
          </w:tcPr>
          <w:p w:rsidR="00B10F73" w:rsidRDefault="00914739">
            <w:pPr>
              <w:jc w:val="center"/>
            </w:pPr>
            <w:r>
              <w:rPr>
                <w:sz w:val="24"/>
              </w:rPr>
              <w:t>重大事项</w:t>
            </w:r>
          </w:p>
        </w:tc>
        <w:tc>
          <w:tcPr>
            <w:tcW w:w="798" w:type="dxa"/>
            <w:vAlign w:val="center"/>
          </w:tcPr>
          <w:p w:rsidR="00B10F73" w:rsidRDefault="00914739">
            <w:pPr>
              <w:jc w:val="right"/>
            </w:pPr>
            <w:r>
              <w:rPr>
                <w:sz w:val="24"/>
              </w:rPr>
              <w:t>15.75</w:t>
            </w:r>
          </w:p>
        </w:tc>
        <w:tc>
          <w:tcPr>
            <w:tcW w:w="686" w:type="dxa"/>
            <w:vAlign w:val="center"/>
          </w:tcPr>
          <w:p w:rsidR="00B10F73" w:rsidRDefault="00914739">
            <w:pPr>
              <w:jc w:val="center"/>
            </w:pPr>
            <w:r>
              <w:rPr>
                <w:sz w:val="24"/>
              </w:rPr>
              <w:t>2017-08-09</w:t>
            </w:r>
          </w:p>
        </w:tc>
        <w:tc>
          <w:tcPr>
            <w:tcW w:w="658" w:type="dxa"/>
            <w:vAlign w:val="center"/>
          </w:tcPr>
          <w:p w:rsidR="00B10F73" w:rsidRDefault="00914739">
            <w:pPr>
              <w:jc w:val="right"/>
            </w:pPr>
            <w:r>
              <w:rPr>
                <w:sz w:val="24"/>
              </w:rPr>
              <w:t>14.50</w:t>
            </w:r>
          </w:p>
        </w:tc>
        <w:tc>
          <w:tcPr>
            <w:tcW w:w="1049" w:type="dxa"/>
            <w:vAlign w:val="center"/>
          </w:tcPr>
          <w:p w:rsidR="00B10F73" w:rsidRDefault="00914739">
            <w:pPr>
              <w:jc w:val="right"/>
            </w:pPr>
            <w:r>
              <w:rPr>
                <w:sz w:val="24"/>
              </w:rPr>
              <w:t>504,800</w:t>
            </w:r>
          </w:p>
        </w:tc>
        <w:tc>
          <w:tcPr>
            <w:tcW w:w="1218" w:type="dxa"/>
            <w:vAlign w:val="center"/>
          </w:tcPr>
          <w:p w:rsidR="00B10F73" w:rsidRDefault="00914739">
            <w:pPr>
              <w:jc w:val="right"/>
            </w:pPr>
            <w:r>
              <w:rPr>
                <w:sz w:val="24"/>
              </w:rPr>
              <w:t>7,898,637.00</w:t>
            </w:r>
          </w:p>
        </w:tc>
        <w:tc>
          <w:tcPr>
            <w:tcW w:w="1160" w:type="dxa"/>
            <w:vAlign w:val="center"/>
          </w:tcPr>
          <w:p w:rsidR="00B10F73" w:rsidRDefault="00914739">
            <w:pPr>
              <w:jc w:val="right"/>
            </w:pPr>
            <w:r>
              <w:rPr>
                <w:sz w:val="24"/>
              </w:rPr>
              <w:t>7,950,600.00</w:t>
            </w:r>
          </w:p>
        </w:tc>
        <w:tc>
          <w:tcPr>
            <w:tcW w:w="601" w:type="dxa"/>
            <w:vAlign w:val="center"/>
          </w:tcPr>
          <w:p w:rsidR="00B10F73" w:rsidRDefault="00914739">
            <w:pPr>
              <w:jc w:val="center"/>
            </w:pPr>
            <w:r>
              <w:rPr>
                <w:sz w:val="24"/>
              </w:rPr>
              <w:t>-</w:t>
            </w:r>
          </w:p>
        </w:tc>
      </w:tr>
      <w:tr w:rsidR="00B10F73">
        <w:tc>
          <w:tcPr>
            <w:tcW w:w="616" w:type="dxa"/>
            <w:vAlign w:val="center"/>
          </w:tcPr>
          <w:p w:rsidR="00B10F73" w:rsidRDefault="00914739">
            <w:pPr>
              <w:jc w:val="center"/>
            </w:pPr>
            <w:r>
              <w:rPr>
                <w:sz w:val="24"/>
              </w:rPr>
              <w:t>300271</w:t>
            </w:r>
          </w:p>
        </w:tc>
        <w:tc>
          <w:tcPr>
            <w:tcW w:w="686" w:type="dxa"/>
            <w:vAlign w:val="center"/>
          </w:tcPr>
          <w:p w:rsidR="00B10F73" w:rsidRDefault="00914739">
            <w:pPr>
              <w:jc w:val="center"/>
            </w:pPr>
            <w:r>
              <w:rPr>
                <w:sz w:val="24"/>
              </w:rPr>
              <w:t>华</w:t>
            </w:r>
            <w:proofErr w:type="gramStart"/>
            <w:r>
              <w:rPr>
                <w:sz w:val="24"/>
              </w:rPr>
              <w:t>宇软件</w:t>
            </w:r>
            <w:proofErr w:type="gramEnd"/>
          </w:p>
        </w:tc>
        <w:tc>
          <w:tcPr>
            <w:tcW w:w="742" w:type="dxa"/>
            <w:vAlign w:val="center"/>
          </w:tcPr>
          <w:p w:rsidR="00B10F73" w:rsidRDefault="00914739">
            <w:pPr>
              <w:jc w:val="center"/>
            </w:pPr>
            <w:r>
              <w:rPr>
                <w:sz w:val="24"/>
              </w:rPr>
              <w:t>2017-06-22</w:t>
            </w:r>
          </w:p>
        </w:tc>
        <w:tc>
          <w:tcPr>
            <w:tcW w:w="798" w:type="dxa"/>
            <w:vAlign w:val="center"/>
          </w:tcPr>
          <w:p w:rsidR="00B10F73" w:rsidRDefault="00914739">
            <w:pPr>
              <w:jc w:val="center"/>
            </w:pPr>
            <w:r>
              <w:rPr>
                <w:sz w:val="24"/>
              </w:rPr>
              <w:t>重大事项</w:t>
            </w:r>
          </w:p>
        </w:tc>
        <w:tc>
          <w:tcPr>
            <w:tcW w:w="798" w:type="dxa"/>
            <w:vAlign w:val="center"/>
          </w:tcPr>
          <w:p w:rsidR="00B10F73" w:rsidRDefault="00914739">
            <w:pPr>
              <w:jc w:val="right"/>
            </w:pPr>
            <w:r>
              <w:rPr>
                <w:sz w:val="24"/>
              </w:rPr>
              <w:t>16.59</w:t>
            </w:r>
          </w:p>
        </w:tc>
        <w:tc>
          <w:tcPr>
            <w:tcW w:w="686" w:type="dxa"/>
            <w:vAlign w:val="center"/>
          </w:tcPr>
          <w:p w:rsidR="00B10F73" w:rsidRDefault="00914739">
            <w:pPr>
              <w:jc w:val="center"/>
            </w:pPr>
            <w:r>
              <w:rPr>
                <w:sz w:val="24"/>
              </w:rPr>
              <w:t>2017-07-04</w:t>
            </w:r>
          </w:p>
        </w:tc>
        <w:tc>
          <w:tcPr>
            <w:tcW w:w="658" w:type="dxa"/>
            <w:vAlign w:val="center"/>
          </w:tcPr>
          <w:p w:rsidR="00B10F73" w:rsidRDefault="00914739">
            <w:pPr>
              <w:jc w:val="right"/>
            </w:pPr>
            <w:r>
              <w:rPr>
                <w:sz w:val="24"/>
              </w:rPr>
              <w:t>16.80</w:t>
            </w:r>
          </w:p>
        </w:tc>
        <w:tc>
          <w:tcPr>
            <w:tcW w:w="1049" w:type="dxa"/>
            <w:vAlign w:val="center"/>
          </w:tcPr>
          <w:p w:rsidR="00B10F73" w:rsidRDefault="00914739">
            <w:pPr>
              <w:jc w:val="right"/>
            </w:pPr>
            <w:r>
              <w:rPr>
                <w:sz w:val="24"/>
              </w:rPr>
              <w:t>513,367</w:t>
            </w:r>
          </w:p>
        </w:tc>
        <w:tc>
          <w:tcPr>
            <w:tcW w:w="1218" w:type="dxa"/>
            <w:vAlign w:val="center"/>
          </w:tcPr>
          <w:p w:rsidR="00B10F73" w:rsidRDefault="00914739">
            <w:pPr>
              <w:jc w:val="right"/>
            </w:pPr>
            <w:r>
              <w:rPr>
                <w:sz w:val="24"/>
              </w:rPr>
              <w:t>8,302,126.69</w:t>
            </w:r>
          </w:p>
        </w:tc>
        <w:tc>
          <w:tcPr>
            <w:tcW w:w="1160" w:type="dxa"/>
            <w:vAlign w:val="center"/>
          </w:tcPr>
          <w:p w:rsidR="00B10F73" w:rsidRDefault="00914739">
            <w:pPr>
              <w:jc w:val="right"/>
            </w:pPr>
            <w:r>
              <w:rPr>
                <w:sz w:val="24"/>
              </w:rPr>
              <w:t>8,516,758.53</w:t>
            </w:r>
          </w:p>
        </w:tc>
        <w:tc>
          <w:tcPr>
            <w:tcW w:w="601" w:type="dxa"/>
            <w:vAlign w:val="center"/>
          </w:tcPr>
          <w:p w:rsidR="00B10F73" w:rsidRDefault="00914739">
            <w:pPr>
              <w:jc w:val="center"/>
            </w:pPr>
            <w:r>
              <w:rPr>
                <w:sz w:val="24"/>
              </w:rPr>
              <w:t>-</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注：本基金截至</w:t>
      </w:r>
      <w:r w:rsidRPr="005C672D">
        <w:rPr>
          <w:kern w:val="0"/>
          <w:sz w:val="24"/>
        </w:rPr>
        <w:t>2017</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roofErr w:type="gramStart"/>
      <w:r w:rsidRPr="005C672D">
        <w:rPr>
          <w:kern w:val="0"/>
          <w:sz w:val="24"/>
        </w:rPr>
        <w:t>止</w:t>
      </w:r>
      <w:proofErr w:type="gramEnd"/>
      <w:r w:rsidRPr="005C672D">
        <w:rPr>
          <w:kern w:val="0"/>
          <w:sz w:val="24"/>
        </w:rPr>
        <w:t>持有以上因公布的重大事项可能产生重大影响而被暂时停牌的股票，该类股票将在所公布事项的重大影响消除后，经交易所批准复牌。</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AC6DDA">
      <w:pPr>
        <w:tabs>
          <w:tab w:val="left" w:pos="426"/>
        </w:tabs>
        <w:spacing w:before="29" w:line="288" w:lineRule="auto"/>
        <w:jc w:val="left"/>
        <w:rPr>
          <w:bCs/>
          <w:color w:val="000000"/>
          <w:sz w:val="24"/>
        </w:rPr>
      </w:pPr>
      <w:r w:rsidRPr="005C672D">
        <w:rPr>
          <w:kern w:val="0"/>
          <w:sz w:val="24"/>
        </w:rPr>
        <w:t>本基金本报告期末无从事债券正回购交易形成的卖出回购证券款余额。</w:t>
      </w:r>
    </w:p>
    <w:p w:rsidR="001548F9" w:rsidRPr="005C672D" w:rsidRDefault="001548F9" w:rsidP="00AC6DDA">
      <w:pPr>
        <w:spacing w:before="29" w:line="288" w:lineRule="auto"/>
        <w:rPr>
          <w:color w:val="000000"/>
          <w:sz w:val="24"/>
        </w:r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52" w:name="_Toc331410101"/>
      <w:bookmarkStart w:id="53" w:name="_Toc225498272"/>
      <w:r w:rsidRPr="005C672D">
        <w:rPr>
          <w:b/>
          <w:bCs/>
          <w:szCs w:val="24"/>
          <w:lang w:val="en-US"/>
        </w:rPr>
        <w:lastRenderedPageBreak/>
        <w:t xml:space="preserve">7  </w:t>
      </w:r>
      <w:r w:rsidRPr="005C672D">
        <w:rPr>
          <w:b/>
          <w:bCs/>
          <w:szCs w:val="24"/>
          <w:lang w:val="en-US"/>
        </w:rPr>
        <w:t>投资组合报告</w:t>
      </w:r>
      <w:bookmarkEnd w:id="52"/>
      <w:bookmarkEnd w:id="53"/>
    </w:p>
    <w:p w:rsidR="001548F9" w:rsidRPr="005C672D" w:rsidRDefault="001548F9" w:rsidP="00AC6DDA">
      <w:pPr>
        <w:pStyle w:val="20"/>
        <w:spacing w:before="29" w:after="0" w:line="288" w:lineRule="auto"/>
        <w:rPr>
          <w:rFonts w:ascii="Times New Roman" w:hAnsi="Times New Roman"/>
          <w:kern w:val="0"/>
          <w:szCs w:val="24"/>
        </w:rPr>
      </w:pPr>
      <w:bookmarkStart w:id="54" w:name="_Toc331410102"/>
      <w:bookmarkStart w:id="55"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4"/>
      <w:bookmarkEnd w:id="5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487,316,362.28</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75.18</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其中：股票</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487,316,362.28</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75.18</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sz w:val="24"/>
              </w:rPr>
              <w:t>2</w:t>
            </w: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固定收益投资</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29,844,000.00</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4.60</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其中：债券</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29,844,000.00</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4.60</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资产支持证券</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w:t>
            </w:r>
          </w:p>
        </w:tc>
      </w:tr>
      <w:tr w:rsidR="00B65701" w:rsidRPr="005C672D" w:rsidTr="00DA11A4">
        <w:tc>
          <w:tcPr>
            <w:tcW w:w="1080" w:type="dxa"/>
            <w:vAlign w:val="center"/>
          </w:tcPr>
          <w:p w:rsidR="00B65701" w:rsidRPr="005C672D" w:rsidRDefault="00B65701" w:rsidP="00DA11A4">
            <w:pPr>
              <w:spacing w:before="29" w:line="288" w:lineRule="auto"/>
              <w:jc w:val="center"/>
              <w:rPr>
                <w:color w:val="000000"/>
                <w:sz w:val="24"/>
              </w:rPr>
            </w:pPr>
            <w:r w:rsidRPr="005C672D">
              <w:rPr>
                <w:color w:val="000000"/>
                <w:sz w:val="24"/>
              </w:rPr>
              <w:t>3</w:t>
            </w:r>
          </w:p>
        </w:tc>
        <w:tc>
          <w:tcPr>
            <w:tcW w:w="3420" w:type="dxa"/>
            <w:vAlign w:val="center"/>
          </w:tcPr>
          <w:p w:rsidR="00B65701" w:rsidRPr="005C672D" w:rsidRDefault="00B65701" w:rsidP="00DA11A4">
            <w:pPr>
              <w:spacing w:before="29" w:line="288" w:lineRule="auto"/>
              <w:ind w:leftChars="50" w:left="105"/>
              <w:rPr>
                <w:color w:val="000000"/>
                <w:sz w:val="24"/>
              </w:rPr>
            </w:pPr>
            <w:r w:rsidRPr="005C672D">
              <w:rPr>
                <w:color w:val="000000"/>
                <w:sz w:val="24"/>
              </w:rPr>
              <w:t>贵金属投资</w:t>
            </w:r>
          </w:p>
        </w:tc>
        <w:tc>
          <w:tcPr>
            <w:tcW w:w="2520" w:type="dxa"/>
            <w:vAlign w:val="center"/>
          </w:tcPr>
          <w:p w:rsidR="00B65701" w:rsidRPr="005C672D" w:rsidRDefault="00B65701" w:rsidP="00344669">
            <w:pPr>
              <w:spacing w:before="29" w:line="360"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344669">
            <w:pPr>
              <w:spacing w:before="29" w:line="360"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r w:rsidRPr="005C672D">
              <w:rPr>
                <w:sz w:val="24"/>
              </w:rPr>
              <w:t>4</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金融衍生</w:t>
            </w:r>
            <w:proofErr w:type="gramStart"/>
            <w:r w:rsidRPr="005C672D">
              <w:rPr>
                <w:sz w:val="24"/>
              </w:rPr>
              <w:t>品投资</w:t>
            </w:r>
            <w:proofErr w:type="gramEnd"/>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r w:rsidRPr="005C672D">
              <w:rPr>
                <w:sz w:val="24"/>
              </w:rPr>
              <w:t>5</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买入返售金融资产</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其中：买断式回购的买入返售金融资产</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r w:rsidRPr="005C672D">
              <w:rPr>
                <w:sz w:val="24"/>
              </w:rPr>
              <w:t>6</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银行存款和结算备付金合计</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120,909,154.48</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18.65</w:t>
            </w:r>
          </w:p>
        </w:tc>
      </w:tr>
      <w:tr w:rsidR="00B65701" w:rsidRPr="005C672D" w:rsidTr="00C17210">
        <w:tc>
          <w:tcPr>
            <w:tcW w:w="1080" w:type="dxa"/>
            <w:vAlign w:val="center"/>
          </w:tcPr>
          <w:p w:rsidR="00B65701" w:rsidRPr="005C672D" w:rsidRDefault="00B65701" w:rsidP="00B65701">
            <w:pPr>
              <w:spacing w:before="29" w:line="288" w:lineRule="auto"/>
              <w:ind w:left="17"/>
              <w:jc w:val="center"/>
              <w:rPr>
                <w:color w:val="000000"/>
                <w:sz w:val="24"/>
              </w:rPr>
            </w:pPr>
            <w:r w:rsidRPr="005C672D">
              <w:rPr>
                <w:color w:val="000000"/>
                <w:sz w:val="24"/>
              </w:rPr>
              <w:t>7</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其他各项资产</w:t>
            </w:r>
          </w:p>
        </w:tc>
        <w:tc>
          <w:tcPr>
            <w:tcW w:w="2520" w:type="dxa"/>
            <w:vAlign w:val="center"/>
          </w:tcPr>
          <w:p w:rsidR="00B65701" w:rsidRPr="005C672D" w:rsidRDefault="00B65701" w:rsidP="00AC6DDA">
            <w:pPr>
              <w:spacing w:before="29" w:line="288" w:lineRule="auto"/>
              <w:jc w:val="right"/>
              <w:rPr>
                <w:color w:val="000000"/>
                <w:sz w:val="24"/>
              </w:rPr>
            </w:pPr>
            <w:r w:rsidRPr="005C672D">
              <w:rPr>
                <w:color w:val="000000"/>
                <w:sz w:val="24"/>
              </w:rPr>
              <w:t>10,161,915.49</w:t>
            </w:r>
          </w:p>
        </w:tc>
        <w:tc>
          <w:tcPr>
            <w:tcW w:w="1980" w:type="dxa"/>
            <w:vAlign w:val="center"/>
          </w:tcPr>
          <w:p w:rsidR="00B65701" w:rsidRPr="005C672D" w:rsidRDefault="00B65701" w:rsidP="00AC6DDA">
            <w:pPr>
              <w:spacing w:before="29" w:line="288" w:lineRule="auto"/>
              <w:jc w:val="right"/>
              <w:rPr>
                <w:color w:val="000000"/>
                <w:sz w:val="24"/>
              </w:rPr>
            </w:pPr>
            <w:r w:rsidRPr="005C672D">
              <w:rPr>
                <w:color w:val="000000"/>
                <w:sz w:val="24"/>
              </w:rPr>
              <w:t>1.57</w:t>
            </w:r>
          </w:p>
        </w:tc>
      </w:tr>
      <w:tr w:rsidR="00B65701" w:rsidRPr="005C672D" w:rsidTr="00C17210">
        <w:tc>
          <w:tcPr>
            <w:tcW w:w="1080" w:type="dxa"/>
            <w:vAlign w:val="center"/>
          </w:tcPr>
          <w:p w:rsidR="00B65701" w:rsidRPr="005C672D" w:rsidRDefault="00B65701" w:rsidP="00B65701">
            <w:pPr>
              <w:spacing w:before="29" w:line="288" w:lineRule="auto"/>
              <w:ind w:left="17"/>
              <w:jc w:val="center"/>
              <w:rPr>
                <w:color w:val="000000"/>
                <w:sz w:val="24"/>
              </w:rPr>
            </w:pPr>
            <w:r w:rsidRPr="005C672D">
              <w:rPr>
                <w:color w:val="000000"/>
                <w:sz w:val="24"/>
              </w:rPr>
              <w:t>8</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合计</w:t>
            </w:r>
          </w:p>
        </w:tc>
        <w:tc>
          <w:tcPr>
            <w:tcW w:w="2520" w:type="dxa"/>
            <w:vAlign w:val="center"/>
          </w:tcPr>
          <w:p w:rsidR="00B65701" w:rsidRPr="005C672D" w:rsidRDefault="00B65701" w:rsidP="00AC6DDA">
            <w:pPr>
              <w:spacing w:before="29" w:line="288" w:lineRule="auto"/>
              <w:jc w:val="right"/>
              <w:rPr>
                <w:color w:val="000000"/>
                <w:sz w:val="24"/>
              </w:rPr>
            </w:pPr>
            <w:r w:rsidRPr="005C672D">
              <w:rPr>
                <w:color w:val="000000"/>
                <w:sz w:val="24"/>
              </w:rPr>
              <w:t>648,231,432.25</w:t>
            </w:r>
          </w:p>
        </w:tc>
        <w:tc>
          <w:tcPr>
            <w:tcW w:w="1980" w:type="dxa"/>
            <w:vAlign w:val="center"/>
          </w:tcPr>
          <w:p w:rsidR="00B65701" w:rsidRPr="005C672D" w:rsidRDefault="00B65701" w:rsidP="00AC6DDA">
            <w:pPr>
              <w:spacing w:before="29" w:line="288" w:lineRule="auto"/>
              <w:jc w:val="right"/>
              <w:rPr>
                <w:color w:val="000000"/>
                <w:sz w:val="24"/>
              </w:rPr>
            </w:pPr>
            <w:r w:rsidRPr="005C672D">
              <w:rPr>
                <w:color w:val="000000"/>
                <w:sz w:val="24"/>
              </w:rPr>
              <w:t>100.00</w:t>
            </w:r>
          </w:p>
        </w:tc>
      </w:tr>
    </w:tbl>
    <w:p w:rsidR="001548F9" w:rsidRDefault="001548F9"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kern w:val="0"/>
          <w:szCs w:val="24"/>
        </w:rPr>
      </w:pPr>
      <w:bookmarkStart w:id="56" w:name="_Toc331410103"/>
      <w:bookmarkStart w:id="57" w:name="_Toc225498274"/>
      <w:r w:rsidRPr="005C672D">
        <w:rPr>
          <w:rFonts w:ascii="Times New Roman" w:hAnsi="Times New Roman"/>
          <w:kern w:val="0"/>
          <w:szCs w:val="24"/>
        </w:rPr>
        <w:t xml:space="preserve">7.2 </w:t>
      </w:r>
      <w:r w:rsidRPr="005C672D">
        <w:rPr>
          <w:rFonts w:ascii="Times New Roman" w:hAnsi="Times New Roman"/>
          <w:kern w:val="0"/>
          <w:szCs w:val="24"/>
        </w:rPr>
        <w:t>期末按行业分类的股票投资组合</w:t>
      </w:r>
      <w:bookmarkEnd w:id="56"/>
      <w:bookmarkEnd w:id="57"/>
    </w:p>
    <w:p w:rsidR="001C16A1" w:rsidRPr="001C16A1" w:rsidRDefault="001C16A1" w:rsidP="001C16A1">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代码</w:t>
            </w:r>
          </w:p>
        </w:tc>
        <w:tc>
          <w:tcPr>
            <w:tcW w:w="3600" w:type="dxa"/>
            <w:vAlign w:val="center"/>
          </w:tcPr>
          <w:p w:rsidR="001548F9" w:rsidRPr="005C672D" w:rsidRDefault="001548F9" w:rsidP="00AC6DDA">
            <w:pPr>
              <w:spacing w:before="29" w:line="288" w:lineRule="auto"/>
              <w:rPr>
                <w:color w:val="000000"/>
                <w:sz w:val="24"/>
              </w:rPr>
            </w:pPr>
            <w:r w:rsidRPr="005C672D">
              <w:rPr>
                <w:color w:val="000000"/>
                <w:sz w:val="24"/>
              </w:rPr>
              <w:t>行业类别</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公允价值</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占基金资产净值比例（％）</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A</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农、林、牧、渔业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11,971,011.13</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1.86</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c>
          <w:tcPr>
            <w:tcW w:w="2160" w:type="dxa"/>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C</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制造业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188,337,529.47</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29.30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E</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建筑业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38,778.24</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0.01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160" w:type="dxa"/>
            <w:vAlign w:val="center"/>
          </w:tcPr>
          <w:p w:rsidR="001548F9" w:rsidRPr="005C672D" w:rsidRDefault="001548F9" w:rsidP="00AC6DDA">
            <w:pPr>
              <w:spacing w:before="29" w:line="288" w:lineRule="auto"/>
              <w:jc w:val="right"/>
              <w:rPr>
                <w:sz w:val="24"/>
              </w:rPr>
            </w:pPr>
            <w:r w:rsidRPr="005C672D">
              <w:rPr>
                <w:sz w:val="24"/>
              </w:rPr>
              <w:t>12,018,556.64</w:t>
            </w:r>
          </w:p>
        </w:tc>
        <w:tc>
          <w:tcPr>
            <w:tcW w:w="2160" w:type="dxa"/>
            <w:vAlign w:val="center"/>
          </w:tcPr>
          <w:p w:rsidR="001548F9" w:rsidRPr="005C672D" w:rsidRDefault="001548F9" w:rsidP="00AC6DDA">
            <w:pPr>
              <w:spacing w:before="29" w:line="288" w:lineRule="auto"/>
              <w:jc w:val="right"/>
              <w:rPr>
                <w:sz w:val="24"/>
              </w:rPr>
            </w:pPr>
            <w:r w:rsidRPr="005C672D">
              <w:rPr>
                <w:sz w:val="24"/>
              </w:rPr>
              <w:t>1.87</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lastRenderedPageBreak/>
              <w:t>H</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600" w:type="dxa"/>
            <w:vAlign w:val="center"/>
          </w:tcPr>
          <w:p w:rsidR="001548F9" w:rsidRPr="005C672D" w:rsidRDefault="001548F9" w:rsidP="00087B29">
            <w:pPr>
              <w:adjustRightInd w:val="0"/>
              <w:snapToGrid w:val="0"/>
              <w:spacing w:before="29" w:line="288" w:lineRule="auto"/>
              <w:rPr>
                <w:sz w:val="24"/>
              </w:rPr>
            </w:pPr>
            <w:r w:rsidRPr="005C672D">
              <w:rPr>
                <w:sz w:val="24"/>
              </w:rPr>
              <w:t>信息传输、软件和信息技术服务业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75,281,903.96</w:t>
            </w:r>
          </w:p>
        </w:tc>
        <w:tc>
          <w:tcPr>
            <w:tcW w:w="2160" w:type="dxa"/>
            <w:vAlign w:val="center"/>
          </w:tcPr>
          <w:p w:rsidR="001548F9" w:rsidRPr="005C672D" w:rsidRDefault="001548F9" w:rsidP="00AC6DDA">
            <w:pPr>
              <w:spacing w:before="29" w:line="288" w:lineRule="auto"/>
              <w:jc w:val="right"/>
              <w:rPr>
                <w:sz w:val="24"/>
              </w:rPr>
            </w:pPr>
            <w:r w:rsidRPr="005C672D">
              <w:rPr>
                <w:sz w:val="24"/>
              </w:rPr>
              <w:t>11.71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160" w:type="dxa"/>
            <w:vAlign w:val="center"/>
          </w:tcPr>
          <w:p w:rsidR="001548F9" w:rsidRPr="005C672D" w:rsidRDefault="001548F9" w:rsidP="00AC6DDA">
            <w:pPr>
              <w:spacing w:before="29" w:line="288" w:lineRule="auto"/>
              <w:jc w:val="right"/>
              <w:rPr>
                <w:sz w:val="24"/>
              </w:rPr>
            </w:pPr>
            <w:r w:rsidRPr="005C672D">
              <w:rPr>
                <w:sz w:val="24"/>
              </w:rPr>
              <w:t>39,488,990.20</w:t>
            </w:r>
          </w:p>
        </w:tc>
        <w:tc>
          <w:tcPr>
            <w:tcW w:w="2160" w:type="dxa"/>
            <w:vAlign w:val="center"/>
          </w:tcPr>
          <w:p w:rsidR="001548F9" w:rsidRPr="005C672D" w:rsidRDefault="001548F9" w:rsidP="00AC6DDA">
            <w:pPr>
              <w:spacing w:before="29" w:line="288" w:lineRule="auto"/>
              <w:jc w:val="right"/>
              <w:rPr>
                <w:sz w:val="24"/>
              </w:rPr>
            </w:pPr>
            <w:r w:rsidRPr="005C672D">
              <w:rPr>
                <w:sz w:val="24"/>
              </w:rPr>
              <w:t>6.14</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20,540,872.96</w:t>
            </w:r>
          </w:p>
        </w:tc>
        <w:tc>
          <w:tcPr>
            <w:tcW w:w="2160" w:type="dxa"/>
            <w:vAlign w:val="center"/>
          </w:tcPr>
          <w:p w:rsidR="001548F9" w:rsidRPr="005C672D" w:rsidRDefault="001548F9" w:rsidP="00AC6DDA">
            <w:pPr>
              <w:spacing w:before="29" w:line="288" w:lineRule="auto"/>
              <w:jc w:val="right"/>
              <w:rPr>
                <w:sz w:val="24"/>
              </w:rPr>
            </w:pPr>
            <w:r w:rsidRPr="005C672D">
              <w:rPr>
                <w:sz w:val="24"/>
              </w:rPr>
              <w:t>3.20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160" w:type="dxa"/>
            <w:vAlign w:val="center"/>
          </w:tcPr>
          <w:p w:rsidR="001548F9" w:rsidRPr="005C672D" w:rsidRDefault="001548F9" w:rsidP="00AC6DDA">
            <w:pPr>
              <w:spacing w:before="29" w:line="288" w:lineRule="auto"/>
              <w:jc w:val="right"/>
              <w:rPr>
                <w:sz w:val="24"/>
              </w:rPr>
            </w:pPr>
            <w:r w:rsidRPr="005C672D">
              <w:rPr>
                <w:sz w:val="24"/>
              </w:rPr>
              <w:t>52,799,639.90</w:t>
            </w:r>
          </w:p>
        </w:tc>
        <w:tc>
          <w:tcPr>
            <w:tcW w:w="2160" w:type="dxa"/>
            <w:vAlign w:val="center"/>
          </w:tcPr>
          <w:p w:rsidR="001548F9" w:rsidRPr="005C672D" w:rsidRDefault="001548F9" w:rsidP="00AC6DDA">
            <w:pPr>
              <w:spacing w:before="29" w:line="288" w:lineRule="auto"/>
              <w:jc w:val="right"/>
              <w:rPr>
                <w:sz w:val="24"/>
              </w:rPr>
            </w:pPr>
            <w:r w:rsidRPr="005C672D">
              <w:rPr>
                <w:sz w:val="24"/>
              </w:rPr>
              <w:t>8.21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160" w:type="dxa"/>
            <w:vAlign w:val="center"/>
          </w:tcPr>
          <w:p w:rsidR="001548F9" w:rsidRPr="005C672D" w:rsidRDefault="001548F9" w:rsidP="00AC6DDA">
            <w:pPr>
              <w:spacing w:before="29" w:line="288" w:lineRule="auto"/>
              <w:jc w:val="right"/>
              <w:rPr>
                <w:sz w:val="24"/>
              </w:rPr>
            </w:pPr>
            <w:r w:rsidRPr="005C672D">
              <w:rPr>
                <w:sz w:val="24"/>
              </w:rPr>
              <w:t>21,460,874.60</w:t>
            </w:r>
          </w:p>
        </w:tc>
        <w:tc>
          <w:tcPr>
            <w:tcW w:w="2160" w:type="dxa"/>
            <w:vAlign w:val="center"/>
          </w:tcPr>
          <w:p w:rsidR="001548F9" w:rsidRPr="005C672D" w:rsidRDefault="001548F9" w:rsidP="00AC6DDA">
            <w:pPr>
              <w:spacing w:before="29" w:line="288" w:lineRule="auto"/>
              <w:jc w:val="right"/>
              <w:rPr>
                <w:sz w:val="24"/>
              </w:rPr>
            </w:pPr>
            <w:r w:rsidRPr="005C672D">
              <w:rPr>
                <w:sz w:val="24"/>
              </w:rPr>
              <w:t>3.34</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160" w:type="dxa"/>
            <w:vAlign w:val="center"/>
          </w:tcPr>
          <w:p w:rsidR="001548F9" w:rsidRPr="005C672D" w:rsidRDefault="001548F9" w:rsidP="00AC6DDA">
            <w:pPr>
              <w:spacing w:before="29" w:line="288" w:lineRule="auto"/>
              <w:jc w:val="right"/>
              <w:rPr>
                <w:sz w:val="24"/>
              </w:rPr>
            </w:pPr>
            <w:r w:rsidRPr="005C672D">
              <w:rPr>
                <w:sz w:val="24"/>
              </w:rPr>
              <w:t>65,378,205.18</w:t>
            </w:r>
          </w:p>
        </w:tc>
        <w:tc>
          <w:tcPr>
            <w:tcW w:w="2160" w:type="dxa"/>
            <w:vAlign w:val="center"/>
          </w:tcPr>
          <w:p w:rsidR="001548F9" w:rsidRPr="005C672D" w:rsidRDefault="001548F9" w:rsidP="00AC6DDA">
            <w:pPr>
              <w:spacing w:before="29" w:line="288" w:lineRule="auto"/>
              <w:jc w:val="right"/>
              <w:rPr>
                <w:sz w:val="24"/>
              </w:rPr>
            </w:pPr>
            <w:r w:rsidRPr="005C672D">
              <w:rPr>
                <w:sz w:val="24"/>
              </w:rPr>
              <w:t>10.17</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p>
        </w:tc>
        <w:tc>
          <w:tcPr>
            <w:tcW w:w="3600" w:type="dxa"/>
            <w:vAlign w:val="center"/>
          </w:tcPr>
          <w:p w:rsidR="001548F9" w:rsidRPr="005C672D" w:rsidRDefault="001548F9" w:rsidP="00AC6DDA">
            <w:pPr>
              <w:spacing w:before="29" w:line="288" w:lineRule="auto"/>
              <w:rPr>
                <w:color w:val="000000"/>
                <w:sz w:val="24"/>
              </w:rPr>
            </w:pPr>
            <w:r w:rsidRPr="005C672D">
              <w:rPr>
                <w:sz w:val="24"/>
              </w:rPr>
              <w:t>合计</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487,316,362.28</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75.82</w:t>
            </w:r>
          </w:p>
        </w:tc>
      </w:tr>
    </w:tbl>
    <w:p w:rsidR="00161BDC" w:rsidRPr="005C672D" w:rsidRDefault="00161BDC" w:rsidP="00AC6DDA">
      <w:pPr>
        <w:tabs>
          <w:tab w:val="left" w:pos="426"/>
        </w:tabs>
        <w:spacing w:before="29" w:line="288" w:lineRule="auto"/>
        <w:jc w:val="left"/>
        <w:rPr>
          <w:kern w:val="0"/>
          <w:sz w:val="24"/>
        </w:rPr>
      </w:pPr>
    </w:p>
    <w:p w:rsidR="001C16A1" w:rsidRPr="00D52A9B" w:rsidRDefault="001C16A1" w:rsidP="001C16A1">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00947509">
        <w:rPr>
          <w:rFonts w:ascii="Times New Roman" w:hAnsi="Times New Roman" w:hint="eastAsia"/>
          <w:kern w:val="0"/>
          <w:szCs w:val="24"/>
        </w:rPr>
        <w:t>报告期末按行业分类的</w:t>
      </w:r>
      <w:r w:rsidR="003248DF">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1C16A1" w:rsidRPr="00D52A9B" w:rsidRDefault="001C16A1" w:rsidP="001C16A1">
      <w:pPr>
        <w:tabs>
          <w:tab w:val="left" w:pos="426"/>
        </w:tabs>
        <w:spacing w:line="360" w:lineRule="auto"/>
        <w:jc w:val="left"/>
        <w:rPr>
          <w:kern w:val="0"/>
          <w:sz w:val="24"/>
        </w:rPr>
      </w:pPr>
      <w:r w:rsidRPr="00D52A9B">
        <w:rPr>
          <w:kern w:val="0"/>
          <w:sz w:val="24"/>
        </w:rPr>
        <w:t>本基金本报告期末未持有通过港股通投资的股票。</w:t>
      </w:r>
    </w:p>
    <w:p w:rsidR="001548F9" w:rsidRPr="001C16A1"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8" w:name="_Toc331410104"/>
      <w:r w:rsidRPr="005C672D">
        <w:rPr>
          <w:rFonts w:ascii="Times New Roman" w:hAnsi="Times New Roman"/>
          <w:kern w:val="0"/>
          <w:szCs w:val="24"/>
        </w:rPr>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58"/>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4B4168">
        <w:tc>
          <w:tcPr>
            <w:tcW w:w="81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2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59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01"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B10F73">
        <w:tc>
          <w:tcPr>
            <w:tcW w:w="862" w:type="dxa"/>
            <w:vAlign w:val="center"/>
          </w:tcPr>
          <w:p w:rsidR="00B10F73" w:rsidRDefault="00914739">
            <w:pPr>
              <w:jc w:val="center"/>
            </w:pPr>
            <w:r>
              <w:rPr>
                <w:color w:val="000000"/>
                <w:sz w:val="24"/>
              </w:rPr>
              <w:t>1</w:t>
            </w:r>
          </w:p>
        </w:tc>
        <w:tc>
          <w:tcPr>
            <w:tcW w:w="1346" w:type="dxa"/>
            <w:vAlign w:val="center"/>
          </w:tcPr>
          <w:p w:rsidR="00B10F73" w:rsidRDefault="00914739">
            <w:pPr>
              <w:jc w:val="center"/>
            </w:pPr>
            <w:r>
              <w:rPr>
                <w:color w:val="000000"/>
                <w:sz w:val="24"/>
              </w:rPr>
              <w:t>002343</w:t>
            </w:r>
          </w:p>
        </w:tc>
        <w:tc>
          <w:tcPr>
            <w:tcW w:w="1795" w:type="dxa"/>
            <w:vAlign w:val="center"/>
          </w:tcPr>
          <w:p w:rsidR="00B10F73" w:rsidRDefault="00914739">
            <w:pPr>
              <w:jc w:val="center"/>
            </w:pPr>
            <w:proofErr w:type="gramStart"/>
            <w:r>
              <w:rPr>
                <w:color w:val="000000"/>
                <w:sz w:val="24"/>
              </w:rPr>
              <w:t>慈文传媒</w:t>
            </w:r>
            <w:proofErr w:type="gramEnd"/>
          </w:p>
        </w:tc>
        <w:tc>
          <w:tcPr>
            <w:tcW w:w="1681" w:type="dxa"/>
            <w:vAlign w:val="center"/>
          </w:tcPr>
          <w:p w:rsidR="00B10F73" w:rsidRDefault="00914739">
            <w:pPr>
              <w:jc w:val="right"/>
            </w:pPr>
            <w:r>
              <w:rPr>
                <w:color w:val="000000"/>
                <w:sz w:val="24"/>
              </w:rPr>
              <w:t>1,408,212</w:t>
            </w:r>
          </w:p>
        </w:tc>
        <w:tc>
          <w:tcPr>
            <w:tcW w:w="1795" w:type="dxa"/>
            <w:vAlign w:val="center"/>
          </w:tcPr>
          <w:p w:rsidR="00B10F73" w:rsidRDefault="00914739">
            <w:pPr>
              <w:jc w:val="right"/>
            </w:pPr>
            <w:r>
              <w:rPr>
                <w:color w:val="000000"/>
                <w:sz w:val="24"/>
              </w:rPr>
              <w:t>53,314,906.32</w:t>
            </w:r>
          </w:p>
        </w:tc>
        <w:tc>
          <w:tcPr>
            <w:tcW w:w="1519" w:type="dxa"/>
            <w:vAlign w:val="center"/>
          </w:tcPr>
          <w:p w:rsidR="00B10F73" w:rsidRDefault="00914739">
            <w:pPr>
              <w:jc w:val="right"/>
            </w:pPr>
            <w:r>
              <w:rPr>
                <w:color w:val="000000"/>
                <w:sz w:val="24"/>
              </w:rPr>
              <w:t>8.29</w:t>
            </w:r>
          </w:p>
        </w:tc>
      </w:tr>
      <w:tr w:rsidR="00B10F73">
        <w:tc>
          <w:tcPr>
            <w:tcW w:w="862" w:type="dxa"/>
            <w:vAlign w:val="center"/>
          </w:tcPr>
          <w:p w:rsidR="00B10F73" w:rsidRDefault="00914739">
            <w:pPr>
              <w:jc w:val="center"/>
            </w:pPr>
            <w:r>
              <w:rPr>
                <w:color w:val="000000"/>
                <w:sz w:val="24"/>
              </w:rPr>
              <w:t>2</w:t>
            </w:r>
          </w:p>
        </w:tc>
        <w:tc>
          <w:tcPr>
            <w:tcW w:w="1346" w:type="dxa"/>
            <w:vAlign w:val="center"/>
          </w:tcPr>
          <w:p w:rsidR="00B10F73" w:rsidRDefault="00914739">
            <w:pPr>
              <w:jc w:val="center"/>
            </w:pPr>
            <w:r>
              <w:rPr>
                <w:color w:val="000000"/>
                <w:sz w:val="24"/>
              </w:rPr>
              <w:t>300308</w:t>
            </w:r>
          </w:p>
        </w:tc>
        <w:tc>
          <w:tcPr>
            <w:tcW w:w="1795" w:type="dxa"/>
            <w:vAlign w:val="center"/>
          </w:tcPr>
          <w:p w:rsidR="00B10F73" w:rsidRDefault="00914739">
            <w:pPr>
              <w:jc w:val="center"/>
            </w:pPr>
            <w:r>
              <w:rPr>
                <w:color w:val="000000"/>
                <w:sz w:val="24"/>
              </w:rPr>
              <w:t>中际装备</w:t>
            </w:r>
          </w:p>
        </w:tc>
        <w:tc>
          <w:tcPr>
            <w:tcW w:w="1681" w:type="dxa"/>
            <w:vAlign w:val="center"/>
          </w:tcPr>
          <w:p w:rsidR="00B10F73" w:rsidRDefault="00914739">
            <w:pPr>
              <w:jc w:val="right"/>
            </w:pPr>
            <w:r>
              <w:rPr>
                <w:color w:val="000000"/>
                <w:sz w:val="24"/>
              </w:rPr>
              <w:t>1,087,426</w:t>
            </w:r>
          </w:p>
        </w:tc>
        <w:tc>
          <w:tcPr>
            <w:tcW w:w="1795" w:type="dxa"/>
            <w:vAlign w:val="center"/>
          </w:tcPr>
          <w:p w:rsidR="00B10F73" w:rsidRDefault="00914739">
            <w:pPr>
              <w:jc w:val="right"/>
            </w:pPr>
            <w:r>
              <w:rPr>
                <w:color w:val="000000"/>
                <w:sz w:val="24"/>
              </w:rPr>
              <w:t>44,725,831.38</w:t>
            </w:r>
          </w:p>
        </w:tc>
        <w:tc>
          <w:tcPr>
            <w:tcW w:w="1519" w:type="dxa"/>
            <w:vAlign w:val="center"/>
          </w:tcPr>
          <w:p w:rsidR="00B10F73" w:rsidRDefault="00914739">
            <w:pPr>
              <w:jc w:val="right"/>
            </w:pPr>
            <w:r>
              <w:rPr>
                <w:color w:val="000000"/>
                <w:sz w:val="24"/>
              </w:rPr>
              <w:t>6.96</w:t>
            </w:r>
          </w:p>
        </w:tc>
      </w:tr>
      <w:tr w:rsidR="00B10F73">
        <w:tc>
          <w:tcPr>
            <w:tcW w:w="862" w:type="dxa"/>
            <w:vAlign w:val="center"/>
          </w:tcPr>
          <w:p w:rsidR="00B10F73" w:rsidRDefault="00914739">
            <w:pPr>
              <w:jc w:val="center"/>
            </w:pPr>
            <w:r>
              <w:rPr>
                <w:color w:val="000000"/>
                <w:sz w:val="24"/>
              </w:rPr>
              <w:t>3</w:t>
            </w:r>
          </w:p>
        </w:tc>
        <w:tc>
          <w:tcPr>
            <w:tcW w:w="1346" w:type="dxa"/>
            <w:vAlign w:val="center"/>
          </w:tcPr>
          <w:p w:rsidR="00B10F73" w:rsidRDefault="00914739">
            <w:pPr>
              <w:jc w:val="center"/>
            </w:pPr>
            <w:r>
              <w:rPr>
                <w:color w:val="000000"/>
                <w:sz w:val="24"/>
              </w:rPr>
              <w:t>600054</w:t>
            </w:r>
          </w:p>
        </w:tc>
        <w:tc>
          <w:tcPr>
            <w:tcW w:w="1795" w:type="dxa"/>
            <w:vAlign w:val="center"/>
          </w:tcPr>
          <w:p w:rsidR="00B10F73" w:rsidRDefault="00914739">
            <w:pPr>
              <w:jc w:val="center"/>
            </w:pPr>
            <w:r>
              <w:rPr>
                <w:color w:val="000000"/>
                <w:sz w:val="24"/>
              </w:rPr>
              <w:t>黄山旅游</w:t>
            </w:r>
          </w:p>
        </w:tc>
        <w:tc>
          <w:tcPr>
            <w:tcW w:w="1681" w:type="dxa"/>
            <w:vAlign w:val="center"/>
          </w:tcPr>
          <w:p w:rsidR="00B10F73" w:rsidRDefault="00914739">
            <w:pPr>
              <w:jc w:val="right"/>
            </w:pPr>
            <w:r>
              <w:rPr>
                <w:color w:val="000000"/>
                <w:sz w:val="24"/>
              </w:rPr>
              <w:t>2,477,403</w:t>
            </w:r>
          </w:p>
        </w:tc>
        <w:tc>
          <w:tcPr>
            <w:tcW w:w="1795" w:type="dxa"/>
            <w:vAlign w:val="center"/>
          </w:tcPr>
          <w:p w:rsidR="00B10F73" w:rsidRDefault="00914739">
            <w:pPr>
              <w:jc w:val="right"/>
            </w:pPr>
            <w:r>
              <w:rPr>
                <w:color w:val="000000"/>
                <w:sz w:val="24"/>
              </w:rPr>
              <w:t>42,363,591.30</w:t>
            </w:r>
          </w:p>
        </w:tc>
        <w:tc>
          <w:tcPr>
            <w:tcW w:w="1519" w:type="dxa"/>
            <w:vAlign w:val="center"/>
          </w:tcPr>
          <w:p w:rsidR="00B10F73" w:rsidRDefault="00914739">
            <w:pPr>
              <w:jc w:val="right"/>
            </w:pPr>
            <w:r>
              <w:rPr>
                <w:color w:val="000000"/>
                <w:sz w:val="24"/>
              </w:rPr>
              <w:t>6.59</w:t>
            </w:r>
          </w:p>
        </w:tc>
      </w:tr>
      <w:tr w:rsidR="00B10F73">
        <w:tc>
          <w:tcPr>
            <w:tcW w:w="862" w:type="dxa"/>
            <w:vAlign w:val="center"/>
          </w:tcPr>
          <w:p w:rsidR="00B10F73" w:rsidRDefault="00914739">
            <w:pPr>
              <w:jc w:val="center"/>
            </w:pPr>
            <w:r>
              <w:rPr>
                <w:color w:val="000000"/>
                <w:sz w:val="24"/>
              </w:rPr>
              <w:t>4</w:t>
            </w:r>
          </w:p>
        </w:tc>
        <w:tc>
          <w:tcPr>
            <w:tcW w:w="1346" w:type="dxa"/>
            <w:vAlign w:val="center"/>
          </w:tcPr>
          <w:p w:rsidR="00B10F73" w:rsidRDefault="00914739">
            <w:pPr>
              <w:jc w:val="center"/>
            </w:pPr>
            <w:r>
              <w:rPr>
                <w:color w:val="000000"/>
                <w:sz w:val="24"/>
              </w:rPr>
              <w:t>300365</w:t>
            </w:r>
          </w:p>
        </w:tc>
        <w:tc>
          <w:tcPr>
            <w:tcW w:w="1795" w:type="dxa"/>
            <w:vAlign w:val="center"/>
          </w:tcPr>
          <w:p w:rsidR="00B10F73" w:rsidRDefault="00914739">
            <w:pPr>
              <w:jc w:val="center"/>
            </w:pPr>
            <w:r>
              <w:rPr>
                <w:color w:val="000000"/>
                <w:sz w:val="24"/>
              </w:rPr>
              <w:t>恒华科技</w:t>
            </w:r>
          </w:p>
        </w:tc>
        <w:tc>
          <w:tcPr>
            <w:tcW w:w="1681" w:type="dxa"/>
            <w:vAlign w:val="center"/>
          </w:tcPr>
          <w:p w:rsidR="00B10F73" w:rsidRDefault="00914739">
            <w:pPr>
              <w:jc w:val="right"/>
            </w:pPr>
            <w:r>
              <w:rPr>
                <w:color w:val="000000"/>
                <w:sz w:val="24"/>
              </w:rPr>
              <w:t>1,057,187</w:t>
            </w:r>
          </w:p>
        </w:tc>
        <w:tc>
          <w:tcPr>
            <w:tcW w:w="1795" w:type="dxa"/>
            <w:vAlign w:val="center"/>
          </w:tcPr>
          <w:p w:rsidR="00B10F73" w:rsidRDefault="00914739">
            <w:pPr>
              <w:jc w:val="right"/>
            </w:pPr>
            <w:r>
              <w:rPr>
                <w:color w:val="000000"/>
                <w:sz w:val="24"/>
              </w:rPr>
              <w:t>37,741,575.90</w:t>
            </w:r>
          </w:p>
        </w:tc>
        <w:tc>
          <w:tcPr>
            <w:tcW w:w="1519" w:type="dxa"/>
            <w:vAlign w:val="center"/>
          </w:tcPr>
          <w:p w:rsidR="00B10F73" w:rsidRDefault="00914739">
            <w:pPr>
              <w:jc w:val="right"/>
            </w:pPr>
            <w:r>
              <w:rPr>
                <w:color w:val="000000"/>
                <w:sz w:val="24"/>
              </w:rPr>
              <w:t>5.87</w:t>
            </w:r>
          </w:p>
        </w:tc>
      </w:tr>
      <w:tr w:rsidR="00B10F73">
        <w:tc>
          <w:tcPr>
            <w:tcW w:w="862" w:type="dxa"/>
            <w:vAlign w:val="center"/>
          </w:tcPr>
          <w:p w:rsidR="00B10F73" w:rsidRDefault="00914739">
            <w:pPr>
              <w:jc w:val="center"/>
            </w:pPr>
            <w:r>
              <w:rPr>
                <w:color w:val="000000"/>
                <w:sz w:val="24"/>
              </w:rPr>
              <w:t>5</w:t>
            </w:r>
          </w:p>
        </w:tc>
        <w:tc>
          <w:tcPr>
            <w:tcW w:w="1346" w:type="dxa"/>
            <w:vAlign w:val="center"/>
          </w:tcPr>
          <w:p w:rsidR="00B10F73" w:rsidRDefault="00914739">
            <w:pPr>
              <w:jc w:val="center"/>
            </w:pPr>
            <w:r>
              <w:rPr>
                <w:color w:val="000000"/>
                <w:sz w:val="24"/>
              </w:rPr>
              <w:t>600967</w:t>
            </w:r>
          </w:p>
        </w:tc>
        <w:tc>
          <w:tcPr>
            <w:tcW w:w="1795" w:type="dxa"/>
            <w:vAlign w:val="center"/>
          </w:tcPr>
          <w:p w:rsidR="00B10F73" w:rsidRDefault="00914739">
            <w:pPr>
              <w:jc w:val="center"/>
            </w:pPr>
            <w:r>
              <w:rPr>
                <w:color w:val="000000"/>
                <w:sz w:val="24"/>
              </w:rPr>
              <w:t>内蒙</w:t>
            </w:r>
            <w:proofErr w:type="gramStart"/>
            <w:r>
              <w:rPr>
                <w:color w:val="000000"/>
                <w:sz w:val="24"/>
              </w:rPr>
              <w:t>一</w:t>
            </w:r>
            <w:proofErr w:type="gramEnd"/>
            <w:r>
              <w:rPr>
                <w:color w:val="000000"/>
                <w:sz w:val="24"/>
              </w:rPr>
              <w:t>机</w:t>
            </w:r>
          </w:p>
        </w:tc>
        <w:tc>
          <w:tcPr>
            <w:tcW w:w="1681" w:type="dxa"/>
            <w:vAlign w:val="center"/>
          </w:tcPr>
          <w:p w:rsidR="00B10F73" w:rsidRDefault="00914739">
            <w:pPr>
              <w:jc w:val="right"/>
            </w:pPr>
            <w:r>
              <w:rPr>
                <w:color w:val="000000"/>
                <w:sz w:val="24"/>
              </w:rPr>
              <w:t>2,113,809</w:t>
            </w:r>
          </w:p>
        </w:tc>
        <w:tc>
          <w:tcPr>
            <w:tcW w:w="1795" w:type="dxa"/>
            <w:vAlign w:val="center"/>
          </w:tcPr>
          <w:p w:rsidR="00B10F73" w:rsidRDefault="00914739">
            <w:pPr>
              <w:jc w:val="right"/>
            </w:pPr>
            <w:r>
              <w:rPr>
                <w:color w:val="000000"/>
                <w:sz w:val="24"/>
              </w:rPr>
              <w:t>28,811,216.67</w:t>
            </w:r>
          </w:p>
        </w:tc>
        <w:tc>
          <w:tcPr>
            <w:tcW w:w="1519" w:type="dxa"/>
            <w:vAlign w:val="center"/>
          </w:tcPr>
          <w:p w:rsidR="00B10F73" w:rsidRDefault="00914739">
            <w:pPr>
              <w:jc w:val="right"/>
            </w:pPr>
            <w:r>
              <w:rPr>
                <w:color w:val="000000"/>
                <w:sz w:val="24"/>
              </w:rPr>
              <w:t>4.48</w:t>
            </w:r>
          </w:p>
        </w:tc>
      </w:tr>
      <w:tr w:rsidR="00B10F73">
        <w:tc>
          <w:tcPr>
            <w:tcW w:w="862" w:type="dxa"/>
            <w:vAlign w:val="center"/>
          </w:tcPr>
          <w:p w:rsidR="00B10F73" w:rsidRDefault="00914739">
            <w:pPr>
              <w:jc w:val="center"/>
            </w:pPr>
            <w:r>
              <w:rPr>
                <w:color w:val="000000"/>
                <w:sz w:val="24"/>
              </w:rPr>
              <w:t>6</w:t>
            </w:r>
          </w:p>
        </w:tc>
        <w:tc>
          <w:tcPr>
            <w:tcW w:w="1346" w:type="dxa"/>
            <w:vAlign w:val="center"/>
          </w:tcPr>
          <w:p w:rsidR="00B10F73" w:rsidRDefault="00914739">
            <w:pPr>
              <w:jc w:val="center"/>
            </w:pPr>
            <w:r>
              <w:rPr>
                <w:color w:val="000000"/>
                <w:sz w:val="24"/>
              </w:rPr>
              <w:t>603868</w:t>
            </w:r>
          </w:p>
        </w:tc>
        <w:tc>
          <w:tcPr>
            <w:tcW w:w="1795" w:type="dxa"/>
            <w:vAlign w:val="center"/>
          </w:tcPr>
          <w:p w:rsidR="00B10F73" w:rsidRDefault="00914739">
            <w:pPr>
              <w:jc w:val="center"/>
            </w:pPr>
            <w:r>
              <w:rPr>
                <w:color w:val="000000"/>
                <w:sz w:val="24"/>
              </w:rPr>
              <w:t>飞科电器</w:t>
            </w:r>
          </w:p>
        </w:tc>
        <w:tc>
          <w:tcPr>
            <w:tcW w:w="1681" w:type="dxa"/>
            <w:vAlign w:val="center"/>
          </w:tcPr>
          <w:p w:rsidR="00B10F73" w:rsidRDefault="00914739">
            <w:pPr>
              <w:jc w:val="right"/>
            </w:pPr>
            <w:r>
              <w:rPr>
                <w:color w:val="000000"/>
                <w:sz w:val="24"/>
              </w:rPr>
              <w:t>407,134</w:t>
            </w:r>
          </w:p>
        </w:tc>
        <w:tc>
          <w:tcPr>
            <w:tcW w:w="1795" w:type="dxa"/>
            <w:vAlign w:val="center"/>
          </w:tcPr>
          <w:p w:rsidR="00B10F73" w:rsidRDefault="00914739">
            <w:pPr>
              <w:jc w:val="right"/>
            </w:pPr>
            <w:r>
              <w:rPr>
                <w:color w:val="000000"/>
                <w:sz w:val="24"/>
              </w:rPr>
              <w:t>25,177,166.56</w:t>
            </w:r>
          </w:p>
        </w:tc>
        <w:tc>
          <w:tcPr>
            <w:tcW w:w="1519" w:type="dxa"/>
            <w:vAlign w:val="center"/>
          </w:tcPr>
          <w:p w:rsidR="00B10F73" w:rsidRDefault="00914739">
            <w:pPr>
              <w:jc w:val="right"/>
            </w:pPr>
            <w:r>
              <w:rPr>
                <w:color w:val="000000"/>
                <w:sz w:val="24"/>
              </w:rPr>
              <w:t>3.92</w:t>
            </w:r>
          </w:p>
        </w:tc>
      </w:tr>
      <w:tr w:rsidR="00B10F73">
        <w:tc>
          <w:tcPr>
            <w:tcW w:w="862" w:type="dxa"/>
            <w:vAlign w:val="center"/>
          </w:tcPr>
          <w:p w:rsidR="00B10F73" w:rsidRDefault="00914739">
            <w:pPr>
              <w:jc w:val="center"/>
            </w:pPr>
            <w:r>
              <w:rPr>
                <w:color w:val="000000"/>
                <w:sz w:val="24"/>
              </w:rPr>
              <w:t>7</w:t>
            </w:r>
          </w:p>
        </w:tc>
        <w:tc>
          <w:tcPr>
            <w:tcW w:w="1346" w:type="dxa"/>
            <w:vAlign w:val="center"/>
          </w:tcPr>
          <w:p w:rsidR="00B10F73" w:rsidRDefault="00914739">
            <w:pPr>
              <w:jc w:val="center"/>
            </w:pPr>
            <w:r>
              <w:rPr>
                <w:color w:val="000000"/>
                <w:sz w:val="24"/>
              </w:rPr>
              <w:t>002045</w:t>
            </w:r>
          </w:p>
        </w:tc>
        <w:tc>
          <w:tcPr>
            <w:tcW w:w="1795" w:type="dxa"/>
            <w:vAlign w:val="center"/>
          </w:tcPr>
          <w:p w:rsidR="00B10F73" w:rsidRDefault="00914739">
            <w:pPr>
              <w:jc w:val="center"/>
            </w:pPr>
            <w:r>
              <w:rPr>
                <w:color w:val="000000"/>
                <w:sz w:val="24"/>
              </w:rPr>
              <w:t>国光电器</w:t>
            </w:r>
          </w:p>
        </w:tc>
        <w:tc>
          <w:tcPr>
            <w:tcW w:w="1681" w:type="dxa"/>
            <w:vAlign w:val="center"/>
          </w:tcPr>
          <w:p w:rsidR="00B10F73" w:rsidRDefault="00914739">
            <w:pPr>
              <w:jc w:val="right"/>
            </w:pPr>
            <w:r>
              <w:rPr>
                <w:color w:val="000000"/>
                <w:sz w:val="24"/>
              </w:rPr>
              <w:t>1,483,309</w:t>
            </w:r>
          </w:p>
        </w:tc>
        <w:tc>
          <w:tcPr>
            <w:tcW w:w="1795" w:type="dxa"/>
            <w:vAlign w:val="center"/>
          </w:tcPr>
          <w:p w:rsidR="00B10F73" w:rsidRDefault="00914739">
            <w:pPr>
              <w:jc w:val="right"/>
            </w:pPr>
            <w:r>
              <w:rPr>
                <w:color w:val="000000"/>
                <w:sz w:val="24"/>
              </w:rPr>
              <w:t>23,569,780.01</w:t>
            </w:r>
          </w:p>
        </w:tc>
        <w:tc>
          <w:tcPr>
            <w:tcW w:w="1519" w:type="dxa"/>
            <w:vAlign w:val="center"/>
          </w:tcPr>
          <w:p w:rsidR="00B10F73" w:rsidRDefault="00914739">
            <w:pPr>
              <w:jc w:val="right"/>
            </w:pPr>
            <w:r>
              <w:rPr>
                <w:color w:val="000000"/>
                <w:sz w:val="24"/>
              </w:rPr>
              <w:t>3.67</w:t>
            </w:r>
          </w:p>
        </w:tc>
      </w:tr>
      <w:tr w:rsidR="00B10F73">
        <w:tc>
          <w:tcPr>
            <w:tcW w:w="862" w:type="dxa"/>
            <w:vAlign w:val="center"/>
          </w:tcPr>
          <w:p w:rsidR="00B10F73" w:rsidRDefault="00914739">
            <w:pPr>
              <w:jc w:val="center"/>
            </w:pPr>
            <w:r>
              <w:rPr>
                <w:color w:val="000000"/>
                <w:sz w:val="24"/>
              </w:rPr>
              <w:t>8</w:t>
            </w:r>
          </w:p>
        </w:tc>
        <w:tc>
          <w:tcPr>
            <w:tcW w:w="1346" w:type="dxa"/>
            <w:vAlign w:val="center"/>
          </w:tcPr>
          <w:p w:rsidR="00B10F73" w:rsidRDefault="00914739">
            <w:pPr>
              <w:jc w:val="center"/>
            </w:pPr>
            <w:r>
              <w:rPr>
                <w:color w:val="000000"/>
                <w:sz w:val="24"/>
              </w:rPr>
              <w:t>300347</w:t>
            </w:r>
          </w:p>
        </w:tc>
        <w:tc>
          <w:tcPr>
            <w:tcW w:w="1795" w:type="dxa"/>
            <w:vAlign w:val="center"/>
          </w:tcPr>
          <w:p w:rsidR="00B10F73" w:rsidRDefault="00914739">
            <w:pPr>
              <w:jc w:val="center"/>
            </w:pPr>
            <w:r>
              <w:rPr>
                <w:color w:val="000000"/>
                <w:sz w:val="24"/>
              </w:rPr>
              <w:t>泰格医药</w:t>
            </w:r>
          </w:p>
        </w:tc>
        <w:tc>
          <w:tcPr>
            <w:tcW w:w="1681" w:type="dxa"/>
            <w:vAlign w:val="center"/>
          </w:tcPr>
          <w:p w:rsidR="00B10F73" w:rsidRDefault="00914739">
            <w:pPr>
              <w:jc w:val="right"/>
            </w:pPr>
            <w:r>
              <w:rPr>
                <w:color w:val="000000"/>
                <w:sz w:val="24"/>
              </w:rPr>
              <w:t>886,813</w:t>
            </w:r>
          </w:p>
        </w:tc>
        <w:tc>
          <w:tcPr>
            <w:tcW w:w="1795" w:type="dxa"/>
            <w:vAlign w:val="center"/>
          </w:tcPr>
          <w:p w:rsidR="00B10F73" w:rsidRDefault="00914739">
            <w:pPr>
              <w:jc w:val="right"/>
            </w:pPr>
            <w:r>
              <w:rPr>
                <w:color w:val="000000"/>
                <w:sz w:val="24"/>
              </w:rPr>
              <w:t>21,460,874.60</w:t>
            </w:r>
          </w:p>
        </w:tc>
        <w:tc>
          <w:tcPr>
            <w:tcW w:w="1519" w:type="dxa"/>
            <w:vAlign w:val="center"/>
          </w:tcPr>
          <w:p w:rsidR="00B10F73" w:rsidRDefault="00914739">
            <w:pPr>
              <w:jc w:val="right"/>
            </w:pPr>
            <w:r>
              <w:rPr>
                <w:color w:val="000000"/>
                <w:sz w:val="24"/>
              </w:rPr>
              <w:t>3.34</w:t>
            </w:r>
          </w:p>
        </w:tc>
      </w:tr>
      <w:tr w:rsidR="00B10F73">
        <w:tc>
          <w:tcPr>
            <w:tcW w:w="862" w:type="dxa"/>
            <w:vAlign w:val="center"/>
          </w:tcPr>
          <w:p w:rsidR="00B10F73" w:rsidRDefault="00914739">
            <w:pPr>
              <w:jc w:val="center"/>
            </w:pPr>
            <w:r>
              <w:rPr>
                <w:color w:val="000000"/>
                <w:sz w:val="24"/>
              </w:rPr>
              <w:lastRenderedPageBreak/>
              <w:t>9</w:t>
            </w:r>
          </w:p>
        </w:tc>
        <w:tc>
          <w:tcPr>
            <w:tcW w:w="1346" w:type="dxa"/>
            <w:vAlign w:val="center"/>
          </w:tcPr>
          <w:p w:rsidR="00B10F73" w:rsidRDefault="00914739">
            <w:pPr>
              <w:jc w:val="center"/>
            </w:pPr>
            <w:r>
              <w:rPr>
                <w:color w:val="000000"/>
                <w:sz w:val="24"/>
              </w:rPr>
              <w:t>002027</w:t>
            </w:r>
          </w:p>
        </w:tc>
        <w:tc>
          <w:tcPr>
            <w:tcW w:w="1795" w:type="dxa"/>
            <w:vAlign w:val="center"/>
          </w:tcPr>
          <w:p w:rsidR="00B10F73" w:rsidRDefault="00914739">
            <w:pPr>
              <w:jc w:val="center"/>
            </w:pPr>
            <w:r>
              <w:rPr>
                <w:color w:val="000000"/>
                <w:sz w:val="24"/>
              </w:rPr>
              <w:t>分众传媒</w:t>
            </w:r>
          </w:p>
        </w:tc>
        <w:tc>
          <w:tcPr>
            <w:tcW w:w="1681" w:type="dxa"/>
            <w:vAlign w:val="center"/>
          </w:tcPr>
          <w:p w:rsidR="00B10F73" w:rsidRDefault="00914739">
            <w:pPr>
              <w:jc w:val="right"/>
            </w:pPr>
            <w:r>
              <w:rPr>
                <w:color w:val="000000"/>
                <w:sz w:val="24"/>
              </w:rPr>
              <w:t>1,492,796</w:t>
            </w:r>
          </w:p>
        </w:tc>
        <w:tc>
          <w:tcPr>
            <w:tcW w:w="1795" w:type="dxa"/>
            <w:vAlign w:val="center"/>
          </w:tcPr>
          <w:p w:rsidR="00B10F73" w:rsidRDefault="00914739">
            <w:pPr>
              <w:jc w:val="right"/>
            </w:pPr>
            <w:r>
              <w:rPr>
                <w:color w:val="000000"/>
                <w:sz w:val="24"/>
              </w:rPr>
              <w:t>20,540,872.96</w:t>
            </w:r>
          </w:p>
        </w:tc>
        <w:tc>
          <w:tcPr>
            <w:tcW w:w="1519" w:type="dxa"/>
            <w:vAlign w:val="center"/>
          </w:tcPr>
          <w:p w:rsidR="00B10F73" w:rsidRDefault="00914739">
            <w:pPr>
              <w:jc w:val="right"/>
            </w:pPr>
            <w:r>
              <w:rPr>
                <w:color w:val="000000"/>
                <w:sz w:val="24"/>
              </w:rPr>
              <w:t>3.20</w:t>
            </w:r>
          </w:p>
        </w:tc>
      </w:tr>
      <w:tr w:rsidR="00B10F73">
        <w:tc>
          <w:tcPr>
            <w:tcW w:w="862" w:type="dxa"/>
            <w:vAlign w:val="center"/>
          </w:tcPr>
          <w:p w:rsidR="00B10F73" w:rsidRDefault="00914739">
            <w:pPr>
              <w:jc w:val="center"/>
            </w:pPr>
            <w:r>
              <w:rPr>
                <w:color w:val="000000"/>
                <w:sz w:val="24"/>
              </w:rPr>
              <w:t>10</w:t>
            </w:r>
          </w:p>
        </w:tc>
        <w:tc>
          <w:tcPr>
            <w:tcW w:w="1346" w:type="dxa"/>
            <w:vAlign w:val="center"/>
          </w:tcPr>
          <w:p w:rsidR="00B10F73" w:rsidRDefault="00914739">
            <w:pPr>
              <w:jc w:val="center"/>
            </w:pPr>
            <w:r>
              <w:rPr>
                <w:color w:val="000000"/>
                <w:sz w:val="24"/>
              </w:rPr>
              <w:t>002195</w:t>
            </w:r>
          </w:p>
        </w:tc>
        <w:tc>
          <w:tcPr>
            <w:tcW w:w="1795" w:type="dxa"/>
            <w:vAlign w:val="center"/>
          </w:tcPr>
          <w:p w:rsidR="00B10F73" w:rsidRDefault="00914739">
            <w:pPr>
              <w:jc w:val="center"/>
            </w:pPr>
            <w:r>
              <w:rPr>
                <w:color w:val="000000"/>
                <w:sz w:val="24"/>
              </w:rPr>
              <w:t>二三四五</w:t>
            </w:r>
          </w:p>
        </w:tc>
        <w:tc>
          <w:tcPr>
            <w:tcW w:w="1681" w:type="dxa"/>
            <w:vAlign w:val="center"/>
          </w:tcPr>
          <w:p w:rsidR="00B10F73" w:rsidRDefault="00914739">
            <w:pPr>
              <w:jc w:val="right"/>
            </w:pPr>
            <w:r>
              <w:rPr>
                <w:color w:val="000000"/>
                <w:sz w:val="24"/>
              </w:rPr>
              <w:t>2,849,603</w:t>
            </w:r>
          </w:p>
        </w:tc>
        <w:tc>
          <w:tcPr>
            <w:tcW w:w="1795" w:type="dxa"/>
            <w:vAlign w:val="center"/>
          </w:tcPr>
          <w:p w:rsidR="00B10F73" w:rsidRDefault="00914739">
            <w:pPr>
              <w:jc w:val="right"/>
            </w:pPr>
            <w:r>
              <w:rPr>
                <w:color w:val="000000"/>
                <w:sz w:val="24"/>
              </w:rPr>
              <w:t>20,374,661.45</w:t>
            </w:r>
          </w:p>
        </w:tc>
        <w:tc>
          <w:tcPr>
            <w:tcW w:w="1519" w:type="dxa"/>
            <w:vAlign w:val="center"/>
          </w:tcPr>
          <w:p w:rsidR="00B10F73" w:rsidRDefault="00914739">
            <w:pPr>
              <w:jc w:val="right"/>
            </w:pPr>
            <w:r>
              <w:rPr>
                <w:color w:val="000000"/>
                <w:sz w:val="24"/>
              </w:rPr>
              <w:t>3.17</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59" w:name="_Toc331410105"/>
      <w:r w:rsidRPr="005C672D">
        <w:rPr>
          <w:rFonts w:ascii="Times New Roman" w:hAnsi="Times New Roman"/>
          <w:kern w:val="0"/>
          <w:szCs w:val="24"/>
        </w:rPr>
        <w:t>7.4</w:t>
      </w:r>
      <w:bookmarkStart w:id="60" w:name="_Toc234814103"/>
      <w:r w:rsidRPr="005C672D">
        <w:rPr>
          <w:rFonts w:ascii="Times New Roman" w:hAnsi="Times New Roman"/>
          <w:kern w:val="0"/>
          <w:szCs w:val="24"/>
        </w:rPr>
        <w:t>报告期内股票投资组合的重大变动</w:t>
      </w:r>
      <w:bookmarkEnd w:id="59"/>
      <w:bookmarkEnd w:id="60"/>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累计买入金额超出期</w:t>
      </w:r>
      <w:proofErr w:type="gramStart"/>
      <w:r w:rsidRPr="005C672D">
        <w:rPr>
          <w:b/>
          <w:bCs/>
          <w:color w:val="000000"/>
          <w:sz w:val="24"/>
        </w:rPr>
        <w:t>初基金</w:t>
      </w:r>
      <w:proofErr w:type="gramEnd"/>
      <w:r w:rsidRPr="005C672D">
        <w:rPr>
          <w:b/>
          <w:bCs/>
          <w:color w:val="000000"/>
          <w:sz w:val="24"/>
        </w:rPr>
        <w:t>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w:t>
            </w:r>
            <w:proofErr w:type="gramStart"/>
            <w:r w:rsidRPr="005C672D">
              <w:rPr>
                <w:color w:val="000000"/>
                <w:sz w:val="24"/>
              </w:rPr>
              <w:t>初基金</w:t>
            </w:r>
            <w:proofErr w:type="gramEnd"/>
            <w:r w:rsidRPr="005C672D">
              <w:rPr>
                <w:color w:val="000000"/>
                <w:sz w:val="24"/>
              </w:rPr>
              <w:t>资产净值比例（％）</w:t>
            </w:r>
          </w:p>
        </w:tc>
      </w:tr>
      <w:tr w:rsidR="00B10F73">
        <w:tc>
          <w:tcPr>
            <w:tcW w:w="869" w:type="dxa"/>
            <w:vAlign w:val="center"/>
          </w:tcPr>
          <w:p w:rsidR="00B10F73" w:rsidRDefault="00914739">
            <w:pPr>
              <w:jc w:val="center"/>
            </w:pPr>
            <w:r>
              <w:rPr>
                <w:sz w:val="24"/>
              </w:rPr>
              <w:t>1</w:t>
            </w:r>
          </w:p>
        </w:tc>
        <w:tc>
          <w:tcPr>
            <w:tcW w:w="1650" w:type="dxa"/>
            <w:vAlign w:val="center"/>
          </w:tcPr>
          <w:p w:rsidR="00B10F73" w:rsidRDefault="00914739">
            <w:pPr>
              <w:jc w:val="center"/>
            </w:pPr>
            <w:r>
              <w:rPr>
                <w:sz w:val="24"/>
              </w:rPr>
              <w:t>002120</w:t>
            </w:r>
          </w:p>
        </w:tc>
        <w:tc>
          <w:tcPr>
            <w:tcW w:w="1980" w:type="dxa"/>
            <w:vAlign w:val="center"/>
          </w:tcPr>
          <w:p w:rsidR="00B10F73" w:rsidRDefault="00914739">
            <w:pPr>
              <w:jc w:val="center"/>
            </w:pPr>
            <w:proofErr w:type="gramStart"/>
            <w:r>
              <w:rPr>
                <w:sz w:val="24"/>
              </w:rPr>
              <w:t>韵达股份</w:t>
            </w:r>
            <w:proofErr w:type="gramEnd"/>
          </w:p>
        </w:tc>
        <w:tc>
          <w:tcPr>
            <w:tcW w:w="2879" w:type="dxa"/>
            <w:vAlign w:val="center"/>
          </w:tcPr>
          <w:p w:rsidR="00B10F73" w:rsidRDefault="00914739">
            <w:pPr>
              <w:jc w:val="right"/>
            </w:pPr>
            <w:r>
              <w:rPr>
                <w:sz w:val="24"/>
              </w:rPr>
              <w:t>69,858,929.87</w:t>
            </w:r>
          </w:p>
        </w:tc>
        <w:tc>
          <w:tcPr>
            <w:tcW w:w="1620" w:type="dxa"/>
            <w:vAlign w:val="center"/>
          </w:tcPr>
          <w:p w:rsidR="00B10F73" w:rsidRDefault="00914739">
            <w:pPr>
              <w:jc w:val="right"/>
            </w:pPr>
            <w:r>
              <w:rPr>
                <w:sz w:val="24"/>
              </w:rPr>
              <w:t>10.69</w:t>
            </w:r>
          </w:p>
        </w:tc>
      </w:tr>
      <w:tr w:rsidR="00B10F73">
        <w:tc>
          <w:tcPr>
            <w:tcW w:w="869" w:type="dxa"/>
            <w:vAlign w:val="center"/>
          </w:tcPr>
          <w:p w:rsidR="00B10F73" w:rsidRDefault="00914739">
            <w:pPr>
              <w:jc w:val="center"/>
            </w:pPr>
            <w:r>
              <w:rPr>
                <w:sz w:val="24"/>
              </w:rPr>
              <w:t>2</w:t>
            </w:r>
          </w:p>
        </w:tc>
        <w:tc>
          <w:tcPr>
            <w:tcW w:w="1650" w:type="dxa"/>
            <w:vAlign w:val="center"/>
          </w:tcPr>
          <w:p w:rsidR="00B10F73" w:rsidRDefault="00914739">
            <w:pPr>
              <w:jc w:val="center"/>
            </w:pPr>
            <w:r>
              <w:rPr>
                <w:sz w:val="24"/>
              </w:rPr>
              <w:t>002195</w:t>
            </w:r>
          </w:p>
        </w:tc>
        <w:tc>
          <w:tcPr>
            <w:tcW w:w="1980" w:type="dxa"/>
            <w:vAlign w:val="center"/>
          </w:tcPr>
          <w:p w:rsidR="00B10F73" w:rsidRDefault="00914739">
            <w:pPr>
              <w:jc w:val="center"/>
            </w:pPr>
            <w:r>
              <w:rPr>
                <w:sz w:val="24"/>
              </w:rPr>
              <w:t>二三四五</w:t>
            </w:r>
          </w:p>
        </w:tc>
        <w:tc>
          <w:tcPr>
            <w:tcW w:w="2879" w:type="dxa"/>
            <w:vAlign w:val="center"/>
          </w:tcPr>
          <w:p w:rsidR="00B10F73" w:rsidRDefault="00914739">
            <w:pPr>
              <w:jc w:val="right"/>
            </w:pPr>
            <w:r>
              <w:rPr>
                <w:sz w:val="24"/>
              </w:rPr>
              <w:t>68,562,970.99</w:t>
            </w:r>
          </w:p>
        </w:tc>
        <w:tc>
          <w:tcPr>
            <w:tcW w:w="1620" w:type="dxa"/>
            <w:vAlign w:val="center"/>
          </w:tcPr>
          <w:p w:rsidR="00B10F73" w:rsidRDefault="00914739">
            <w:pPr>
              <w:jc w:val="right"/>
            </w:pPr>
            <w:r>
              <w:rPr>
                <w:sz w:val="24"/>
              </w:rPr>
              <w:t>10.49</w:t>
            </w:r>
          </w:p>
        </w:tc>
      </w:tr>
      <w:tr w:rsidR="00B10F73">
        <w:tc>
          <w:tcPr>
            <w:tcW w:w="869" w:type="dxa"/>
            <w:vAlign w:val="center"/>
          </w:tcPr>
          <w:p w:rsidR="00B10F73" w:rsidRDefault="00914739">
            <w:pPr>
              <w:jc w:val="center"/>
            </w:pPr>
            <w:r>
              <w:rPr>
                <w:sz w:val="24"/>
              </w:rPr>
              <w:t>3</w:t>
            </w:r>
          </w:p>
        </w:tc>
        <w:tc>
          <w:tcPr>
            <w:tcW w:w="1650" w:type="dxa"/>
            <w:vAlign w:val="center"/>
          </w:tcPr>
          <w:p w:rsidR="00B10F73" w:rsidRDefault="00914739">
            <w:pPr>
              <w:jc w:val="center"/>
            </w:pPr>
            <w:r>
              <w:rPr>
                <w:sz w:val="24"/>
              </w:rPr>
              <w:t>002343</w:t>
            </w:r>
          </w:p>
        </w:tc>
        <w:tc>
          <w:tcPr>
            <w:tcW w:w="1980" w:type="dxa"/>
            <w:vAlign w:val="center"/>
          </w:tcPr>
          <w:p w:rsidR="00B10F73" w:rsidRDefault="00914739">
            <w:pPr>
              <w:jc w:val="center"/>
            </w:pPr>
            <w:proofErr w:type="gramStart"/>
            <w:r>
              <w:rPr>
                <w:sz w:val="24"/>
              </w:rPr>
              <w:t>慈文传媒</w:t>
            </w:r>
            <w:proofErr w:type="gramEnd"/>
          </w:p>
        </w:tc>
        <w:tc>
          <w:tcPr>
            <w:tcW w:w="2879" w:type="dxa"/>
            <w:vAlign w:val="center"/>
          </w:tcPr>
          <w:p w:rsidR="00B10F73" w:rsidRDefault="00914739">
            <w:pPr>
              <w:jc w:val="right"/>
            </w:pPr>
            <w:r>
              <w:rPr>
                <w:sz w:val="24"/>
              </w:rPr>
              <w:t>57,236,694.44</w:t>
            </w:r>
          </w:p>
        </w:tc>
        <w:tc>
          <w:tcPr>
            <w:tcW w:w="1620" w:type="dxa"/>
            <w:vAlign w:val="center"/>
          </w:tcPr>
          <w:p w:rsidR="00B10F73" w:rsidRDefault="00914739">
            <w:pPr>
              <w:jc w:val="right"/>
            </w:pPr>
            <w:r>
              <w:rPr>
                <w:sz w:val="24"/>
              </w:rPr>
              <w:t>8.76</w:t>
            </w:r>
          </w:p>
        </w:tc>
      </w:tr>
      <w:tr w:rsidR="00B10F73">
        <w:tc>
          <w:tcPr>
            <w:tcW w:w="869" w:type="dxa"/>
            <w:vAlign w:val="center"/>
          </w:tcPr>
          <w:p w:rsidR="00B10F73" w:rsidRDefault="00914739">
            <w:pPr>
              <w:jc w:val="center"/>
            </w:pPr>
            <w:r>
              <w:rPr>
                <w:sz w:val="24"/>
              </w:rPr>
              <w:t>4</w:t>
            </w:r>
          </w:p>
        </w:tc>
        <w:tc>
          <w:tcPr>
            <w:tcW w:w="1650" w:type="dxa"/>
            <w:vAlign w:val="center"/>
          </w:tcPr>
          <w:p w:rsidR="00B10F73" w:rsidRDefault="00914739">
            <w:pPr>
              <w:jc w:val="center"/>
            </w:pPr>
            <w:r>
              <w:rPr>
                <w:sz w:val="24"/>
              </w:rPr>
              <w:t>300365</w:t>
            </w:r>
          </w:p>
        </w:tc>
        <w:tc>
          <w:tcPr>
            <w:tcW w:w="1980" w:type="dxa"/>
            <w:vAlign w:val="center"/>
          </w:tcPr>
          <w:p w:rsidR="00B10F73" w:rsidRDefault="00914739">
            <w:pPr>
              <w:jc w:val="center"/>
            </w:pPr>
            <w:r>
              <w:rPr>
                <w:sz w:val="24"/>
              </w:rPr>
              <w:t>恒华科技</w:t>
            </w:r>
          </w:p>
        </w:tc>
        <w:tc>
          <w:tcPr>
            <w:tcW w:w="2879" w:type="dxa"/>
            <w:vAlign w:val="center"/>
          </w:tcPr>
          <w:p w:rsidR="00B10F73" w:rsidRDefault="00914739">
            <w:pPr>
              <w:jc w:val="right"/>
            </w:pPr>
            <w:r>
              <w:rPr>
                <w:sz w:val="24"/>
              </w:rPr>
              <w:t>55,395,133.94</w:t>
            </w:r>
          </w:p>
        </w:tc>
        <w:tc>
          <w:tcPr>
            <w:tcW w:w="1620" w:type="dxa"/>
            <w:vAlign w:val="center"/>
          </w:tcPr>
          <w:p w:rsidR="00B10F73" w:rsidRDefault="00914739">
            <w:pPr>
              <w:jc w:val="right"/>
            </w:pPr>
            <w:r>
              <w:rPr>
                <w:sz w:val="24"/>
              </w:rPr>
              <w:t>8.48</w:t>
            </w:r>
          </w:p>
        </w:tc>
      </w:tr>
      <w:tr w:rsidR="00B10F73">
        <w:tc>
          <w:tcPr>
            <w:tcW w:w="869" w:type="dxa"/>
            <w:vAlign w:val="center"/>
          </w:tcPr>
          <w:p w:rsidR="00B10F73" w:rsidRDefault="00914739">
            <w:pPr>
              <w:jc w:val="center"/>
            </w:pPr>
            <w:r>
              <w:rPr>
                <w:sz w:val="24"/>
              </w:rPr>
              <w:t>5</w:t>
            </w:r>
          </w:p>
        </w:tc>
        <w:tc>
          <w:tcPr>
            <w:tcW w:w="1650" w:type="dxa"/>
            <w:vAlign w:val="center"/>
          </w:tcPr>
          <w:p w:rsidR="00B10F73" w:rsidRDefault="00914739">
            <w:pPr>
              <w:jc w:val="center"/>
            </w:pPr>
            <w:r>
              <w:rPr>
                <w:sz w:val="24"/>
              </w:rPr>
              <w:t>600967</w:t>
            </w:r>
          </w:p>
        </w:tc>
        <w:tc>
          <w:tcPr>
            <w:tcW w:w="1980" w:type="dxa"/>
            <w:vAlign w:val="center"/>
          </w:tcPr>
          <w:p w:rsidR="00B10F73" w:rsidRDefault="00914739">
            <w:pPr>
              <w:jc w:val="center"/>
            </w:pPr>
            <w:r>
              <w:rPr>
                <w:sz w:val="24"/>
              </w:rPr>
              <w:t>内蒙</w:t>
            </w:r>
            <w:proofErr w:type="gramStart"/>
            <w:r>
              <w:rPr>
                <w:sz w:val="24"/>
              </w:rPr>
              <w:t>一</w:t>
            </w:r>
            <w:proofErr w:type="gramEnd"/>
            <w:r>
              <w:rPr>
                <w:sz w:val="24"/>
              </w:rPr>
              <w:t>机</w:t>
            </w:r>
          </w:p>
        </w:tc>
        <w:tc>
          <w:tcPr>
            <w:tcW w:w="2879" w:type="dxa"/>
            <w:vAlign w:val="center"/>
          </w:tcPr>
          <w:p w:rsidR="00B10F73" w:rsidRDefault="00914739">
            <w:pPr>
              <w:jc w:val="right"/>
            </w:pPr>
            <w:r>
              <w:rPr>
                <w:sz w:val="24"/>
              </w:rPr>
              <w:t>54,163,822.03</w:t>
            </w:r>
          </w:p>
        </w:tc>
        <w:tc>
          <w:tcPr>
            <w:tcW w:w="1620" w:type="dxa"/>
            <w:vAlign w:val="center"/>
          </w:tcPr>
          <w:p w:rsidR="00B10F73" w:rsidRDefault="00914739">
            <w:pPr>
              <w:jc w:val="right"/>
            </w:pPr>
            <w:r>
              <w:rPr>
                <w:sz w:val="24"/>
              </w:rPr>
              <w:t>8.29</w:t>
            </w:r>
          </w:p>
        </w:tc>
      </w:tr>
      <w:tr w:rsidR="00B10F73">
        <w:tc>
          <w:tcPr>
            <w:tcW w:w="869" w:type="dxa"/>
            <w:vAlign w:val="center"/>
          </w:tcPr>
          <w:p w:rsidR="00B10F73" w:rsidRDefault="00914739">
            <w:pPr>
              <w:jc w:val="center"/>
            </w:pPr>
            <w:r>
              <w:rPr>
                <w:sz w:val="24"/>
              </w:rPr>
              <w:t>6</w:t>
            </w:r>
          </w:p>
        </w:tc>
        <w:tc>
          <w:tcPr>
            <w:tcW w:w="1650" w:type="dxa"/>
            <w:vAlign w:val="center"/>
          </w:tcPr>
          <w:p w:rsidR="00B10F73" w:rsidRDefault="00914739">
            <w:pPr>
              <w:jc w:val="center"/>
            </w:pPr>
            <w:r>
              <w:rPr>
                <w:sz w:val="24"/>
              </w:rPr>
              <w:t>300308</w:t>
            </w:r>
          </w:p>
        </w:tc>
        <w:tc>
          <w:tcPr>
            <w:tcW w:w="1980" w:type="dxa"/>
            <w:vAlign w:val="center"/>
          </w:tcPr>
          <w:p w:rsidR="00B10F73" w:rsidRDefault="00914739">
            <w:pPr>
              <w:jc w:val="center"/>
            </w:pPr>
            <w:r>
              <w:rPr>
                <w:sz w:val="24"/>
              </w:rPr>
              <w:t>中际装备</w:t>
            </w:r>
          </w:p>
        </w:tc>
        <w:tc>
          <w:tcPr>
            <w:tcW w:w="2879" w:type="dxa"/>
            <w:vAlign w:val="center"/>
          </w:tcPr>
          <w:p w:rsidR="00B10F73" w:rsidRDefault="00914739">
            <w:pPr>
              <w:jc w:val="right"/>
            </w:pPr>
            <w:r>
              <w:rPr>
                <w:sz w:val="24"/>
              </w:rPr>
              <w:t>52,630,523.02</w:t>
            </w:r>
          </w:p>
        </w:tc>
        <w:tc>
          <w:tcPr>
            <w:tcW w:w="1620" w:type="dxa"/>
            <w:vAlign w:val="center"/>
          </w:tcPr>
          <w:p w:rsidR="00B10F73" w:rsidRDefault="00914739">
            <w:pPr>
              <w:jc w:val="right"/>
            </w:pPr>
            <w:r>
              <w:rPr>
                <w:sz w:val="24"/>
              </w:rPr>
              <w:t>8.05</w:t>
            </w:r>
          </w:p>
        </w:tc>
      </w:tr>
      <w:tr w:rsidR="00B10F73">
        <w:tc>
          <w:tcPr>
            <w:tcW w:w="869" w:type="dxa"/>
            <w:vAlign w:val="center"/>
          </w:tcPr>
          <w:p w:rsidR="00B10F73" w:rsidRDefault="00914739">
            <w:pPr>
              <w:jc w:val="center"/>
            </w:pPr>
            <w:r>
              <w:rPr>
                <w:sz w:val="24"/>
              </w:rPr>
              <w:t>7</w:t>
            </w:r>
          </w:p>
        </w:tc>
        <w:tc>
          <w:tcPr>
            <w:tcW w:w="1650" w:type="dxa"/>
            <w:vAlign w:val="center"/>
          </w:tcPr>
          <w:p w:rsidR="00B10F73" w:rsidRDefault="00914739">
            <w:pPr>
              <w:jc w:val="center"/>
            </w:pPr>
            <w:r>
              <w:rPr>
                <w:sz w:val="24"/>
              </w:rPr>
              <w:t>002027</w:t>
            </w:r>
          </w:p>
        </w:tc>
        <w:tc>
          <w:tcPr>
            <w:tcW w:w="1980" w:type="dxa"/>
            <w:vAlign w:val="center"/>
          </w:tcPr>
          <w:p w:rsidR="00B10F73" w:rsidRDefault="00914739">
            <w:pPr>
              <w:jc w:val="center"/>
            </w:pPr>
            <w:r>
              <w:rPr>
                <w:sz w:val="24"/>
              </w:rPr>
              <w:t>分众传媒</w:t>
            </w:r>
          </w:p>
        </w:tc>
        <w:tc>
          <w:tcPr>
            <w:tcW w:w="2879" w:type="dxa"/>
            <w:vAlign w:val="center"/>
          </w:tcPr>
          <w:p w:rsidR="00B10F73" w:rsidRDefault="00914739">
            <w:pPr>
              <w:jc w:val="right"/>
            </w:pPr>
            <w:r>
              <w:rPr>
                <w:sz w:val="24"/>
              </w:rPr>
              <w:t>47,245,631.97</w:t>
            </w:r>
          </w:p>
        </w:tc>
        <w:tc>
          <w:tcPr>
            <w:tcW w:w="1620" w:type="dxa"/>
            <w:vAlign w:val="center"/>
          </w:tcPr>
          <w:p w:rsidR="00B10F73" w:rsidRDefault="00914739">
            <w:pPr>
              <w:jc w:val="right"/>
            </w:pPr>
            <w:r>
              <w:rPr>
                <w:sz w:val="24"/>
              </w:rPr>
              <w:t>7.23</w:t>
            </w:r>
          </w:p>
        </w:tc>
      </w:tr>
      <w:tr w:rsidR="00B10F73">
        <w:tc>
          <w:tcPr>
            <w:tcW w:w="869" w:type="dxa"/>
            <w:vAlign w:val="center"/>
          </w:tcPr>
          <w:p w:rsidR="00B10F73" w:rsidRDefault="00914739">
            <w:pPr>
              <w:jc w:val="center"/>
            </w:pPr>
            <w:r>
              <w:rPr>
                <w:sz w:val="24"/>
              </w:rPr>
              <w:t>8</w:t>
            </w:r>
          </w:p>
        </w:tc>
        <w:tc>
          <w:tcPr>
            <w:tcW w:w="1650" w:type="dxa"/>
            <w:vAlign w:val="center"/>
          </w:tcPr>
          <w:p w:rsidR="00B10F73" w:rsidRDefault="00914739">
            <w:pPr>
              <w:jc w:val="center"/>
            </w:pPr>
            <w:r>
              <w:rPr>
                <w:sz w:val="24"/>
              </w:rPr>
              <w:t>002468</w:t>
            </w:r>
          </w:p>
        </w:tc>
        <w:tc>
          <w:tcPr>
            <w:tcW w:w="1980" w:type="dxa"/>
            <w:vAlign w:val="center"/>
          </w:tcPr>
          <w:p w:rsidR="00B10F73" w:rsidRDefault="00914739">
            <w:pPr>
              <w:jc w:val="center"/>
            </w:pPr>
            <w:r>
              <w:rPr>
                <w:sz w:val="24"/>
              </w:rPr>
              <w:t>申通快递</w:t>
            </w:r>
          </w:p>
        </w:tc>
        <w:tc>
          <w:tcPr>
            <w:tcW w:w="2879" w:type="dxa"/>
            <w:vAlign w:val="center"/>
          </w:tcPr>
          <w:p w:rsidR="00B10F73" w:rsidRDefault="00914739">
            <w:pPr>
              <w:jc w:val="right"/>
            </w:pPr>
            <w:r>
              <w:rPr>
                <w:sz w:val="24"/>
              </w:rPr>
              <w:t>41,455,288.82</w:t>
            </w:r>
          </w:p>
        </w:tc>
        <w:tc>
          <w:tcPr>
            <w:tcW w:w="1620" w:type="dxa"/>
            <w:vAlign w:val="center"/>
          </w:tcPr>
          <w:p w:rsidR="00B10F73" w:rsidRDefault="00914739">
            <w:pPr>
              <w:jc w:val="right"/>
            </w:pPr>
            <w:r>
              <w:rPr>
                <w:sz w:val="24"/>
              </w:rPr>
              <w:t>6.34</w:t>
            </w:r>
          </w:p>
        </w:tc>
      </w:tr>
      <w:tr w:rsidR="00B10F73">
        <w:tc>
          <w:tcPr>
            <w:tcW w:w="869" w:type="dxa"/>
            <w:vAlign w:val="center"/>
          </w:tcPr>
          <w:p w:rsidR="00B10F73" w:rsidRDefault="00914739">
            <w:pPr>
              <w:jc w:val="center"/>
            </w:pPr>
            <w:r>
              <w:rPr>
                <w:sz w:val="24"/>
              </w:rPr>
              <w:t>9</w:t>
            </w:r>
          </w:p>
        </w:tc>
        <w:tc>
          <w:tcPr>
            <w:tcW w:w="1650" w:type="dxa"/>
            <w:vAlign w:val="center"/>
          </w:tcPr>
          <w:p w:rsidR="00B10F73" w:rsidRDefault="00914739">
            <w:pPr>
              <w:jc w:val="center"/>
            </w:pPr>
            <w:r>
              <w:rPr>
                <w:sz w:val="24"/>
              </w:rPr>
              <w:t>000858</w:t>
            </w:r>
          </w:p>
        </w:tc>
        <w:tc>
          <w:tcPr>
            <w:tcW w:w="1980" w:type="dxa"/>
            <w:vAlign w:val="center"/>
          </w:tcPr>
          <w:p w:rsidR="00B10F73" w:rsidRDefault="00914739">
            <w:pPr>
              <w:jc w:val="center"/>
            </w:pPr>
            <w:r>
              <w:rPr>
                <w:sz w:val="24"/>
              </w:rPr>
              <w:t>五</w:t>
            </w:r>
            <w:r>
              <w:rPr>
                <w:sz w:val="24"/>
              </w:rPr>
              <w:t xml:space="preserve"> </w:t>
            </w:r>
            <w:r>
              <w:rPr>
                <w:sz w:val="24"/>
              </w:rPr>
              <w:t>粮</w:t>
            </w:r>
            <w:r>
              <w:rPr>
                <w:sz w:val="24"/>
              </w:rPr>
              <w:t xml:space="preserve"> </w:t>
            </w:r>
            <w:r>
              <w:rPr>
                <w:sz w:val="24"/>
              </w:rPr>
              <w:t>液</w:t>
            </w:r>
          </w:p>
        </w:tc>
        <w:tc>
          <w:tcPr>
            <w:tcW w:w="2879" w:type="dxa"/>
            <w:vAlign w:val="center"/>
          </w:tcPr>
          <w:p w:rsidR="00B10F73" w:rsidRDefault="00914739">
            <w:pPr>
              <w:jc w:val="right"/>
            </w:pPr>
            <w:r>
              <w:rPr>
                <w:sz w:val="24"/>
              </w:rPr>
              <w:t>40,718,692.27</w:t>
            </w:r>
          </w:p>
        </w:tc>
        <w:tc>
          <w:tcPr>
            <w:tcW w:w="1620" w:type="dxa"/>
            <w:vAlign w:val="center"/>
          </w:tcPr>
          <w:p w:rsidR="00B10F73" w:rsidRDefault="00914739">
            <w:pPr>
              <w:jc w:val="right"/>
            </w:pPr>
            <w:r>
              <w:rPr>
                <w:sz w:val="24"/>
              </w:rPr>
              <w:t>6.23</w:t>
            </w:r>
          </w:p>
        </w:tc>
      </w:tr>
      <w:tr w:rsidR="00B10F73">
        <w:tc>
          <w:tcPr>
            <w:tcW w:w="869" w:type="dxa"/>
            <w:vAlign w:val="center"/>
          </w:tcPr>
          <w:p w:rsidR="00B10F73" w:rsidRDefault="00914739">
            <w:pPr>
              <w:jc w:val="center"/>
            </w:pPr>
            <w:r>
              <w:rPr>
                <w:sz w:val="24"/>
              </w:rPr>
              <w:t>10</w:t>
            </w:r>
          </w:p>
        </w:tc>
        <w:tc>
          <w:tcPr>
            <w:tcW w:w="1650" w:type="dxa"/>
            <w:vAlign w:val="center"/>
          </w:tcPr>
          <w:p w:rsidR="00B10F73" w:rsidRDefault="00914739">
            <w:pPr>
              <w:jc w:val="center"/>
            </w:pPr>
            <w:r>
              <w:rPr>
                <w:sz w:val="24"/>
              </w:rPr>
              <w:t>600054</w:t>
            </w:r>
          </w:p>
        </w:tc>
        <w:tc>
          <w:tcPr>
            <w:tcW w:w="1980" w:type="dxa"/>
            <w:vAlign w:val="center"/>
          </w:tcPr>
          <w:p w:rsidR="00B10F73" w:rsidRDefault="00914739">
            <w:pPr>
              <w:jc w:val="center"/>
            </w:pPr>
            <w:r>
              <w:rPr>
                <w:sz w:val="24"/>
              </w:rPr>
              <w:t>黄山旅游</w:t>
            </w:r>
          </w:p>
        </w:tc>
        <w:tc>
          <w:tcPr>
            <w:tcW w:w="2879" w:type="dxa"/>
            <w:vAlign w:val="center"/>
          </w:tcPr>
          <w:p w:rsidR="00B10F73" w:rsidRDefault="00914739">
            <w:pPr>
              <w:jc w:val="right"/>
            </w:pPr>
            <w:r>
              <w:rPr>
                <w:sz w:val="24"/>
              </w:rPr>
              <w:t>37,563,450.18</w:t>
            </w:r>
          </w:p>
        </w:tc>
        <w:tc>
          <w:tcPr>
            <w:tcW w:w="1620" w:type="dxa"/>
            <w:vAlign w:val="center"/>
          </w:tcPr>
          <w:p w:rsidR="00B10F73" w:rsidRDefault="00914739">
            <w:pPr>
              <w:jc w:val="right"/>
            </w:pPr>
            <w:r>
              <w:rPr>
                <w:sz w:val="24"/>
              </w:rPr>
              <w:t>5.75</w:t>
            </w:r>
          </w:p>
        </w:tc>
      </w:tr>
      <w:tr w:rsidR="00B10F73">
        <w:tc>
          <w:tcPr>
            <w:tcW w:w="869" w:type="dxa"/>
            <w:vAlign w:val="center"/>
          </w:tcPr>
          <w:p w:rsidR="00B10F73" w:rsidRDefault="00914739">
            <w:pPr>
              <w:jc w:val="center"/>
            </w:pPr>
            <w:r>
              <w:rPr>
                <w:sz w:val="24"/>
              </w:rPr>
              <w:t>11</w:t>
            </w:r>
          </w:p>
        </w:tc>
        <w:tc>
          <w:tcPr>
            <w:tcW w:w="1650" w:type="dxa"/>
            <w:vAlign w:val="center"/>
          </w:tcPr>
          <w:p w:rsidR="00B10F73" w:rsidRDefault="00914739">
            <w:pPr>
              <w:jc w:val="center"/>
            </w:pPr>
            <w:r>
              <w:rPr>
                <w:sz w:val="24"/>
              </w:rPr>
              <w:t>002460</w:t>
            </w:r>
          </w:p>
        </w:tc>
        <w:tc>
          <w:tcPr>
            <w:tcW w:w="1980" w:type="dxa"/>
            <w:vAlign w:val="center"/>
          </w:tcPr>
          <w:p w:rsidR="00B10F73" w:rsidRDefault="00914739">
            <w:pPr>
              <w:jc w:val="center"/>
            </w:pPr>
            <w:proofErr w:type="gramStart"/>
            <w:r>
              <w:rPr>
                <w:sz w:val="24"/>
              </w:rPr>
              <w:t>赣锋锂</w:t>
            </w:r>
            <w:proofErr w:type="gramEnd"/>
            <w:r>
              <w:rPr>
                <w:sz w:val="24"/>
              </w:rPr>
              <w:t>业</w:t>
            </w:r>
          </w:p>
        </w:tc>
        <w:tc>
          <w:tcPr>
            <w:tcW w:w="2879" w:type="dxa"/>
            <w:vAlign w:val="center"/>
          </w:tcPr>
          <w:p w:rsidR="00B10F73" w:rsidRDefault="00914739">
            <w:pPr>
              <w:jc w:val="right"/>
            </w:pPr>
            <w:r>
              <w:rPr>
                <w:sz w:val="24"/>
              </w:rPr>
              <w:t>31,686,777.46</w:t>
            </w:r>
          </w:p>
        </w:tc>
        <w:tc>
          <w:tcPr>
            <w:tcW w:w="1620" w:type="dxa"/>
            <w:vAlign w:val="center"/>
          </w:tcPr>
          <w:p w:rsidR="00B10F73" w:rsidRDefault="00914739">
            <w:pPr>
              <w:jc w:val="right"/>
            </w:pPr>
            <w:r>
              <w:rPr>
                <w:sz w:val="24"/>
              </w:rPr>
              <w:t>4.85</w:t>
            </w:r>
          </w:p>
        </w:tc>
      </w:tr>
      <w:tr w:rsidR="00B10F73">
        <w:tc>
          <w:tcPr>
            <w:tcW w:w="869" w:type="dxa"/>
            <w:vAlign w:val="center"/>
          </w:tcPr>
          <w:p w:rsidR="00B10F73" w:rsidRDefault="00914739">
            <w:pPr>
              <w:jc w:val="center"/>
            </w:pPr>
            <w:r>
              <w:rPr>
                <w:sz w:val="24"/>
              </w:rPr>
              <w:t>12</w:t>
            </w:r>
          </w:p>
        </w:tc>
        <w:tc>
          <w:tcPr>
            <w:tcW w:w="1650" w:type="dxa"/>
            <w:vAlign w:val="center"/>
          </w:tcPr>
          <w:p w:rsidR="00B10F73" w:rsidRDefault="00914739">
            <w:pPr>
              <w:jc w:val="center"/>
            </w:pPr>
            <w:r>
              <w:rPr>
                <w:sz w:val="24"/>
              </w:rPr>
              <w:t>300347</w:t>
            </w:r>
          </w:p>
        </w:tc>
        <w:tc>
          <w:tcPr>
            <w:tcW w:w="1980" w:type="dxa"/>
            <w:vAlign w:val="center"/>
          </w:tcPr>
          <w:p w:rsidR="00B10F73" w:rsidRDefault="00914739">
            <w:pPr>
              <w:jc w:val="center"/>
            </w:pPr>
            <w:r>
              <w:rPr>
                <w:sz w:val="24"/>
              </w:rPr>
              <w:t>泰格医药</w:t>
            </w:r>
          </w:p>
        </w:tc>
        <w:tc>
          <w:tcPr>
            <w:tcW w:w="2879" w:type="dxa"/>
            <w:vAlign w:val="center"/>
          </w:tcPr>
          <w:p w:rsidR="00B10F73" w:rsidRDefault="00914739">
            <w:pPr>
              <w:jc w:val="right"/>
            </w:pPr>
            <w:r>
              <w:rPr>
                <w:sz w:val="24"/>
              </w:rPr>
              <w:t>27,698,617.40</w:t>
            </w:r>
          </w:p>
        </w:tc>
        <w:tc>
          <w:tcPr>
            <w:tcW w:w="1620" w:type="dxa"/>
            <w:vAlign w:val="center"/>
          </w:tcPr>
          <w:p w:rsidR="00B10F73" w:rsidRDefault="00914739">
            <w:pPr>
              <w:jc w:val="right"/>
            </w:pPr>
            <w:r>
              <w:rPr>
                <w:sz w:val="24"/>
              </w:rPr>
              <w:t>4.24</w:t>
            </w:r>
          </w:p>
        </w:tc>
      </w:tr>
      <w:tr w:rsidR="00B10F73">
        <w:tc>
          <w:tcPr>
            <w:tcW w:w="869" w:type="dxa"/>
            <w:vAlign w:val="center"/>
          </w:tcPr>
          <w:p w:rsidR="00B10F73" w:rsidRDefault="00914739">
            <w:pPr>
              <w:jc w:val="center"/>
            </w:pPr>
            <w:r>
              <w:rPr>
                <w:sz w:val="24"/>
              </w:rPr>
              <w:t>13</w:t>
            </w:r>
          </w:p>
        </w:tc>
        <w:tc>
          <w:tcPr>
            <w:tcW w:w="1650" w:type="dxa"/>
            <w:vAlign w:val="center"/>
          </w:tcPr>
          <w:p w:rsidR="00B10F73" w:rsidRDefault="00914739">
            <w:pPr>
              <w:jc w:val="center"/>
            </w:pPr>
            <w:r>
              <w:rPr>
                <w:sz w:val="24"/>
              </w:rPr>
              <w:t>000888</w:t>
            </w:r>
          </w:p>
        </w:tc>
        <w:tc>
          <w:tcPr>
            <w:tcW w:w="1980" w:type="dxa"/>
            <w:vAlign w:val="center"/>
          </w:tcPr>
          <w:p w:rsidR="00B10F73" w:rsidRDefault="00914739">
            <w:pPr>
              <w:jc w:val="center"/>
            </w:pPr>
            <w:r>
              <w:rPr>
                <w:sz w:val="24"/>
              </w:rPr>
              <w:t>峨眉山Ａ</w:t>
            </w:r>
          </w:p>
        </w:tc>
        <w:tc>
          <w:tcPr>
            <w:tcW w:w="2879" w:type="dxa"/>
            <w:vAlign w:val="center"/>
          </w:tcPr>
          <w:p w:rsidR="00B10F73" w:rsidRDefault="00914739">
            <w:pPr>
              <w:jc w:val="right"/>
            </w:pPr>
            <w:r>
              <w:rPr>
                <w:sz w:val="24"/>
              </w:rPr>
              <w:t>26,546,475.53</w:t>
            </w:r>
          </w:p>
        </w:tc>
        <w:tc>
          <w:tcPr>
            <w:tcW w:w="1620" w:type="dxa"/>
            <w:vAlign w:val="center"/>
          </w:tcPr>
          <w:p w:rsidR="00B10F73" w:rsidRDefault="00914739">
            <w:pPr>
              <w:jc w:val="right"/>
            </w:pPr>
            <w:r>
              <w:rPr>
                <w:sz w:val="24"/>
              </w:rPr>
              <w:t>4.06</w:t>
            </w:r>
          </w:p>
        </w:tc>
      </w:tr>
      <w:tr w:rsidR="00B10F73">
        <w:tc>
          <w:tcPr>
            <w:tcW w:w="869" w:type="dxa"/>
            <w:vAlign w:val="center"/>
          </w:tcPr>
          <w:p w:rsidR="00B10F73" w:rsidRDefault="00914739">
            <w:pPr>
              <w:jc w:val="center"/>
            </w:pPr>
            <w:r>
              <w:rPr>
                <w:sz w:val="24"/>
              </w:rPr>
              <w:t>14</w:t>
            </w:r>
          </w:p>
        </w:tc>
        <w:tc>
          <w:tcPr>
            <w:tcW w:w="1650" w:type="dxa"/>
            <w:vAlign w:val="center"/>
          </w:tcPr>
          <w:p w:rsidR="00B10F73" w:rsidRDefault="00914739">
            <w:pPr>
              <w:jc w:val="center"/>
            </w:pPr>
            <w:r>
              <w:rPr>
                <w:sz w:val="24"/>
              </w:rPr>
              <w:t>603868</w:t>
            </w:r>
          </w:p>
        </w:tc>
        <w:tc>
          <w:tcPr>
            <w:tcW w:w="1980" w:type="dxa"/>
            <w:vAlign w:val="center"/>
          </w:tcPr>
          <w:p w:rsidR="00B10F73" w:rsidRDefault="00914739">
            <w:pPr>
              <w:jc w:val="center"/>
            </w:pPr>
            <w:r>
              <w:rPr>
                <w:sz w:val="24"/>
              </w:rPr>
              <w:t>飞科电器</w:t>
            </w:r>
          </w:p>
        </w:tc>
        <w:tc>
          <w:tcPr>
            <w:tcW w:w="2879" w:type="dxa"/>
            <w:vAlign w:val="center"/>
          </w:tcPr>
          <w:p w:rsidR="00B10F73" w:rsidRDefault="00914739">
            <w:pPr>
              <w:jc w:val="right"/>
            </w:pPr>
            <w:r>
              <w:rPr>
                <w:sz w:val="24"/>
              </w:rPr>
              <w:t>25,442,359.85</w:t>
            </w:r>
          </w:p>
        </w:tc>
        <w:tc>
          <w:tcPr>
            <w:tcW w:w="1620" w:type="dxa"/>
            <w:vAlign w:val="center"/>
          </w:tcPr>
          <w:p w:rsidR="00B10F73" w:rsidRDefault="00914739">
            <w:pPr>
              <w:jc w:val="right"/>
            </w:pPr>
            <w:r>
              <w:rPr>
                <w:sz w:val="24"/>
              </w:rPr>
              <w:t>3.89</w:t>
            </w:r>
          </w:p>
        </w:tc>
      </w:tr>
      <w:tr w:rsidR="00B10F73">
        <w:tc>
          <w:tcPr>
            <w:tcW w:w="869" w:type="dxa"/>
            <w:vAlign w:val="center"/>
          </w:tcPr>
          <w:p w:rsidR="00B10F73" w:rsidRDefault="00914739">
            <w:pPr>
              <w:jc w:val="center"/>
            </w:pPr>
            <w:r>
              <w:rPr>
                <w:sz w:val="24"/>
              </w:rPr>
              <w:t>15</w:t>
            </w:r>
          </w:p>
        </w:tc>
        <w:tc>
          <w:tcPr>
            <w:tcW w:w="1650" w:type="dxa"/>
            <w:vAlign w:val="center"/>
          </w:tcPr>
          <w:p w:rsidR="00B10F73" w:rsidRDefault="00914739">
            <w:pPr>
              <w:jc w:val="center"/>
            </w:pPr>
            <w:r>
              <w:rPr>
                <w:sz w:val="24"/>
              </w:rPr>
              <w:t>600729</w:t>
            </w:r>
          </w:p>
        </w:tc>
        <w:tc>
          <w:tcPr>
            <w:tcW w:w="1980" w:type="dxa"/>
            <w:vAlign w:val="center"/>
          </w:tcPr>
          <w:p w:rsidR="00B10F73" w:rsidRDefault="00914739">
            <w:pPr>
              <w:jc w:val="center"/>
            </w:pPr>
            <w:r>
              <w:rPr>
                <w:sz w:val="24"/>
              </w:rPr>
              <w:t>重庆百货</w:t>
            </w:r>
          </w:p>
        </w:tc>
        <w:tc>
          <w:tcPr>
            <w:tcW w:w="2879" w:type="dxa"/>
            <w:vAlign w:val="center"/>
          </w:tcPr>
          <w:p w:rsidR="00B10F73" w:rsidRDefault="00914739">
            <w:pPr>
              <w:jc w:val="right"/>
            </w:pPr>
            <w:r>
              <w:rPr>
                <w:sz w:val="24"/>
              </w:rPr>
              <w:t>25,348,174.97</w:t>
            </w:r>
          </w:p>
        </w:tc>
        <w:tc>
          <w:tcPr>
            <w:tcW w:w="1620" w:type="dxa"/>
            <w:vAlign w:val="center"/>
          </w:tcPr>
          <w:p w:rsidR="00B10F73" w:rsidRDefault="00914739">
            <w:pPr>
              <w:jc w:val="right"/>
            </w:pPr>
            <w:r>
              <w:rPr>
                <w:sz w:val="24"/>
              </w:rPr>
              <w:t>3.88</w:t>
            </w:r>
          </w:p>
        </w:tc>
      </w:tr>
      <w:tr w:rsidR="00B10F73">
        <w:tc>
          <w:tcPr>
            <w:tcW w:w="869" w:type="dxa"/>
            <w:vAlign w:val="center"/>
          </w:tcPr>
          <w:p w:rsidR="00B10F73" w:rsidRDefault="00914739">
            <w:pPr>
              <w:jc w:val="center"/>
            </w:pPr>
            <w:r>
              <w:rPr>
                <w:sz w:val="24"/>
              </w:rPr>
              <w:t>16</w:t>
            </w:r>
          </w:p>
        </w:tc>
        <w:tc>
          <w:tcPr>
            <w:tcW w:w="1650" w:type="dxa"/>
            <w:vAlign w:val="center"/>
          </w:tcPr>
          <w:p w:rsidR="00B10F73" w:rsidRDefault="00914739">
            <w:pPr>
              <w:jc w:val="center"/>
            </w:pPr>
            <w:r>
              <w:rPr>
                <w:sz w:val="24"/>
              </w:rPr>
              <w:t>300161</w:t>
            </w:r>
          </w:p>
        </w:tc>
        <w:tc>
          <w:tcPr>
            <w:tcW w:w="1980" w:type="dxa"/>
            <w:vAlign w:val="center"/>
          </w:tcPr>
          <w:p w:rsidR="00B10F73" w:rsidRDefault="00914739">
            <w:pPr>
              <w:jc w:val="center"/>
            </w:pPr>
            <w:r>
              <w:rPr>
                <w:sz w:val="24"/>
              </w:rPr>
              <w:t>华中数控</w:t>
            </w:r>
          </w:p>
        </w:tc>
        <w:tc>
          <w:tcPr>
            <w:tcW w:w="2879" w:type="dxa"/>
            <w:vAlign w:val="center"/>
          </w:tcPr>
          <w:p w:rsidR="00B10F73" w:rsidRDefault="00914739">
            <w:pPr>
              <w:jc w:val="right"/>
            </w:pPr>
            <w:r>
              <w:rPr>
                <w:sz w:val="24"/>
              </w:rPr>
              <w:t>23,965,620.28</w:t>
            </w:r>
          </w:p>
        </w:tc>
        <w:tc>
          <w:tcPr>
            <w:tcW w:w="1620" w:type="dxa"/>
            <w:vAlign w:val="center"/>
          </w:tcPr>
          <w:p w:rsidR="00B10F73" w:rsidRDefault="00914739">
            <w:pPr>
              <w:jc w:val="right"/>
            </w:pPr>
            <w:r>
              <w:rPr>
                <w:sz w:val="24"/>
              </w:rPr>
              <w:t>3.67</w:t>
            </w:r>
          </w:p>
        </w:tc>
      </w:tr>
      <w:tr w:rsidR="00B10F73">
        <w:tc>
          <w:tcPr>
            <w:tcW w:w="869" w:type="dxa"/>
            <w:vAlign w:val="center"/>
          </w:tcPr>
          <w:p w:rsidR="00B10F73" w:rsidRDefault="00914739">
            <w:pPr>
              <w:jc w:val="center"/>
            </w:pPr>
            <w:r>
              <w:rPr>
                <w:sz w:val="24"/>
              </w:rPr>
              <w:t>17</w:t>
            </w:r>
          </w:p>
        </w:tc>
        <w:tc>
          <w:tcPr>
            <w:tcW w:w="1650" w:type="dxa"/>
            <w:vAlign w:val="center"/>
          </w:tcPr>
          <w:p w:rsidR="00B10F73" w:rsidRDefault="00914739">
            <w:pPr>
              <w:jc w:val="center"/>
            </w:pPr>
            <w:r>
              <w:rPr>
                <w:sz w:val="24"/>
              </w:rPr>
              <w:t>002202</w:t>
            </w:r>
          </w:p>
        </w:tc>
        <w:tc>
          <w:tcPr>
            <w:tcW w:w="1980" w:type="dxa"/>
            <w:vAlign w:val="center"/>
          </w:tcPr>
          <w:p w:rsidR="00B10F73" w:rsidRDefault="00914739">
            <w:pPr>
              <w:jc w:val="center"/>
            </w:pPr>
            <w:r>
              <w:rPr>
                <w:sz w:val="24"/>
              </w:rPr>
              <w:t>金风科技</w:t>
            </w:r>
          </w:p>
        </w:tc>
        <w:tc>
          <w:tcPr>
            <w:tcW w:w="2879" w:type="dxa"/>
            <w:vAlign w:val="center"/>
          </w:tcPr>
          <w:p w:rsidR="00B10F73" w:rsidRDefault="00914739">
            <w:pPr>
              <w:jc w:val="right"/>
            </w:pPr>
            <w:r>
              <w:rPr>
                <w:sz w:val="24"/>
              </w:rPr>
              <w:t>23,069,226.18</w:t>
            </w:r>
          </w:p>
        </w:tc>
        <w:tc>
          <w:tcPr>
            <w:tcW w:w="1620" w:type="dxa"/>
            <w:vAlign w:val="center"/>
          </w:tcPr>
          <w:p w:rsidR="00B10F73" w:rsidRDefault="00914739">
            <w:pPr>
              <w:jc w:val="right"/>
            </w:pPr>
            <w:r>
              <w:rPr>
                <w:sz w:val="24"/>
              </w:rPr>
              <w:t>3.53</w:t>
            </w:r>
          </w:p>
        </w:tc>
      </w:tr>
      <w:tr w:rsidR="00B10F73">
        <w:tc>
          <w:tcPr>
            <w:tcW w:w="869" w:type="dxa"/>
            <w:vAlign w:val="center"/>
          </w:tcPr>
          <w:p w:rsidR="00B10F73" w:rsidRDefault="00914739">
            <w:pPr>
              <w:jc w:val="center"/>
            </w:pPr>
            <w:r>
              <w:rPr>
                <w:sz w:val="24"/>
              </w:rPr>
              <w:lastRenderedPageBreak/>
              <w:t>18</w:t>
            </w:r>
          </w:p>
        </w:tc>
        <w:tc>
          <w:tcPr>
            <w:tcW w:w="1650" w:type="dxa"/>
            <w:vAlign w:val="center"/>
          </w:tcPr>
          <w:p w:rsidR="00B10F73" w:rsidRDefault="00914739">
            <w:pPr>
              <w:jc w:val="center"/>
            </w:pPr>
            <w:r>
              <w:rPr>
                <w:sz w:val="24"/>
              </w:rPr>
              <w:t>300516</w:t>
            </w:r>
          </w:p>
        </w:tc>
        <w:tc>
          <w:tcPr>
            <w:tcW w:w="1980" w:type="dxa"/>
            <w:vAlign w:val="center"/>
          </w:tcPr>
          <w:p w:rsidR="00B10F73" w:rsidRDefault="00914739">
            <w:pPr>
              <w:jc w:val="center"/>
            </w:pPr>
            <w:r>
              <w:rPr>
                <w:sz w:val="24"/>
              </w:rPr>
              <w:t>久之洋</w:t>
            </w:r>
          </w:p>
        </w:tc>
        <w:tc>
          <w:tcPr>
            <w:tcW w:w="2879" w:type="dxa"/>
            <w:vAlign w:val="center"/>
          </w:tcPr>
          <w:p w:rsidR="00B10F73" w:rsidRDefault="00914739">
            <w:pPr>
              <w:jc w:val="right"/>
            </w:pPr>
            <w:r>
              <w:rPr>
                <w:sz w:val="24"/>
              </w:rPr>
              <w:t>21,792,303.60</w:t>
            </w:r>
          </w:p>
        </w:tc>
        <w:tc>
          <w:tcPr>
            <w:tcW w:w="1620" w:type="dxa"/>
            <w:vAlign w:val="center"/>
          </w:tcPr>
          <w:p w:rsidR="00B10F73" w:rsidRDefault="00914739">
            <w:pPr>
              <w:jc w:val="right"/>
            </w:pPr>
            <w:r>
              <w:rPr>
                <w:sz w:val="24"/>
              </w:rPr>
              <w:t>3.33</w:t>
            </w:r>
          </w:p>
        </w:tc>
      </w:tr>
      <w:tr w:rsidR="00B10F73">
        <w:tc>
          <w:tcPr>
            <w:tcW w:w="869" w:type="dxa"/>
            <w:vAlign w:val="center"/>
          </w:tcPr>
          <w:p w:rsidR="00B10F73" w:rsidRDefault="00914739">
            <w:pPr>
              <w:jc w:val="center"/>
            </w:pPr>
            <w:r>
              <w:rPr>
                <w:sz w:val="24"/>
              </w:rPr>
              <w:t>19</w:t>
            </w:r>
          </w:p>
        </w:tc>
        <w:tc>
          <w:tcPr>
            <w:tcW w:w="1650" w:type="dxa"/>
            <w:vAlign w:val="center"/>
          </w:tcPr>
          <w:p w:rsidR="00B10F73" w:rsidRDefault="00914739">
            <w:pPr>
              <w:jc w:val="center"/>
            </w:pPr>
            <w:r>
              <w:rPr>
                <w:sz w:val="24"/>
              </w:rPr>
              <w:t>600233</w:t>
            </w:r>
          </w:p>
        </w:tc>
        <w:tc>
          <w:tcPr>
            <w:tcW w:w="1980" w:type="dxa"/>
            <w:vAlign w:val="center"/>
          </w:tcPr>
          <w:p w:rsidR="00B10F73" w:rsidRDefault="00914739">
            <w:pPr>
              <w:jc w:val="center"/>
            </w:pPr>
            <w:r>
              <w:rPr>
                <w:sz w:val="24"/>
              </w:rPr>
              <w:t>圆通速递</w:t>
            </w:r>
          </w:p>
        </w:tc>
        <w:tc>
          <w:tcPr>
            <w:tcW w:w="2879" w:type="dxa"/>
            <w:vAlign w:val="center"/>
          </w:tcPr>
          <w:p w:rsidR="00B10F73" w:rsidRDefault="00914739">
            <w:pPr>
              <w:jc w:val="right"/>
            </w:pPr>
            <w:r>
              <w:rPr>
                <w:sz w:val="24"/>
              </w:rPr>
              <w:t>20,359,890.00</w:t>
            </w:r>
          </w:p>
        </w:tc>
        <w:tc>
          <w:tcPr>
            <w:tcW w:w="1620" w:type="dxa"/>
            <w:vAlign w:val="center"/>
          </w:tcPr>
          <w:p w:rsidR="00B10F73" w:rsidRDefault="00914739">
            <w:pPr>
              <w:jc w:val="right"/>
            </w:pPr>
            <w:r>
              <w:rPr>
                <w:sz w:val="24"/>
              </w:rPr>
              <w:t>3.12</w:t>
            </w:r>
          </w:p>
        </w:tc>
      </w:tr>
      <w:tr w:rsidR="00B10F73">
        <w:tc>
          <w:tcPr>
            <w:tcW w:w="869" w:type="dxa"/>
            <w:vAlign w:val="center"/>
          </w:tcPr>
          <w:p w:rsidR="00B10F73" w:rsidRDefault="00914739">
            <w:pPr>
              <w:jc w:val="center"/>
            </w:pPr>
            <w:r>
              <w:rPr>
                <w:sz w:val="24"/>
              </w:rPr>
              <w:t>20</w:t>
            </w:r>
          </w:p>
        </w:tc>
        <w:tc>
          <w:tcPr>
            <w:tcW w:w="1650" w:type="dxa"/>
            <w:vAlign w:val="center"/>
          </w:tcPr>
          <w:p w:rsidR="00B10F73" w:rsidRDefault="00914739">
            <w:pPr>
              <w:jc w:val="center"/>
            </w:pPr>
            <w:r>
              <w:rPr>
                <w:sz w:val="24"/>
              </w:rPr>
              <w:t>300471</w:t>
            </w:r>
          </w:p>
        </w:tc>
        <w:tc>
          <w:tcPr>
            <w:tcW w:w="1980" w:type="dxa"/>
            <w:vAlign w:val="center"/>
          </w:tcPr>
          <w:p w:rsidR="00B10F73" w:rsidRDefault="00914739">
            <w:pPr>
              <w:jc w:val="center"/>
            </w:pPr>
            <w:proofErr w:type="gramStart"/>
            <w:r>
              <w:rPr>
                <w:sz w:val="24"/>
              </w:rPr>
              <w:t>厚普股份</w:t>
            </w:r>
            <w:proofErr w:type="gramEnd"/>
          </w:p>
        </w:tc>
        <w:tc>
          <w:tcPr>
            <w:tcW w:w="2879" w:type="dxa"/>
            <w:vAlign w:val="center"/>
          </w:tcPr>
          <w:p w:rsidR="00B10F73" w:rsidRDefault="00914739">
            <w:pPr>
              <w:jc w:val="right"/>
            </w:pPr>
            <w:r>
              <w:rPr>
                <w:sz w:val="24"/>
              </w:rPr>
              <w:t>19,413,162.22</w:t>
            </w:r>
          </w:p>
        </w:tc>
        <w:tc>
          <w:tcPr>
            <w:tcW w:w="1620" w:type="dxa"/>
            <w:vAlign w:val="center"/>
          </w:tcPr>
          <w:p w:rsidR="00B10F73" w:rsidRDefault="00914739">
            <w:pPr>
              <w:jc w:val="right"/>
            </w:pPr>
            <w:r>
              <w:rPr>
                <w:sz w:val="24"/>
              </w:rPr>
              <w:t>2.97</w:t>
            </w:r>
          </w:p>
        </w:tc>
      </w:tr>
      <w:tr w:rsidR="00B10F73">
        <w:tc>
          <w:tcPr>
            <w:tcW w:w="869" w:type="dxa"/>
            <w:vAlign w:val="center"/>
          </w:tcPr>
          <w:p w:rsidR="00B10F73" w:rsidRDefault="00914739">
            <w:pPr>
              <w:jc w:val="center"/>
            </w:pPr>
            <w:r>
              <w:rPr>
                <w:sz w:val="24"/>
              </w:rPr>
              <w:t>21</w:t>
            </w:r>
          </w:p>
        </w:tc>
        <w:tc>
          <w:tcPr>
            <w:tcW w:w="1650" w:type="dxa"/>
            <w:vAlign w:val="center"/>
          </w:tcPr>
          <w:p w:rsidR="00B10F73" w:rsidRDefault="00914739">
            <w:pPr>
              <w:jc w:val="center"/>
            </w:pPr>
            <w:r>
              <w:rPr>
                <w:sz w:val="24"/>
              </w:rPr>
              <w:t>300336</w:t>
            </w:r>
          </w:p>
        </w:tc>
        <w:tc>
          <w:tcPr>
            <w:tcW w:w="1980" w:type="dxa"/>
            <w:vAlign w:val="center"/>
          </w:tcPr>
          <w:p w:rsidR="00B10F73" w:rsidRDefault="00914739">
            <w:pPr>
              <w:jc w:val="center"/>
            </w:pPr>
            <w:r>
              <w:rPr>
                <w:sz w:val="24"/>
              </w:rPr>
              <w:t>新文化</w:t>
            </w:r>
          </w:p>
        </w:tc>
        <w:tc>
          <w:tcPr>
            <w:tcW w:w="2879" w:type="dxa"/>
            <w:vAlign w:val="center"/>
          </w:tcPr>
          <w:p w:rsidR="00B10F73" w:rsidRDefault="00914739">
            <w:pPr>
              <w:jc w:val="right"/>
            </w:pPr>
            <w:r>
              <w:rPr>
                <w:sz w:val="24"/>
              </w:rPr>
              <w:t>17,273,941.63</w:t>
            </w:r>
          </w:p>
        </w:tc>
        <w:tc>
          <w:tcPr>
            <w:tcW w:w="1620" w:type="dxa"/>
            <w:vAlign w:val="center"/>
          </w:tcPr>
          <w:p w:rsidR="00B10F73" w:rsidRDefault="00914739">
            <w:pPr>
              <w:jc w:val="right"/>
            </w:pPr>
            <w:r>
              <w:rPr>
                <w:sz w:val="24"/>
              </w:rPr>
              <w:t>2.64</w:t>
            </w:r>
          </w:p>
        </w:tc>
      </w:tr>
      <w:tr w:rsidR="00B10F73">
        <w:tc>
          <w:tcPr>
            <w:tcW w:w="869" w:type="dxa"/>
            <w:vAlign w:val="center"/>
          </w:tcPr>
          <w:p w:rsidR="00B10F73" w:rsidRDefault="00914739">
            <w:pPr>
              <w:jc w:val="center"/>
            </w:pPr>
            <w:r>
              <w:rPr>
                <w:sz w:val="24"/>
              </w:rPr>
              <w:t>22</w:t>
            </w:r>
          </w:p>
        </w:tc>
        <w:tc>
          <w:tcPr>
            <w:tcW w:w="1650" w:type="dxa"/>
            <w:vAlign w:val="center"/>
          </w:tcPr>
          <w:p w:rsidR="00B10F73" w:rsidRDefault="00914739">
            <w:pPr>
              <w:jc w:val="center"/>
            </w:pPr>
            <w:r>
              <w:rPr>
                <w:sz w:val="24"/>
              </w:rPr>
              <w:t>300156</w:t>
            </w:r>
          </w:p>
        </w:tc>
        <w:tc>
          <w:tcPr>
            <w:tcW w:w="1980" w:type="dxa"/>
            <w:vAlign w:val="center"/>
          </w:tcPr>
          <w:p w:rsidR="00B10F73" w:rsidRDefault="00914739">
            <w:pPr>
              <w:jc w:val="center"/>
            </w:pPr>
            <w:r>
              <w:rPr>
                <w:sz w:val="24"/>
              </w:rPr>
              <w:t>神雾环保</w:t>
            </w:r>
          </w:p>
        </w:tc>
        <w:tc>
          <w:tcPr>
            <w:tcW w:w="2879" w:type="dxa"/>
            <w:vAlign w:val="center"/>
          </w:tcPr>
          <w:p w:rsidR="00B10F73" w:rsidRDefault="00914739">
            <w:pPr>
              <w:jc w:val="right"/>
            </w:pPr>
            <w:r>
              <w:rPr>
                <w:sz w:val="24"/>
              </w:rPr>
              <w:t>17,076,474.81</w:t>
            </w:r>
          </w:p>
        </w:tc>
        <w:tc>
          <w:tcPr>
            <w:tcW w:w="1620" w:type="dxa"/>
            <w:vAlign w:val="center"/>
          </w:tcPr>
          <w:p w:rsidR="00B10F73" w:rsidRDefault="00914739">
            <w:pPr>
              <w:jc w:val="right"/>
            </w:pPr>
            <w:r>
              <w:rPr>
                <w:sz w:val="24"/>
              </w:rPr>
              <w:t>2.61</w:t>
            </w:r>
          </w:p>
        </w:tc>
      </w:tr>
      <w:tr w:rsidR="00B10F73">
        <w:tc>
          <w:tcPr>
            <w:tcW w:w="869" w:type="dxa"/>
            <w:vAlign w:val="center"/>
          </w:tcPr>
          <w:p w:rsidR="00B10F73" w:rsidRDefault="00914739">
            <w:pPr>
              <w:jc w:val="center"/>
            </w:pPr>
            <w:r>
              <w:rPr>
                <w:sz w:val="24"/>
              </w:rPr>
              <w:t>23</w:t>
            </w:r>
          </w:p>
        </w:tc>
        <w:tc>
          <w:tcPr>
            <w:tcW w:w="1650" w:type="dxa"/>
            <w:vAlign w:val="center"/>
          </w:tcPr>
          <w:p w:rsidR="00B10F73" w:rsidRDefault="00914739">
            <w:pPr>
              <w:jc w:val="center"/>
            </w:pPr>
            <w:r>
              <w:rPr>
                <w:sz w:val="24"/>
              </w:rPr>
              <w:t>002322</w:t>
            </w:r>
          </w:p>
        </w:tc>
        <w:tc>
          <w:tcPr>
            <w:tcW w:w="1980" w:type="dxa"/>
            <w:vAlign w:val="center"/>
          </w:tcPr>
          <w:p w:rsidR="00B10F73" w:rsidRDefault="00914739">
            <w:pPr>
              <w:jc w:val="center"/>
            </w:pPr>
            <w:r>
              <w:rPr>
                <w:sz w:val="24"/>
              </w:rPr>
              <w:t>理工环科</w:t>
            </w:r>
          </w:p>
        </w:tc>
        <w:tc>
          <w:tcPr>
            <w:tcW w:w="2879" w:type="dxa"/>
            <w:vAlign w:val="center"/>
          </w:tcPr>
          <w:p w:rsidR="00B10F73" w:rsidRDefault="00914739">
            <w:pPr>
              <w:jc w:val="right"/>
            </w:pPr>
            <w:r>
              <w:rPr>
                <w:sz w:val="24"/>
              </w:rPr>
              <w:t>16,198,767.25</w:t>
            </w:r>
          </w:p>
        </w:tc>
        <w:tc>
          <w:tcPr>
            <w:tcW w:w="1620" w:type="dxa"/>
            <w:vAlign w:val="center"/>
          </w:tcPr>
          <w:p w:rsidR="00B10F73" w:rsidRDefault="00914739">
            <w:pPr>
              <w:jc w:val="right"/>
            </w:pPr>
            <w:r>
              <w:rPr>
                <w:sz w:val="24"/>
              </w:rPr>
              <w:t>2.48</w:t>
            </w:r>
          </w:p>
        </w:tc>
      </w:tr>
      <w:tr w:rsidR="00B10F73">
        <w:tc>
          <w:tcPr>
            <w:tcW w:w="869" w:type="dxa"/>
            <w:vAlign w:val="center"/>
          </w:tcPr>
          <w:p w:rsidR="00B10F73" w:rsidRDefault="00914739">
            <w:pPr>
              <w:jc w:val="center"/>
            </w:pPr>
            <w:r>
              <w:rPr>
                <w:sz w:val="24"/>
              </w:rPr>
              <w:t>24</w:t>
            </w:r>
          </w:p>
        </w:tc>
        <w:tc>
          <w:tcPr>
            <w:tcW w:w="1650" w:type="dxa"/>
            <w:vAlign w:val="center"/>
          </w:tcPr>
          <w:p w:rsidR="00B10F73" w:rsidRDefault="00914739">
            <w:pPr>
              <w:jc w:val="center"/>
            </w:pPr>
            <w:r>
              <w:rPr>
                <w:sz w:val="24"/>
              </w:rPr>
              <w:t>600516</w:t>
            </w:r>
          </w:p>
        </w:tc>
        <w:tc>
          <w:tcPr>
            <w:tcW w:w="1980" w:type="dxa"/>
            <w:vAlign w:val="center"/>
          </w:tcPr>
          <w:p w:rsidR="00B10F73" w:rsidRDefault="00914739">
            <w:pPr>
              <w:jc w:val="center"/>
            </w:pPr>
            <w:r>
              <w:rPr>
                <w:sz w:val="24"/>
              </w:rPr>
              <w:t>方大</w:t>
            </w:r>
            <w:proofErr w:type="gramStart"/>
            <w:r>
              <w:rPr>
                <w:sz w:val="24"/>
              </w:rPr>
              <w:t>炭素</w:t>
            </w:r>
            <w:proofErr w:type="gramEnd"/>
          </w:p>
        </w:tc>
        <w:tc>
          <w:tcPr>
            <w:tcW w:w="2879" w:type="dxa"/>
            <w:vAlign w:val="center"/>
          </w:tcPr>
          <w:p w:rsidR="00B10F73" w:rsidRDefault="00914739">
            <w:pPr>
              <w:jc w:val="right"/>
            </w:pPr>
            <w:r>
              <w:rPr>
                <w:sz w:val="24"/>
              </w:rPr>
              <w:t>15,920,963.44</w:t>
            </w:r>
          </w:p>
        </w:tc>
        <w:tc>
          <w:tcPr>
            <w:tcW w:w="1620" w:type="dxa"/>
            <w:vAlign w:val="center"/>
          </w:tcPr>
          <w:p w:rsidR="00B10F73" w:rsidRDefault="00914739">
            <w:pPr>
              <w:jc w:val="right"/>
            </w:pPr>
            <w:r>
              <w:rPr>
                <w:sz w:val="24"/>
              </w:rPr>
              <w:t>2.44</w:t>
            </w:r>
          </w:p>
        </w:tc>
      </w:tr>
      <w:tr w:rsidR="00B10F73">
        <w:tc>
          <w:tcPr>
            <w:tcW w:w="869" w:type="dxa"/>
            <w:vAlign w:val="center"/>
          </w:tcPr>
          <w:p w:rsidR="00B10F73" w:rsidRDefault="00914739">
            <w:pPr>
              <w:jc w:val="center"/>
            </w:pPr>
            <w:r>
              <w:rPr>
                <w:sz w:val="24"/>
              </w:rPr>
              <w:t>25</w:t>
            </w:r>
          </w:p>
        </w:tc>
        <w:tc>
          <w:tcPr>
            <w:tcW w:w="1650" w:type="dxa"/>
            <w:vAlign w:val="center"/>
          </w:tcPr>
          <w:p w:rsidR="00B10F73" w:rsidRDefault="00914739">
            <w:pPr>
              <w:jc w:val="center"/>
            </w:pPr>
            <w:r>
              <w:rPr>
                <w:sz w:val="24"/>
              </w:rPr>
              <w:t>000417</w:t>
            </w:r>
          </w:p>
        </w:tc>
        <w:tc>
          <w:tcPr>
            <w:tcW w:w="1980" w:type="dxa"/>
            <w:vAlign w:val="center"/>
          </w:tcPr>
          <w:p w:rsidR="00B10F73" w:rsidRDefault="00914739">
            <w:pPr>
              <w:jc w:val="center"/>
            </w:pPr>
            <w:r>
              <w:rPr>
                <w:sz w:val="24"/>
              </w:rPr>
              <w:t>合肥百货</w:t>
            </w:r>
          </w:p>
        </w:tc>
        <w:tc>
          <w:tcPr>
            <w:tcW w:w="2879" w:type="dxa"/>
            <w:vAlign w:val="center"/>
          </w:tcPr>
          <w:p w:rsidR="00B10F73" w:rsidRDefault="00914739">
            <w:pPr>
              <w:jc w:val="right"/>
            </w:pPr>
            <w:r>
              <w:rPr>
                <w:sz w:val="24"/>
              </w:rPr>
              <w:t>15,708,396.58</w:t>
            </w:r>
          </w:p>
        </w:tc>
        <w:tc>
          <w:tcPr>
            <w:tcW w:w="1620" w:type="dxa"/>
            <w:vAlign w:val="center"/>
          </w:tcPr>
          <w:p w:rsidR="00B10F73" w:rsidRDefault="00914739">
            <w:pPr>
              <w:jc w:val="right"/>
            </w:pPr>
            <w:r>
              <w:rPr>
                <w:sz w:val="24"/>
              </w:rPr>
              <w:t>2.40</w:t>
            </w:r>
          </w:p>
        </w:tc>
      </w:tr>
      <w:tr w:rsidR="00B10F73">
        <w:tc>
          <w:tcPr>
            <w:tcW w:w="869" w:type="dxa"/>
            <w:vAlign w:val="center"/>
          </w:tcPr>
          <w:p w:rsidR="00B10F73" w:rsidRDefault="00914739">
            <w:pPr>
              <w:jc w:val="center"/>
            </w:pPr>
            <w:r>
              <w:rPr>
                <w:sz w:val="24"/>
              </w:rPr>
              <w:t>26</w:t>
            </w:r>
          </w:p>
        </w:tc>
        <w:tc>
          <w:tcPr>
            <w:tcW w:w="1650" w:type="dxa"/>
            <w:vAlign w:val="center"/>
          </w:tcPr>
          <w:p w:rsidR="00B10F73" w:rsidRDefault="00914739">
            <w:pPr>
              <w:jc w:val="center"/>
            </w:pPr>
            <w:r>
              <w:rPr>
                <w:sz w:val="24"/>
              </w:rPr>
              <w:t>600803</w:t>
            </w:r>
          </w:p>
        </w:tc>
        <w:tc>
          <w:tcPr>
            <w:tcW w:w="1980" w:type="dxa"/>
            <w:vAlign w:val="center"/>
          </w:tcPr>
          <w:p w:rsidR="00B10F73" w:rsidRDefault="00914739">
            <w:pPr>
              <w:jc w:val="center"/>
            </w:pPr>
            <w:r>
              <w:rPr>
                <w:sz w:val="24"/>
              </w:rPr>
              <w:t>新</w:t>
            </w:r>
            <w:proofErr w:type="gramStart"/>
            <w:r>
              <w:rPr>
                <w:sz w:val="24"/>
              </w:rPr>
              <w:t>奥股份</w:t>
            </w:r>
            <w:proofErr w:type="gramEnd"/>
          </w:p>
        </w:tc>
        <w:tc>
          <w:tcPr>
            <w:tcW w:w="2879" w:type="dxa"/>
            <w:vAlign w:val="center"/>
          </w:tcPr>
          <w:p w:rsidR="00B10F73" w:rsidRDefault="00914739">
            <w:pPr>
              <w:jc w:val="right"/>
            </w:pPr>
            <w:r>
              <w:rPr>
                <w:sz w:val="24"/>
              </w:rPr>
              <w:t>15,657,108.00</w:t>
            </w:r>
          </w:p>
        </w:tc>
        <w:tc>
          <w:tcPr>
            <w:tcW w:w="1620" w:type="dxa"/>
            <w:vAlign w:val="center"/>
          </w:tcPr>
          <w:p w:rsidR="00B10F73" w:rsidRDefault="00914739">
            <w:pPr>
              <w:jc w:val="right"/>
            </w:pPr>
            <w:r>
              <w:rPr>
                <w:sz w:val="24"/>
              </w:rPr>
              <w:t>2.40</w:t>
            </w:r>
          </w:p>
        </w:tc>
      </w:tr>
      <w:tr w:rsidR="00B10F73">
        <w:tc>
          <w:tcPr>
            <w:tcW w:w="869" w:type="dxa"/>
            <w:vAlign w:val="center"/>
          </w:tcPr>
          <w:p w:rsidR="00B10F73" w:rsidRDefault="00914739">
            <w:pPr>
              <w:jc w:val="center"/>
            </w:pPr>
            <w:r>
              <w:rPr>
                <w:sz w:val="24"/>
              </w:rPr>
              <w:t>27</w:t>
            </w:r>
          </w:p>
        </w:tc>
        <w:tc>
          <w:tcPr>
            <w:tcW w:w="1650" w:type="dxa"/>
            <w:vAlign w:val="center"/>
          </w:tcPr>
          <w:p w:rsidR="00B10F73" w:rsidRDefault="00914739">
            <w:pPr>
              <w:jc w:val="center"/>
            </w:pPr>
            <w:r>
              <w:rPr>
                <w:sz w:val="24"/>
              </w:rPr>
              <w:t>300271</w:t>
            </w:r>
          </w:p>
        </w:tc>
        <w:tc>
          <w:tcPr>
            <w:tcW w:w="1980" w:type="dxa"/>
            <w:vAlign w:val="center"/>
          </w:tcPr>
          <w:p w:rsidR="00B10F73" w:rsidRDefault="00914739">
            <w:pPr>
              <w:jc w:val="center"/>
            </w:pPr>
            <w:r>
              <w:rPr>
                <w:sz w:val="24"/>
              </w:rPr>
              <w:t>华</w:t>
            </w:r>
            <w:proofErr w:type="gramStart"/>
            <w:r>
              <w:rPr>
                <w:sz w:val="24"/>
              </w:rPr>
              <w:t>宇软件</w:t>
            </w:r>
            <w:proofErr w:type="gramEnd"/>
          </w:p>
        </w:tc>
        <w:tc>
          <w:tcPr>
            <w:tcW w:w="2879" w:type="dxa"/>
            <w:vAlign w:val="center"/>
          </w:tcPr>
          <w:p w:rsidR="00B10F73" w:rsidRDefault="00914739">
            <w:pPr>
              <w:jc w:val="right"/>
            </w:pPr>
            <w:r>
              <w:rPr>
                <w:sz w:val="24"/>
              </w:rPr>
              <w:t>15,303,828.99</w:t>
            </w:r>
          </w:p>
        </w:tc>
        <w:tc>
          <w:tcPr>
            <w:tcW w:w="1620" w:type="dxa"/>
            <w:vAlign w:val="center"/>
          </w:tcPr>
          <w:p w:rsidR="00B10F73" w:rsidRDefault="00914739">
            <w:pPr>
              <w:jc w:val="right"/>
            </w:pPr>
            <w:r>
              <w:rPr>
                <w:sz w:val="24"/>
              </w:rPr>
              <w:t>2.34</w:t>
            </w:r>
          </w:p>
        </w:tc>
      </w:tr>
      <w:tr w:rsidR="00B10F73">
        <w:tc>
          <w:tcPr>
            <w:tcW w:w="869" w:type="dxa"/>
            <w:vAlign w:val="center"/>
          </w:tcPr>
          <w:p w:rsidR="00B10F73" w:rsidRDefault="00914739">
            <w:pPr>
              <w:jc w:val="center"/>
            </w:pPr>
            <w:r>
              <w:rPr>
                <w:sz w:val="24"/>
              </w:rPr>
              <w:t>28</w:t>
            </w:r>
          </w:p>
        </w:tc>
        <w:tc>
          <w:tcPr>
            <w:tcW w:w="1650" w:type="dxa"/>
            <w:vAlign w:val="center"/>
          </w:tcPr>
          <w:p w:rsidR="00B10F73" w:rsidRDefault="00914739">
            <w:pPr>
              <w:jc w:val="center"/>
            </w:pPr>
            <w:r>
              <w:rPr>
                <w:sz w:val="24"/>
              </w:rPr>
              <w:t>600036</w:t>
            </w:r>
          </w:p>
        </w:tc>
        <w:tc>
          <w:tcPr>
            <w:tcW w:w="1980" w:type="dxa"/>
            <w:vAlign w:val="center"/>
          </w:tcPr>
          <w:p w:rsidR="00B10F73" w:rsidRDefault="00914739">
            <w:pPr>
              <w:jc w:val="center"/>
            </w:pPr>
            <w:r>
              <w:rPr>
                <w:sz w:val="24"/>
              </w:rPr>
              <w:t>招商银行</w:t>
            </w:r>
          </w:p>
        </w:tc>
        <w:tc>
          <w:tcPr>
            <w:tcW w:w="2879" w:type="dxa"/>
            <w:vAlign w:val="center"/>
          </w:tcPr>
          <w:p w:rsidR="00B10F73" w:rsidRDefault="00914739">
            <w:pPr>
              <w:jc w:val="right"/>
            </w:pPr>
            <w:r>
              <w:rPr>
                <w:sz w:val="24"/>
              </w:rPr>
              <w:t>15,244,811.26</w:t>
            </w:r>
          </w:p>
        </w:tc>
        <w:tc>
          <w:tcPr>
            <w:tcW w:w="1620" w:type="dxa"/>
            <w:vAlign w:val="center"/>
          </w:tcPr>
          <w:p w:rsidR="00B10F73" w:rsidRDefault="00914739">
            <w:pPr>
              <w:jc w:val="right"/>
            </w:pPr>
            <w:r>
              <w:rPr>
                <w:sz w:val="24"/>
              </w:rPr>
              <w:t>2.33</w:t>
            </w:r>
          </w:p>
        </w:tc>
      </w:tr>
      <w:tr w:rsidR="00B10F73">
        <w:tc>
          <w:tcPr>
            <w:tcW w:w="869" w:type="dxa"/>
            <w:vAlign w:val="center"/>
          </w:tcPr>
          <w:p w:rsidR="00B10F73" w:rsidRDefault="00914739">
            <w:pPr>
              <w:jc w:val="center"/>
            </w:pPr>
            <w:r>
              <w:rPr>
                <w:sz w:val="24"/>
              </w:rPr>
              <w:t>29</w:t>
            </w:r>
          </w:p>
        </w:tc>
        <w:tc>
          <w:tcPr>
            <w:tcW w:w="1650" w:type="dxa"/>
            <w:vAlign w:val="center"/>
          </w:tcPr>
          <w:p w:rsidR="00B10F73" w:rsidRDefault="00914739">
            <w:pPr>
              <w:jc w:val="center"/>
            </w:pPr>
            <w:r>
              <w:rPr>
                <w:sz w:val="24"/>
              </w:rPr>
              <w:t>002185</w:t>
            </w:r>
          </w:p>
        </w:tc>
        <w:tc>
          <w:tcPr>
            <w:tcW w:w="1980" w:type="dxa"/>
            <w:vAlign w:val="center"/>
          </w:tcPr>
          <w:p w:rsidR="00B10F73" w:rsidRDefault="00914739">
            <w:pPr>
              <w:jc w:val="center"/>
            </w:pPr>
            <w:r>
              <w:rPr>
                <w:sz w:val="24"/>
              </w:rPr>
              <w:t>华天科技</w:t>
            </w:r>
          </w:p>
        </w:tc>
        <w:tc>
          <w:tcPr>
            <w:tcW w:w="2879" w:type="dxa"/>
            <w:vAlign w:val="center"/>
          </w:tcPr>
          <w:p w:rsidR="00B10F73" w:rsidRDefault="00914739">
            <w:pPr>
              <w:jc w:val="right"/>
            </w:pPr>
            <w:r>
              <w:rPr>
                <w:sz w:val="24"/>
              </w:rPr>
              <w:t>14,442,782.74</w:t>
            </w:r>
          </w:p>
        </w:tc>
        <w:tc>
          <w:tcPr>
            <w:tcW w:w="1620" w:type="dxa"/>
            <w:vAlign w:val="center"/>
          </w:tcPr>
          <w:p w:rsidR="00B10F73" w:rsidRDefault="00914739">
            <w:pPr>
              <w:jc w:val="right"/>
            </w:pPr>
            <w:r>
              <w:rPr>
                <w:sz w:val="24"/>
              </w:rPr>
              <w:t>2.21</w:t>
            </w:r>
          </w:p>
        </w:tc>
      </w:tr>
      <w:tr w:rsidR="00B10F73">
        <w:tc>
          <w:tcPr>
            <w:tcW w:w="869" w:type="dxa"/>
            <w:vAlign w:val="center"/>
          </w:tcPr>
          <w:p w:rsidR="00B10F73" w:rsidRDefault="00914739">
            <w:pPr>
              <w:jc w:val="center"/>
            </w:pPr>
            <w:r>
              <w:rPr>
                <w:sz w:val="24"/>
              </w:rPr>
              <w:t>30</w:t>
            </w:r>
          </w:p>
        </w:tc>
        <w:tc>
          <w:tcPr>
            <w:tcW w:w="1650" w:type="dxa"/>
            <w:vAlign w:val="center"/>
          </w:tcPr>
          <w:p w:rsidR="00B10F73" w:rsidRDefault="00914739">
            <w:pPr>
              <w:jc w:val="center"/>
            </w:pPr>
            <w:r>
              <w:rPr>
                <w:sz w:val="24"/>
              </w:rPr>
              <w:t>601777</w:t>
            </w:r>
          </w:p>
        </w:tc>
        <w:tc>
          <w:tcPr>
            <w:tcW w:w="1980" w:type="dxa"/>
            <w:vAlign w:val="center"/>
          </w:tcPr>
          <w:p w:rsidR="00B10F73" w:rsidRDefault="00914739">
            <w:pPr>
              <w:jc w:val="center"/>
            </w:pPr>
            <w:r>
              <w:rPr>
                <w:sz w:val="24"/>
              </w:rPr>
              <w:t>力</w:t>
            </w:r>
            <w:proofErr w:type="gramStart"/>
            <w:r>
              <w:rPr>
                <w:sz w:val="24"/>
              </w:rPr>
              <w:t>帆股份</w:t>
            </w:r>
            <w:proofErr w:type="gramEnd"/>
          </w:p>
        </w:tc>
        <w:tc>
          <w:tcPr>
            <w:tcW w:w="2879" w:type="dxa"/>
            <w:vAlign w:val="center"/>
          </w:tcPr>
          <w:p w:rsidR="00B10F73" w:rsidRDefault="00914739">
            <w:pPr>
              <w:jc w:val="right"/>
            </w:pPr>
            <w:r>
              <w:rPr>
                <w:sz w:val="24"/>
              </w:rPr>
              <w:t>14,377,486.00</w:t>
            </w:r>
          </w:p>
        </w:tc>
        <w:tc>
          <w:tcPr>
            <w:tcW w:w="1620" w:type="dxa"/>
            <w:vAlign w:val="center"/>
          </w:tcPr>
          <w:p w:rsidR="00B10F73" w:rsidRDefault="00914739">
            <w:pPr>
              <w:jc w:val="right"/>
            </w:pPr>
            <w:r>
              <w:rPr>
                <w:sz w:val="24"/>
              </w:rPr>
              <w:t>2.20</w:t>
            </w:r>
          </w:p>
        </w:tc>
      </w:tr>
      <w:tr w:rsidR="00B10F73">
        <w:tc>
          <w:tcPr>
            <w:tcW w:w="869" w:type="dxa"/>
            <w:vAlign w:val="center"/>
          </w:tcPr>
          <w:p w:rsidR="00B10F73" w:rsidRDefault="00914739">
            <w:pPr>
              <w:jc w:val="center"/>
            </w:pPr>
            <w:r>
              <w:rPr>
                <w:sz w:val="24"/>
              </w:rPr>
              <w:t>31</w:t>
            </w:r>
          </w:p>
        </w:tc>
        <w:tc>
          <w:tcPr>
            <w:tcW w:w="1650" w:type="dxa"/>
            <w:vAlign w:val="center"/>
          </w:tcPr>
          <w:p w:rsidR="00B10F73" w:rsidRDefault="00914739">
            <w:pPr>
              <w:jc w:val="center"/>
            </w:pPr>
            <w:r>
              <w:rPr>
                <w:sz w:val="24"/>
              </w:rPr>
              <w:t>002668</w:t>
            </w:r>
          </w:p>
        </w:tc>
        <w:tc>
          <w:tcPr>
            <w:tcW w:w="1980" w:type="dxa"/>
            <w:vAlign w:val="center"/>
          </w:tcPr>
          <w:p w:rsidR="00B10F73" w:rsidRDefault="00914739">
            <w:pPr>
              <w:jc w:val="center"/>
            </w:pPr>
            <w:r>
              <w:rPr>
                <w:sz w:val="24"/>
              </w:rPr>
              <w:t>奥马电器</w:t>
            </w:r>
          </w:p>
        </w:tc>
        <w:tc>
          <w:tcPr>
            <w:tcW w:w="2879" w:type="dxa"/>
            <w:vAlign w:val="center"/>
          </w:tcPr>
          <w:p w:rsidR="00B10F73" w:rsidRDefault="00914739">
            <w:pPr>
              <w:jc w:val="right"/>
            </w:pPr>
            <w:r>
              <w:rPr>
                <w:sz w:val="24"/>
              </w:rPr>
              <w:t>13,722,444.37</w:t>
            </w:r>
          </w:p>
        </w:tc>
        <w:tc>
          <w:tcPr>
            <w:tcW w:w="1620" w:type="dxa"/>
            <w:vAlign w:val="center"/>
          </w:tcPr>
          <w:p w:rsidR="00B10F73" w:rsidRDefault="00914739">
            <w:pPr>
              <w:jc w:val="right"/>
            </w:pPr>
            <w:r>
              <w:rPr>
                <w:sz w:val="24"/>
              </w:rPr>
              <w:t>2.10</w:t>
            </w:r>
          </w:p>
        </w:tc>
      </w:tr>
      <w:tr w:rsidR="00B10F73">
        <w:tc>
          <w:tcPr>
            <w:tcW w:w="869" w:type="dxa"/>
            <w:vAlign w:val="center"/>
          </w:tcPr>
          <w:p w:rsidR="00B10F73" w:rsidRDefault="00914739">
            <w:pPr>
              <w:jc w:val="center"/>
            </w:pPr>
            <w:r>
              <w:rPr>
                <w:sz w:val="24"/>
              </w:rPr>
              <w:t>32</w:t>
            </w:r>
          </w:p>
        </w:tc>
        <w:tc>
          <w:tcPr>
            <w:tcW w:w="1650" w:type="dxa"/>
            <w:vAlign w:val="center"/>
          </w:tcPr>
          <w:p w:rsidR="00B10F73" w:rsidRDefault="00914739">
            <w:pPr>
              <w:jc w:val="center"/>
            </w:pPr>
            <w:r>
              <w:rPr>
                <w:sz w:val="24"/>
              </w:rPr>
              <w:t>002502</w:t>
            </w:r>
          </w:p>
        </w:tc>
        <w:tc>
          <w:tcPr>
            <w:tcW w:w="1980" w:type="dxa"/>
            <w:vAlign w:val="center"/>
          </w:tcPr>
          <w:p w:rsidR="00B10F73" w:rsidRDefault="00914739">
            <w:pPr>
              <w:jc w:val="center"/>
            </w:pPr>
            <w:proofErr w:type="gramStart"/>
            <w:r>
              <w:rPr>
                <w:sz w:val="24"/>
              </w:rPr>
              <w:t>骅威文化</w:t>
            </w:r>
            <w:proofErr w:type="gramEnd"/>
          </w:p>
        </w:tc>
        <w:tc>
          <w:tcPr>
            <w:tcW w:w="2879" w:type="dxa"/>
            <w:vAlign w:val="center"/>
          </w:tcPr>
          <w:p w:rsidR="00B10F73" w:rsidRDefault="00914739">
            <w:pPr>
              <w:jc w:val="right"/>
            </w:pPr>
            <w:r>
              <w:rPr>
                <w:sz w:val="24"/>
              </w:rPr>
              <w:t>13,509,506.00</w:t>
            </w:r>
          </w:p>
        </w:tc>
        <w:tc>
          <w:tcPr>
            <w:tcW w:w="1620" w:type="dxa"/>
            <w:vAlign w:val="center"/>
          </w:tcPr>
          <w:p w:rsidR="00B10F73" w:rsidRDefault="00914739">
            <w:pPr>
              <w:jc w:val="right"/>
            </w:pPr>
            <w:r>
              <w:rPr>
                <w:sz w:val="24"/>
              </w:rPr>
              <w:t>2.07</w:t>
            </w:r>
          </w:p>
        </w:tc>
      </w:tr>
      <w:tr w:rsidR="00B10F73">
        <w:tc>
          <w:tcPr>
            <w:tcW w:w="869" w:type="dxa"/>
            <w:vAlign w:val="center"/>
          </w:tcPr>
          <w:p w:rsidR="00B10F73" w:rsidRDefault="00914739">
            <w:pPr>
              <w:jc w:val="center"/>
            </w:pPr>
            <w:r>
              <w:rPr>
                <w:sz w:val="24"/>
              </w:rPr>
              <w:t>33</w:t>
            </w:r>
          </w:p>
        </w:tc>
        <w:tc>
          <w:tcPr>
            <w:tcW w:w="1650" w:type="dxa"/>
            <w:vAlign w:val="center"/>
          </w:tcPr>
          <w:p w:rsidR="00B10F73" w:rsidRDefault="00914739">
            <w:pPr>
              <w:jc w:val="center"/>
            </w:pPr>
            <w:r>
              <w:rPr>
                <w:sz w:val="24"/>
              </w:rPr>
              <w:t>002273</w:t>
            </w:r>
          </w:p>
        </w:tc>
        <w:tc>
          <w:tcPr>
            <w:tcW w:w="1980" w:type="dxa"/>
            <w:vAlign w:val="center"/>
          </w:tcPr>
          <w:p w:rsidR="00B10F73" w:rsidRDefault="00914739">
            <w:pPr>
              <w:jc w:val="center"/>
            </w:pPr>
            <w:r>
              <w:rPr>
                <w:sz w:val="24"/>
              </w:rPr>
              <w:t>水晶光电</w:t>
            </w:r>
          </w:p>
        </w:tc>
        <w:tc>
          <w:tcPr>
            <w:tcW w:w="2879" w:type="dxa"/>
            <w:vAlign w:val="center"/>
          </w:tcPr>
          <w:p w:rsidR="00B10F73" w:rsidRDefault="00914739">
            <w:pPr>
              <w:jc w:val="right"/>
            </w:pPr>
            <w:r>
              <w:rPr>
                <w:sz w:val="24"/>
              </w:rPr>
              <w:t>13,333,420.42</w:t>
            </w:r>
          </w:p>
        </w:tc>
        <w:tc>
          <w:tcPr>
            <w:tcW w:w="1620" w:type="dxa"/>
            <w:vAlign w:val="center"/>
          </w:tcPr>
          <w:p w:rsidR="00B10F73" w:rsidRDefault="00914739">
            <w:pPr>
              <w:jc w:val="right"/>
            </w:pPr>
            <w:r>
              <w:rPr>
                <w:sz w:val="24"/>
              </w:rPr>
              <w:t>2.04</w:t>
            </w:r>
          </w:p>
        </w:tc>
      </w:tr>
      <w:tr w:rsidR="00B10F73">
        <w:tc>
          <w:tcPr>
            <w:tcW w:w="869" w:type="dxa"/>
            <w:vAlign w:val="center"/>
          </w:tcPr>
          <w:p w:rsidR="00B10F73" w:rsidRDefault="00914739">
            <w:pPr>
              <w:jc w:val="center"/>
            </w:pPr>
            <w:r>
              <w:rPr>
                <w:sz w:val="24"/>
              </w:rPr>
              <w:t>34</w:t>
            </w:r>
          </w:p>
        </w:tc>
        <w:tc>
          <w:tcPr>
            <w:tcW w:w="1650" w:type="dxa"/>
            <w:vAlign w:val="center"/>
          </w:tcPr>
          <w:p w:rsidR="00B10F73" w:rsidRDefault="00914739">
            <w:pPr>
              <w:jc w:val="center"/>
            </w:pPr>
            <w:r>
              <w:rPr>
                <w:sz w:val="24"/>
              </w:rPr>
              <w:t>300180</w:t>
            </w:r>
          </w:p>
        </w:tc>
        <w:tc>
          <w:tcPr>
            <w:tcW w:w="1980" w:type="dxa"/>
            <w:vAlign w:val="center"/>
          </w:tcPr>
          <w:p w:rsidR="00B10F73" w:rsidRDefault="00914739">
            <w:pPr>
              <w:jc w:val="center"/>
            </w:pPr>
            <w:r>
              <w:rPr>
                <w:sz w:val="24"/>
              </w:rPr>
              <w:t>华峰超</w:t>
            </w:r>
            <w:proofErr w:type="gramStart"/>
            <w:r>
              <w:rPr>
                <w:sz w:val="24"/>
              </w:rPr>
              <w:t>纤</w:t>
            </w:r>
            <w:proofErr w:type="gramEnd"/>
          </w:p>
        </w:tc>
        <w:tc>
          <w:tcPr>
            <w:tcW w:w="2879" w:type="dxa"/>
            <w:vAlign w:val="center"/>
          </w:tcPr>
          <w:p w:rsidR="00B10F73" w:rsidRDefault="00914739">
            <w:pPr>
              <w:jc w:val="right"/>
            </w:pPr>
            <w:r>
              <w:rPr>
                <w:sz w:val="24"/>
              </w:rPr>
              <w:t>13,202,029.00</w:t>
            </w:r>
          </w:p>
        </w:tc>
        <w:tc>
          <w:tcPr>
            <w:tcW w:w="1620" w:type="dxa"/>
            <w:vAlign w:val="center"/>
          </w:tcPr>
          <w:p w:rsidR="00B10F73" w:rsidRDefault="00914739">
            <w:pPr>
              <w:jc w:val="right"/>
            </w:pPr>
            <w:r>
              <w:rPr>
                <w:sz w:val="24"/>
              </w:rPr>
              <w:t>2.02</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累计卖出金额超出期</w:t>
      </w:r>
      <w:proofErr w:type="gramStart"/>
      <w:r w:rsidRPr="005C672D">
        <w:rPr>
          <w:b/>
          <w:bCs/>
          <w:color w:val="000000"/>
          <w:sz w:val="24"/>
        </w:rPr>
        <w:t>初基金</w:t>
      </w:r>
      <w:proofErr w:type="gramEnd"/>
      <w:r w:rsidRPr="005C672D">
        <w:rPr>
          <w:b/>
          <w:bCs/>
          <w:color w:val="000000"/>
          <w:sz w:val="24"/>
        </w:rPr>
        <w:t>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EE028A" w:rsidTr="00EA03D3">
        <w:tc>
          <w:tcPr>
            <w:tcW w:w="870" w:type="dxa"/>
            <w:vAlign w:val="center"/>
          </w:tcPr>
          <w:p w:rsidR="001548F9" w:rsidRPr="00EE028A" w:rsidRDefault="001548F9" w:rsidP="00AC6DDA">
            <w:pPr>
              <w:spacing w:before="29" w:line="288" w:lineRule="auto"/>
              <w:jc w:val="center"/>
              <w:rPr>
                <w:color w:val="000000"/>
                <w:sz w:val="24"/>
              </w:rPr>
            </w:pPr>
            <w:bookmarkStart w:id="61" w:name="_GoBack"/>
            <w:r w:rsidRPr="00EE028A">
              <w:rPr>
                <w:color w:val="000000"/>
                <w:sz w:val="24"/>
              </w:rPr>
              <w:t>序号</w:t>
            </w:r>
          </w:p>
        </w:tc>
        <w:tc>
          <w:tcPr>
            <w:tcW w:w="1650" w:type="dxa"/>
            <w:vAlign w:val="center"/>
          </w:tcPr>
          <w:p w:rsidR="001548F9" w:rsidRPr="00EE028A" w:rsidRDefault="001548F9" w:rsidP="00AC6DDA">
            <w:pPr>
              <w:spacing w:before="29" w:line="288" w:lineRule="auto"/>
              <w:jc w:val="center"/>
              <w:rPr>
                <w:color w:val="000000"/>
                <w:sz w:val="24"/>
              </w:rPr>
            </w:pPr>
            <w:r w:rsidRPr="00EE028A">
              <w:rPr>
                <w:color w:val="000000"/>
                <w:sz w:val="24"/>
              </w:rPr>
              <w:t>股票代码</w:t>
            </w:r>
          </w:p>
        </w:tc>
        <w:tc>
          <w:tcPr>
            <w:tcW w:w="1980" w:type="dxa"/>
            <w:vAlign w:val="center"/>
          </w:tcPr>
          <w:p w:rsidR="001548F9" w:rsidRPr="00EE028A" w:rsidRDefault="001548F9" w:rsidP="00AC6DDA">
            <w:pPr>
              <w:spacing w:before="29" w:line="288" w:lineRule="auto"/>
              <w:jc w:val="center"/>
              <w:rPr>
                <w:color w:val="000000"/>
                <w:sz w:val="24"/>
              </w:rPr>
            </w:pPr>
            <w:r w:rsidRPr="00EE028A">
              <w:rPr>
                <w:color w:val="000000"/>
                <w:sz w:val="24"/>
              </w:rPr>
              <w:t>股票名称</w:t>
            </w:r>
          </w:p>
        </w:tc>
        <w:tc>
          <w:tcPr>
            <w:tcW w:w="2880" w:type="dxa"/>
            <w:vAlign w:val="center"/>
          </w:tcPr>
          <w:p w:rsidR="001548F9" w:rsidRPr="00EE028A" w:rsidRDefault="001548F9" w:rsidP="00AC6DDA">
            <w:pPr>
              <w:spacing w:before="29" w:line="288" w:lineRule="auto"/>
              <w:jc w:val="center"/>
              <w:rPr>
                <w:color w:val="000000"/>
                <w:sz w:val="24"/>
              </w:rPr>
            </w:pPr>
            <w:r w:rsidRPr="00EE028A">
              <w:rPr>
                <w:color w:val="000000"/>
                <w:sz w:val="24"/>
              </w:rPr>
              <w:t>本期累计卖出金额</w:t>
            </w:r>
          </w:p>
        </w:tc>
        <w:tc>
          <w:tcPr>
            <w:tcW w:w="1620" w:type="dxa"/>
            <w:vAlign w:val="center"/>
          </w:tcPr>
          <w:p w:rsidR="001548F9" w:rsidRPr="00EE028A" w:rsidRDefault="001548F9" w:rsidP="00AC6DDA">
            <w:pPr>
              <w:spacing w:before="29" w:line="288" w:lineRule="auto"/>
              <w:jc w:val="center"/>
              <w:rPr>
                <w:color w:val="000000"/>
                <w:sz w:val="24"/>
              </w:rPr>
            </w:pPr>
            <w:r w:rsidRPr="00EE028A">
              <w:rPr>
                <w:color w:val="000000"/>
                <w:sz w:val="24"/>
              </w:rPr>
              <w:t>占期</w:t>
            </w:r>
            <w:proofErr w:type="gramStart"/>
            <w:r w:rsidRPr="00EE028A">
              <w:rPr>
                <w:color w:val="000000"/>
                <w:sz w:val="24"/>
              </w:rPr>
              <w:t>初基金</w:t>
            </w:r>
            <w:proofErr w:type="gramEnd"/>
            <w:r w:rsidRPr="00EE028A">
              <w:rPr>
                <w:color w:val="000000"/>
                <w:sz w:val="24"/>
              </w:rPr>
              <w:t>资产净值比例（％）</w:t>
            </w:r>
          </w:p>
        </w:tc>
      </w:tr>
      <w:tr w:rsidR="00B10F73" w:rsidRPr="00EE028A">
        <w:tc>
          <w:tcPr>
            <w:tcW w:w="869" w:type="dxa"/>
            <w:vAlign w:val="center"/>
          </w:tcPr>
          <w:p w:rsidR="00B10F73" w:rsidRPr="00EE028A" w:rsidRDefault="00914739">
            <w:pPr>
              <w:jc w:val="center"/>
              <w:rPr>
                <w:sz w:val="24"/>
              </w:rPr>
            </w:pPr>
            <w:r w:rsidRPr="00EE028A">
              <w:rPr>
                <w:sz w:val="24"/>
              </w:rPr>
              <w:t>1</w:t>
            </w:r>
          </w:p>
        </w:tc>
        <w:tc>
          <w:tcPr>
            <w:tcW w:w="1650" w:type="dxa"/>
            <w:vAlign w:val="center"/>
          </w:tcPr>
          <w:p w:rsidR="00B10F73" w:rsidRPr="00EE028A" w:rsidRDefault="00914739">
            <w:pPr>
              <w:jc w:val="center"/>
              <w:rPr>
                <w:sz w:val="24"/>
              </w:rPr>
            </w:pPr>
            <w:r w:rsidRPr="00EE028A">
              <w:rPr>
                <w:sz w:val="24"/>
              </w:rPr>
              <w:t>002120</w:t>
            </w:r>
          </w:p>
        </w:tc>
        <w:tc>
          <w:tcPr>
            <w:tcW w:w="1980" w:type="dxa"/>
            <w:vAlign w:val="center"/>
          </w:tcPr>
          <w:p w:rsidR="00B10F73" w:rsidRPr="00EE028A" w:rsidRDefault="00914739">
            <w:pPr>
              <w:jc w:val="center"/>
              <w:rPr>
                <w:sz w:val="24"/>
              </w:rPr>
            </w:pPr>
            <w:proofErr w:type="gramStart"/>
            <w:r w:rsidRPr="00EE028A">
              <w:rPr>
                <w:sz w:val="24"/>
              </w:rPr>
              <w:t>韵达股份</w:t>
            </w:r>
            <w:proofErr w:type="gramEnd"/>
          </w:p>
        </w:tc>
        <w:tc>
          <w:tcPr>
            <w:tcW w:w="2879" w:type="dxa"/>
            <w:vAlign w:val="center"/>
          </w:tcPr>
          <w:p w:rsidR="00B10F73" w:rsidRPr="00EE028A" w:rsidRDefault="00914739">
            <w:pPr>
              <w:jc w:val="right"/>
              <w:rPr>
                <w:sz w:val="24"/>
              </w:rPr>
            </w:pPr>
            <w:r w:rsidRPr="00EE028A">
              <w:rPr>
                <w:sz w:val="24"/>
              </w:rPr>
              <w:t>93,017,303.86</w:t>
            </w:r>
          </w:p>
        </w:tc>
        <w:tc>
          <w:tcPr>
            <w:tcW w:w="1620" w:type="dxa"/>
            <w:vAlign w:val="center"/>
          </w:tcPr>
          <w:p w:rsidR="00B10F73" w:rsidRPr="00EE028A" w:rsidRDefault="00914739">
            <w:pPr>
              <w:jc w:val="right"/>
              <w:rPr>
                <w:sz w:val="24"/>
              </w:rPr>
            </w:pPr>
            <w:r w:rsidRPr="00EE028A">
              <w:rPr>
                <w:sz w:val="24"/>
              </w:rPr>
              <w:t>14.23</w:t>
            </w:r>
          </w:p>
        </w:tc>
      </w:tr>
      <w:tr w:rsidR="00B10F73" w:rsidRPr="00EE028A">
        <w:tc>
          <w:tcPr>
            <w:tcW w:w="869" w:type="dxa"/>
            <w:vAlign w:val="center"/>
          </w:tcPr>
          <w:p w:rsidR="00B10F73" w:rsidRPr="00EE028A" w:rsidRDefault="00914739">
            <w:pPr>
              <w:jc w:val="center"/>
              <w:rPr>
                <w:sz w:val="24"/>
              </w:rPr>
            </w:pPr>
            <w:r w:rsidRPr="00EE028A">
              <w:rPr>
                <w:sz w:val="24"/>
              </w:rPr>
              <w:t>2</w:t>
            </w:r>
          </w:p>
        </w:tc>
        <w:tc>
          <w:tcPr>
            <w:tcW w:w="1650" w:type="dxa"/>
            <w:vAlign w:val="center"/>
          </w:tcPr>
          <w:p w:rsidR="00B10F73" w:rsidRPr="00EE028A" w:rsidRDefault="00914739">
            <w:pPr>
              <w:jc w:val="center"/>
              <w:rPr>
                <w:sz w:val="24"/>
              </w:rPr>
            </w:pPr>
            <w:r w:rsidRPr="00EE028A">
              <w:rPr>
                <w:sz w:val="24"/>
              </w:rPr>
              <w:t>002468</w:t>
            </w:r>
          </w:p>
        </w:tc>
        <w:tc>
          <w:tcPr>
            <w:tcW w:w="1980" w:type="dxa"/>
            <w:vAlign w:val="center"/>
          </w:tcPr>
          <w:p w:rsidR="00B10F73" w:rsidRPr="00EE028A" w:rsidRDefault="00914739">
            <w:pPr>
              <w:jc w:val="center"/>
              <w:rPr>
                <w:sz w:val="24"/>
              </w:rPr>
            </w:pPr>
            <w:r w:rsidRPr="00EE028A">
              <w:rPr>
                <w:sz w:val="24"/>
              </w:rPr>
              <w:t>申通快递</w:t>
            </w:r>
          </w:p>
        </w:tc>
        <w:tc>
          <w:tcPr>
            <w:tcW w:w="2879" w:type="dxa"/>
            <w:vAlign w:val="center"/>
          </w:tcPr>
          <w:p w:rsidR="00B10F73" w:rsidRPr="00EE028A" w:rsidRDefault="00914739">
            <w:pPr>
              <w:jc w:val="right"/>
              <w:rPr>
                <w:sz w:val="24"/>
              </w:rPr>
            </w:pPr>
            <w:r w:rsidRPr="00EE028A">
              <w:rPr>
                <w:sz w:val="24"/>
              </w:rPr>
              <w:t>91,268,539.39</w:t>
            </w:r>
          </w:p>
        </w:tc>
        <w:tc>
          <w:tcPr>
            <w:tcW w:w="1620" w:type="dxa"/>
            <w:vAlign w:val="center"/>
          </w:tcPr>
          <w:p w:rsidR="00B10F73" w:rsidRPr="00EE028A" w:rsidRDefault="00914739">
            <w:pPr>
              <w:jc w:val="right"/>
              <w:rPr>
                <w:sz w:val="24"/>
              </w:rPr>
            </w:pPr>
            <w:r w:rsidRPr="00EE028A">
              <w:rPr>
                <w:sz w:val="24"/>
              </w:rPr>
              <w:t>13.96</w:t>
            </w:r>
          </w:p>
        </w:tc>
      </w:tr>
      <w:tr w:rsidR="00B10F73" w:rsidRPr="00EE028A">
        <w:tc>
          <w:tcPr>
            <w:tcW w:w="869" w:type="dxa"/>
            <w:vAlign w:val="center"/>
          </w:tcPr>
          <w:p w:rsidR="00B10F73" w:rsidRPr="00EE028A" w:rsidRDefault="00914739">
            <w:pPr>
              <w:jc w:val="center"/>
              <w:rPr>
                <w:sz w:val="24"/>
              </w:rPr>
            </w:pPr>
            <w:r w:rsidRPr="00EE028A">
              <w:rPr>
                <w:sz w:val="24"/>
              </w:rPr>
              <w:t>3</w:t>
            </w:r>
          </w:p>
        </w:tc>
        <w:tc>
          <w:tcPr>
            <w:tcW w:w="1650" w:type="dxa"/>
            <w:vAlign w:val="center"/>
          </w:tcPr>
          <w:p w:rsidR="00B10F73" w:rsidRPr="00EE028A" w:rsidRDefault="00914739">
            <w:pPr>
              <w:jc w:val="center"/>
              <w:rPr>
                <w:sz w:val="24"/>
              </w:rPr>
            </w:pPr>
            <w:r w:rsidRPr="00EE028A">
              <w:rPr>
                <w:sz w:val="24"/>
              </w:rPr>
              <w:t>002343</w:t>
            </w:r>
          </w:p>
        </w:tc>
        <w:tc>
          <w:tcPr>
            <w:tcW w:w="1980" w:type="dxa"/>
            <w:vAlign w:val="center"/>
          </w:tcPr>
          <w:p w:rsidR="00B10F73" w:rsidRPr="00EE028A" w:rsidRDefault="00914739">
            <w:pPr>
              <w:jc w:val="center"/>
              <w:rPr>
                <w:sz w:val="24"/>
              </w:rPr>
            </w:pPr>
            <w:proofErr w:type="gramStart"/>
            <w:r w:rsidRPr="00EE028A">
              <w:rPr>
                <w:sz w:val="24"/>
              </w:rPr>
              <w:t>慈文传媒</w:t>
            </w:r>
            <w:proofErr w:type="gramEnd"/>
          </w:p>
        </w:tc>
        <w:tc>
          <w:tcPr>
            <w:tcW w:w="2879" w:type="dxa"/>
            <w:vAlign w:val="center"/>
          </w:tcPr>
          <w:p w:rsidR="00B10F73" w:rsidRPr="00EE028A" w:rsidRDefault="00914739">
            <w:pPr>
              <w:jc w:val="right"/>
              <w:rPr>
                <w:sz w:val="24"/>
              </w:rPr>
            </w:pPr>
            <w:r w:rsidRPr="00EE028A">
              <w:rPr>
                <w:sz w:val="24"/>
              </w:rPr>
              <w:t>51,777,801.65</w:t>
            </w:r>
          </w:p>
        </w:tc>
        <w:tc>
          <w:tcPr>
            <w:tcW w:w="1620" w:type="dxa"/>
            <w:vAlign w:val="center"/>
          </w:tcPr>
          <w:p w:rsidR="00B10F73" w:rsidRPr="00EE028A" w:rsidRDefault="00914739">
            <w:pPr>
              <w:jc w:val="right"/>
              <w:rPr>
                <w:sz w:val="24"/>
              </w:rPr>
            </w:pPr>
            <w:r w:rsidRPr="00EE028A">
              <w:rPr>
                <w:sz w:val="24"/>
              </w:rPr>
              <w:t>7.92</w:t>
            </w:r>
          </w:p>
        </w:tc>
      </w:tr>
      <w:tr w:rsidR="00B10F73" w:rsidRPr="00EE028A">
        <w:tc>
          <w:tcPr>
            <w:tcW w:w="869" w:type="dxa"/>
            <w:vAlign w:val="center"/>
          </w:tcPr>
          <w:p w:rsidR="00B10F73" w:rsidRPr="00EE028A" w:rsidRDefault="00914739">
            <w:pPr>
              <w:jc w:val="center"/>
              <w:rPr>
                <w:sz w:val="24"/>
              </w:rPr>
            </w:pPr>
            <w:r w:rsidRPr="00EE028A">
              <w:rPr>
                <w:sz w:val="24"/>
              </w:rPr>
              <w:lastRenderedPageBreak/>
              <w:t>4</w:t>
            </w:r>
          </w:p>
        </w:tc>
        <w:tc>
          <w:tcPr>
            <w:tcW w:w="1650" w:type="dxa"/>
            <w:vAlign w:val="center"/>
          </w:tcPr>
          <w:p w:rsidR="00B10F73" w:rsidRPr="00EE028A" w:rsidRDefault="00914739">
            <w:pPr>
              <w:jc w:val="center"/>
              <w:rPr>
                <w:sz w:val="24"/>
              </w:rPr>
            </w:pPr>
            <w:r w:rsidRPr="00EE028A">
              <w:rPr>
                <w:sz w:val="24"/>
              </w:rPr>
              <w:t>002195</w:t>
            </w:r>
          </w:p>
        </w:tc>
        <w:tc>
          <w:tcPr>
            <w:tcW w:w="1980" w:type="dxa"/>
            <w:vAlign w:val="center"/>
          </w:tcPr>
          <w:p w:rsidR="00B10F73" w:rsidRPr="00EE028A" w:rsidRDefault="00914739">
            <w:pPr>
              <w:jc w:val="center"/>
              <w:rPr>
                <w:sz w:val="24"/>
              </w:rPr>
            </w:pPr>
            <w:r w:rsidRPr="00EE028A">
              <w:rPr>
                <w:sz w:val="24"/>
              </w:rPr>
              <w:t>二三四五</w:t>
            </w:r>
          </w:p>
        </w:tc>
        <w:tc>
          <w:tcPr>
            <w:tcW w:w="2879" w:type="dxa"/>
            <w:vAlign w:val="center"/>
          </w:tcPr>
          <w:p w:rsidR="00B10F73" w:rsidRPr="00EE028A" w:rsidRDefault="00914739">
            <w:pPr>
              <w:jc w:val="right"/>
              <w:rPr>
                <w:sz w:val="24"/>
              </w:rPr>
            </w:pPr>
            <w:r w:rsidRPr="00EE028A">
              <w:rPr>
                <w:sz w:val="24"/>
              </w:rPr>
              <w:t>46,374,009.37</w:t>
            </w:r>
          </w:p>
        </w:tc>
        <w:tc>
          <w:tcPr>
            <w:tcW w:w="1620" w:type="dxa"/>
            <w:vAlign w:val="center"/>
          </w:tcPr>
          <w:p w:rsidR="00B10F73" w:rsidRPr="00EE028A" w:rsidRDefault="00914739">
            <w:pPr>
              <w:jc w:val="right"/>
              <w:rPr>
                <w:sz w:val="24"/>
              </w:rPr>
            </w:pPr>
            <w:r w:rsidRPr="00EE028A">
              <w:rPr>
                <w:sz w:val="24"/>
              </w:rPr>
              <w:t>7.10</w:t>
            </w:r>
          </w:p>
        </w:tc>
      </w:tr>
      <w:tr w:rsidR="00B10F73" w:rsidRPr="00EE028A">
        <w:tc>
          <w:tcPr>
            <w:tcW w:w="869" w:type="dxa"/>
            <w:vAlign w:val="center"/>
          </w:tcPr>
          <w:p w:rsidR="00B10F73" w:rsidRPr="00EE028A" w:rsidRDefault="00914739">
            <w:pPr>
              <w:jc w:val="center"/>
              <w:rPr>
                <w:sz w:val="24"/>
              </w:rPr>
            </w:pPr>
            <w:r w:rsidRPr="00EE028A">
              <w:rPr>
                <w:sz w:val="24"/>
              </w:rPr>
              <w:t>5</w:t>
            </w:r>
          </w:p>
        </w:tc>
        <w:tc>
          <w:tcPr>
            <w:tcW w:w="1650" w:type="dxa"/>
            <w:vAlign w:val="center"/>
          </w:tcPr>
          <w:p w:rsidR="00B10F73" w:rsidRPr="00EE028A" w:rsidRDefault="00914739">
            <w:pPr>
              <w:jc w:val="center"/>
              <w:rPr>
                <w:sz w:val="24"/>
              </w:rPr>
            </w:pPr>
            <w:r w:rsidRPr="00EE028A">
              <w:rPr>
                <w:sz w:val="24"/>
              </w:rPr>
              <w:t>300365</w:t>
            </w:r>
          </w:p>
        </w:tc>
        <w:tc>
          <w:tcPr>
            <w:tcW w:w="1980" w:type="dxa"/>
            <w:vAlign w:val="center"/>
          </w:tcPr>
          <w:p w:rsidR="00B10F73" w:rsidRPr="00EE028A" w:rsidRDefault="00914739">
            <w:pPr>
              <w:jc w:val="center"/>
              <w:rPr>
                <w:sz w:val="24"/>
              </w:rPr>
            </w:pPr>
            <w:r w:rsidRPr="00EE028A">
              <w:rPr>
                <w:sz w:val="24"/>
              </w:rPr>
              <w:t>恒华科技</w:t>
            </w:r>
          </w:p>
        </w:tc>
        <w:tc>
          <w:tcPr>
            <w:tcW w:w="2879" w:type="dxa"/>
            <w:vAlign w:val="center"/>
          </w:tcPr>
          <w:p w:rsidR="00B10F73" w:rsidRPr="00EE028A" w:rsidRDefault="00914739">
            <w:pPr>
              <w:jc w:val="right"/>
              <w:rPr>
                <w:sz w:val="24"/>
              </w:rPr>
            </w:pPr>
            <w:r w:rsidRPr="00EE028A">
              <w:rPr>
                <w:sz w:val="24"/>
              </w:rPr>
              <w:t>39,631,587.71</w:t>
            </w:r>
          </w:p>
        </w:tc>
        <w:tc>
          <w:tcPr>
            <w:tcW w:w="1620" w:type="dxa"/>
            <w:vAlign w:val="center"/>
          </w:tcPr>
          <w:p w:rsidR="00B10F73" w:rsidRPr="00EE028A" w:rsidRDefault="00914739">
            <w:pPr>
              <w:jc w:val="right"/>
              <w:rPr>
                <w:sz w:val="24"/>
              </w:rPr>
            </w:pPr>
            <w:r w:rsidRPr="00EE028A">
              <w:rPr>
                <w:sz w:val="24"/>
              </w:rPr>
              <w:t>6.06</w:t>
            </w:r>
          </w:p>
        </w:tc>
      </w:tr>
      <w:tr w:rsidR="00B10F73" w:rsidRPr="00EE028A">
        <w:tc>
          <w:tcPr>
            <w:tcW w:w="869" w:type="dxa"/>
            <w:vAlign w:val="center"/>
          </w:tcPr>
          <w:p w:rsidR="00B10F73" w:rsidRPr="00EE028A" w:rsidRDefault="00914739">
            <w:pPr>
              <w:jc w:val="center"/>
              <w:rPr>
                <w:sz w:val="24"/>
              </w:rPr>
            </w:pPr>
            <w:r w:rsidRPr="00EE028A">
              <w:rPr>
                <w:sz w:val="24"/>
              </w:rPr>
              <w:t>6</w:t>
            </w:r>
          </w:p>
        </w:tc>
        <w:tc>
          <w:tcPr>
            <w:tcW w:w="1650" w:type="dxa"/>
            <w:vAlign w:val="center"/>
          </w:tcPr>
          <w:p w:rsidR="00B10F73" w:rsidRPr="00EE028A" w:rsidRDefault="00914739">
            <w:pPr>
              <w:jc w:val="center"/>
              <w:rPr>
                <w:sz w:val="24"/>
              </w:rPr>
            </w:pPr>
            <w:r w:rsidRPr="00EE028A">
              <w:rPr>
                <w:sz w:val="24"/>
              </w:rPr>
              <w:t>000820</w:t>
            </w:r>
          </w:p>
        </w:tc>
        <w:tc>
          <w:tcPr>
            <w:tcW w:w="1980" w:type="dxa"/>
            <w:vAlign w:val="center"/>
          </w:tcPr>
          <w:p w:rsidR="00B10F73" w:rsidRPr="00EE028A" w:rsidRDefault="00914739">
            <w:pPr>
              <w:jc w:val="center"/>
              <w:rPr>
                <w:sz w:val="24"/>
              </w:rPr>
            </w:pPr>
            <w:r w:rsidRPr="00EE028A">
              <w:rPr>
                <w:sz w:val="24"/>
              </w:rPr>
              <w:t>神雾节能</w:t>
            </w:r>
          </w:p>
        </w:tc>
        <w:tc>
          <w:tcPr>
            <w:tcW w:w="2879" w:type="dxa"/>
            <w:vAlign w:val="center"/>
          </w:tcPr>
          <w:p w:rsidR="00B10F73" w:rsidRPr="00EE028A" w:rsidRDefault="00914739">
            <w:pPr>
              <w:jc w:val="right"/>
              <w:rPr>
                <w:sz w:val="24"/>
              </w:rPr>
            </w:pPr>
            <w:r w:rsidRPr="00EE028A">
              <w:rPr>
                <w:sz w:val="24"/>
              </w:rPr>
              <w:t>37,143,887.39</w:t>
            </w:r>
          </w:p>
        </w:tc>
        <w:tc>
          <w:tcPr>
            <w:tcW w:w="1620" w:type="dxa"/>
            <w:vAlign w:val="center"/>
          </w:tcPr>
          <w:p w:rsidR="00B10F73" w:rsidRPr="00EE028A" w:rsidRDefault="00914739">
            <w:pPr>
              <w:jc w:val="right"/>
              <w:rPr>
                <w:sz w:val="24"/>
              </w:rPr>
            </w:pPr>
            <w:r w:rsidRPr="00EE028A">
              <w:rPr>
                <w:sz w:val="24"/>
              </w:rPr>
              <w:t>5.68</w:t>
            </w:r>
          </w:p>
        </w:tc>
      </w:tr>
      <w:tr w:rsidR="00B10F73" w:rsidRPr="00EE028A">
        <w:tc>
          <w:tcPr>
            <w:tcW w:w="869" w:type="dxa"/>
            <w:vAlign w:val="center"/>
          </w:tcPr>
          <w:p w:rsidR="00B10F73" w:rsidRPr="00EE028A" w:rsidRDefault="00914739">
            <w:pPr>
              <w:jc w:val="center"/>
              <w:rPr>
                <w:sz w:val="24"/>
              </w:rPr>
            </w:pPr>
            <w:r w:rsidRPr="00EE028A">
              <w:rPr>
                <w:sz w:val="24"/>
              </w:rPr>
              <w:t>7</w:t>
            </w:r>
          </w:p>
        </w:tc>
        <w:tc>
          <w:tcPr>
            <w:tcW w:w="1650" w:type="dxa"/>
            <w:vAlign w:val="center"/>
          </w:tcPr>
          <w:p w:rsidR="00B10F73" w:rsidRPr="00EE028A" w:rsidRDefault="00914739">
            <w:pPr>
              <w:jc w:val="center"/>
              <w:rPr>
                <w:sz w:val="24"/>
              </w:rPr>
            </w:pPr>
            <w:r w:rsidRPr="00EE028A">
              <w:rPr>
                <w:sz w:val="24"/>
              </w:rPr>
              <w:t>000858</w:t>
            </w:r>
          </w:p>
        </w:tc>
        <w:tc>
          <w:tcPr>
            <w:tcW w:w="1980" w:type="dxa"/>
            <w:vAlign w:val="center"/>
          </w:tcPr>
          <w:p w:rsidR="00B10F73" w:rsidRPr="00EE028A" w:rsidRDefault="00914739">
            <w:pPr>
              <w:jc w:val="center"/>
              <w:rPr>
                <w:sz w:val="24"/>
              </w:rPr>
            </w:pPr>
            <w:r w:rsidRPr="00EE028A">
              <w:rPr>
                <w:sz w:val="24"/>
              </w:rPr>
              <w:t>五</w:t>
            </w:r>
            <w:r w:rsidRPr="00EE028A">
              <w:rPr>
                <w:sz w:val="24"/>
              </w:rPr>
              <w:t xml:space="preserve"> </w:t>
            </w:r>
            <w:r w:rsidRPr="00EE028A">
              <w:rPr>
                <w:sz w:val="24"/>
              </w:rPr>
              <w:t>粮</w:t>
            </w:r>
            <w:r w:rsidRPr="00EE028A">
              <w:rPr>
                <w:sz w:val="24"/>
              </w:rPr>
              <w:t xml:space="preserve"> </w:t>
            </w:r>
            <w:r w:rsidRPr="00EE028A">
              <w:rPr>
                <w:sz w:val="24"/>
              </w:rPr>
              <w:t>液</w:t>
            </w:r>
          </w:p>
        </w:tc>
        <w:tc>
          <w:tcPr>
            <w:tcW w:w="2879" w:type="dxa"/>
            <w:vAlign w:val="center"/>
          </w:tcPr>
          <w:p w:rsidR="00B10F73" w:rsidRPr="00EE028A" w:rsidRDefault="00914739">
            <w:pPr>
              <w:jc w:val="right"/>
              <w:rPr>
                <w:sz w:val="24"/>
              </w:rPr>
            </w:pPr>
            <w:r w:rsidRPr="00EE028A">
              <w:rPr>
                <w:sz w:val="24"/>
              </w:rPr>
              <w:t>35,052,534.34</w:t>
            </w:r>
          </w:p>
        </w:tc>
        <w:tc>
          <w:tcPr>
            <w:tcW w:w="1620" w:type="dxa"/>
            <w:vAlign w:val="center"/>
          </w:tcPr>
          <w:p w:rsidR="00B10F73" w:rsidRPr="00EE028A" w:rsidRDefault="00914739">
            <w:pPr>
              <w:jc w:val="right"/>
              <w:rPr>
                <w:sz w:val="24"/>
              </w:rPr>
            </w:pPr>
            <w:r w:rsidRPr="00EE028A">
              <w:rPr>
                <w:sz w:val="24"/>
              </w:rPr>
              <w:t>5.36</w:t>
            </w:r>
          </w:p>
        </w:tc>
      </w:tr>
      <w:tr w:rsidR="00B10F73" w:rsidRPr="00EE028A">
        <w:tc>
          <w:tcPr>
            <w:tcW w:w="869" w:type="dxa"/>
            <w:vAlign w:val="center"/>
          </w:tcPr>
          <w:p w:rsidR="00B10F73" w:rsidRPr="00EE028A" w:rsidRDefault="00914739">
            <w:pPr>
              <w:jc w:val="center"/>
              <w:rPr>
                <w:sz w:val="24"/>
              </w:rPr>
            </w:pPr>
            <w:r w:rsidRPr="00EE028A">
              <w:rPr>
                <w:sz w:val="24"/>
              </w:rPr>
              <w:t>8</w:t>
            </w:r>
          </w:p>
        </w:tc>
        <w:tc>
          <w:tcPr>
            <w:tcW w:w="1650" w:type="dxa"/>
            <w:vAlign w:val="center"/>
          </w:tcPr>
          <w:p w:rsidR="00B10F73" w:rsidRPr="00EE028A" w:rsidRDefault="00914739">
            <w:pPr>
              <w:jc w:val="center"/>
              <w:rPr>
                <w:sz w:val="24"/>
              </w:rPr>
            </w:pPr>
            <w:r w:rsidRPr="00EE028A">
              <w:rPr>
                <w:sz w:val="24"/>
              </w:rPr>
              <w:t>002460</w:t>
            </w:r>
          </w:p>
        </w:tc>
        <w:tc>
          <w:tcPr>
            <w:tcW w:w="1980" w:type="dxa"/>
            <w:vAlign w:val="center"/>
          </w:tcPr>
          <w:p w:rsidR="00B10F73" w:rsidRPr="00EE028A" w:rsidRDefault="00914739">
            <w:pPr>
              <w:jc w:val="center"/>
              <w:rPr>
                <w:sz w:val="24"/>
              </w:rPr>
            </w:pPr>
            <w:proofErr w:type="gramStart"/>
            <w:r w:rsidRPr="00EE028A">
              <w:rPr>
                <w:sz w:val="24"/>
              </w:rPr>
              <w:t>赣锋锂</w:t>
            </w:r>
            <w:proofErr w:type="gramEnd"/>
            <w:r w:rsidRPr="00EE028A">
              <w:rPr>
                <w:sz w:val="24"/>
              </w:rPr>
              <w:t>业</w:t>
            </w:r>
          </w:p>
        </w:tc>
        <w:tc>
          <w:tcPr>
            <w:tcW w:w="2879" w:type="dxa"/>
            <w:vAlign w:val="center"/>
          </w:tcPr>
          <w:p w:rsidR="00B10F73" w:rsidRPr="00EE028A" w:rsidRDefault="00914739">
            <w:pPr>
              <w:jc w:val="right"/>
              <w:rPr>
                <w:sz w:val="24"/>
              </w:rPr>
            </w:pPr>
            <w:r w:rsidRPr="00EE028A">
              <w:rPr>
                <w:sz w:val="24"/>
              </w:rPr>
              <w:t>31,629,986.89</w:t>
            </w:r>
          </w:p>
        </w:tc>
        <w:tc>
          <w:tcPr>
            <w:tcW w:w="1620" w:type="dxa"/>
            <w:vAlign w:val="center"/>
          </w:tcPr>
          <w:p w:rsidR="00B10F73" w:rsidRPr="00EE028A" w:rsidRDefault="00914739">
            <w:pPr>
              <w:jc w:val="right"/>
              <w:rPr>
                <w:sz w:val="24"/>
              </w:rPr>
            </w:pPr>
            <w:r w:rsidRPr="00EE028A">
              <w:rPr>
                <w:sz w:val="24"/>
              </w:rPr>
              <w:t>4.84</w:t>
            </w:r>
          </w:p>
        </w:tc>
      </w:tr>
      <w:tr w:rsidR="00B10F73" w:rsidRPr="00EE028A">
        <w:tc>
          <w:tcPr>
            <w:tcW w:w="869" w:type="dxa"/>
            <w:vAlign w:val="center"/>
          </w:tcPr>
          <w:p w:rsidR="00B10F73" w:rsidRPr="00EE028A" w:rsidRDefault="00914739">
            <w:pPr>
              <w:jc w:val="center"/>
              <w:rPr>
                <w:sz w:val="24"/>
              </w:rPr>
            </w:pPr>
            <w:r w:rsidRPr="00EE028A">
              <w:rPr>
                <w:sz w:val="24"/>
              </w:rPr>
              <w:t>9</w:t>
            </w:r>
          </w:p>
        </w:tc>
        <w:tc>
          <w:tcPr>
            <w:tcW w:w="1650" w:type="dxa"/>
            <w:vAlign w:val="center"/>
          </w:tcPr>
          <w:p w:rsidR="00B10F73" w:rsidRPr="00EE028A" w:rsidRDefault="00914739">
            <w:pPr>
              <w:jc w:val="center"/>
              <w:rPr>
                <w:sz w:val="24"/>
              </w:rPr>
            </w:pPr>
            <w:r w:rsidRPr="00EE028A">
              <w:rPr>
                <w:sz w:val="24"/>
              </w:rPr>
              <w:t>002027</w:t>
            </w:r>
          </w:p>
        </w:tc>
        <w:tc>
          <w:tcPr>
            <w:tcW w:w="1980" w:type="dxa"/>
            <w:vAlign w:val="center"/>
          </w:tcPr>
          <w:p w:rsidR="00B10F73" w:rsidRPr="00EE028A" w:rsidRDefault="00914739">
            <w:pPr>
              <w:jc w:val="center"/>
              <w:rPr>
                <w:sz w:val="24"/>
              </w:rPr>
            </w:pPr>
            <w:r w:rsidRPr="00EE028A">
              <w:rPr>
                <w:sz w:val="24"/>
              </w:rPr>
              <w:t>分众传媒</w:t>
            </w:r>
          </w:p>
        </w:tc>
        <w:tc>
          <w:tcPr>
            <w:tcW w:w="2879" w:type="dxa"/>
            <w:vAlign w:val="center"/>
          </w:tcPr>
          <w:p w:rsidR="00B10F73" w:rsidRPr="00EE028A" w:rsidRDefault="00914739">
            <w:pPr>
              <w:jc w:val="right"/>
              <w:rPr>
                <w:sz w:val="24"/>
              </w:rPr>
            </w:pPr>
            <w:r w:rsidRPr="00EE028A">
              <w:rPr>
                <w:sz w:val="24"/>
              </w:rPr>
              <w:t>31,537,821.10</w:t>
            </w:r>
          </w:p>
        </w:tc>
        <w:tc>
          <w:tcPr>
            <w:tcW w:w="1620" w:type="dxa"/>
            <w:vAlign w:val="center"/>
          </w:tcPr>
          <w:p w:rsidR="00B10F73" w:rsidRPr="00EE028A" w:rsidRDefault="00914739">
            <w:pPr>
              <w:jc w:val="right"/>
              <w:rPr>
                <w:sz w:val="24"/>
              </w:rPr>
            </w:pPr>
            <w:r w:rsidRPr="00EE028A">
              <w:rPr>
                <w:sz w:val="24"/>
              </w:rPr>
              <w:t>4.83</w:t>
            </w:r>
          </w:p>
        </w:tc>
      </w:tr>
      <w:tr w:rsidR="00B10F73" w:rsidRPr="00EE028A">
        <w:tc>
          <w:tcPr>
            <w:tcW w:w="869" w:type="dxa"/>
            <w:vAlign w:val="center"/>
          </w:tcPr>
          <w:p w:rsidR="00B10F73" w:rsidRPr="00EE028A" w:rsidRDefault="00914739">
            <w:pPr>
              <w:jc w:val="center"/>
              <w:rPr>
                <w:sz w:val="24"/>
              </w:rPr>
            </w:pPr>
            <w:r w:rsidRPr="00EE028A">
              <w:rPr>
                <w:sz w:val="24"/>
              </w:rPr>
              <w:t>10</w:t>
            </w:r>
          </w:p>
        </w:tc>
        <w:tc>
          <w:tcPr>
            <w:tcW w:w="1650" w:type="dxa"/>
            <w:vAlign w:val="center"/>
          </w:tcPr>
          <w:p w:rsidR="00B10F73" w:rsidRPr="00EE028A" w:rsidRDefault="00914739">
            <w:pPr>
              <w:jc w:val="center"/>
              <w:rPr>
                <w:sz w:val="24"/>
              </w:rPr>
            </w:pPr>
            <w:r w:rsidRPr="00EE028A">
              <w:rPr>
                <w:sz w:val="24"/>
              </w:rPr>
              <w:t>002281</w:t>
            </w:r>
          </w:p>
        </w:tc>
        <w:tc>
          <w:tcPr>
            <w:tcW w:w="1980" w:type="dxa"/>
            <w:vAlign w:val="center"/>
          </w:tcPr>
          <w:p w:rsidR="00B10F73" w:rsidRPr="00EE028A" w:rsidRDefault="00914739">
            <w:pPr>
              <w:jc w:val="center"/>
              <w:rPr>
                <w:sz w:val="24"/>
              </w:rPr>
            </w:pPr>
            <w:proofErr w:type="gramStart"/>
            <w:r w:rsidRPr="00EE028A">
              <w:rPr>
                <w:sz w:val="24"/>
              </w:rPr>
              <w:t>光迅科技</w:t>
            </w:r>
            <w:proofErr w:type="gramEnd"/>
          </w:p>
        </w:tc>
        <w:tc>
          <w:tcPr>
            <w:tcW w:w="2879" w:type="dxa"/>
            <w:vAlign w:val="center"/>
          </w:tcPr>
          <w:p w:rsidR="00B10F73" w:rsidRPr="00EE028A" w:rsidRDefault="00914739">
            <w:pPr>
              <w:jc w:val="right"/>
              <w:rPr>
                <w:sz w:val="24"/>
              </w:rPr>
            </w:pPr>
            <w:r w:rsidRPr="00EE028A">
              <w:rPr>
                <w:sz w:val="24"/>
              </w:rPr>
              <w:t>27,513,880.27</w:t>
            </w:r>
          </w:p>
        </w:tc>
        <w:tc>
          <w:tcPr>
            <w:tcW w:w="1620" w:type="dxa"/>
            <w:vAlign w:val="center"/>
          </w:tcPr>
          <w:p w:rsidR="00B10F73" w:rsidRPr="00EE028A" w:rsidRDefault="00914739">
            <w:pPr>
              <w:jc w:val="right"/>
              <w:rPr>
                <w:sz w:val="24"/>
              </w:rPr>
            </w:pPr>
            <w:r w:rsidRPr="00EE028A">
              <w:rPr>
                <w:sz w:val="24"/>
              </w:rPr>
              <w:t>4.21</w:t>
            </w:r>
          </w:p>
        </w:tc>
      </w:tr>
      <w:tr w:rsidR="00B10F73" w:rsidRPr="00EE028A">
        <w:tc>
          <w:tcPr>
            <w:tcW w:w="869" w:type="dxa"/>
            <w:vAlign w:val="center"/>
          </w:tcPr>
          <w:p w:rsidR="00B10F73" w:rsidRPr="00EE028A" w:rsidRDefault="00914739">
            <w:pPr>
              <w:jc w:val="center"/>
              <w:rPr>
                <w:sz w:val="24"/>
              </w:rPr>
            </w:pPr>
            <w:r w:rsidRPr="00EE028A">
              <w:rPr>
                <w:sz w:val="24"/>
              </w:rPr>
              <w:t>11</w:t>
            </w:r>
          </w:p>
        </w:tc>
        <w:tc>
          <w:tcPr>
            <w:tcW w:w="1650" w:type="dxa"/>
            <w:vAlign w:val="center"/>
          </w:tcPr>
          <w:p w:rsidR="00B10F73" w:rsidRPr="00EE028A" w:rsidRDefault="00914739">
            <w:pPr>
              <w:jc w:val="center"/>
              <w:rPr>
                <w:sz w:val="24"/>
              </w:rPr>
            </w:pPr>
            <w:r w:rsidRPr="00EE028A">
              <w:rPr>
                <w:sz w:val="24"/>
              </w:rPr>
              <w:t>000915</w:t>
            </w:r>
          </w:p>
        </w:tc>
        <w:tc>
          <w:tcPr>
            <w:tcW w:w="1980" w:type="dxa"/>
            <w:vAlign w:val="center"/>
          </w:tcPr>
          <w:p w:rsidR="00B10F73" w:rsidRPr="00EE028A" w:rsidRDefault="00914739">
            <w:pPr>
              <w:jc w:val="center"/>
              <w:rPr>
                <w:sz w:val="24"/>
              </w:rPr>
            </w:pPr>
            <w:r w:rsidRPr="00EE028A">
              <w:rPr>
                <w:sz w:val="24"/>
              </w:rPr>
              <w:t>山大华特</w:t>
            </w:r>
          </w:p>
        </w:tc>
        <w:tc>
          <w:tcPr>
            <w:tcW w:w="2879" w:type="dxa"/>
            <w:vAlign w:val="center"/>
          </w:tcPr>
          <w:p w:rsidR="00B10F73" w:rsidRPr="00EE028A" w:rsidRDefault="00914739">
            <w:pPr>
              <w:jc w:val="right"/>
              <w:rPr>
                <w:sz w:val="24"/>
              </w:rPr>
            </w:pPr>
            <w:r w:rsidRPr="00EE028A">
              <w:rPr>
                <w:sz w:val="24"/>
              </w:rPr>
              <w:t>27,089,096.04</w:t>
            </w:r>
          </w:p>
        </w:tc>
        <w:tc>
          <w:tcPr>
            <w:tcW w:w="1620" w:type="dxa"/>
            <w:vAlign w:val="center"/>
          </w:tcPr>
          <w:p w:rsidR="00B10F73" w:rsidRPr="00EE028A" w:rsidRDefault="00914739">
            <w:pPr>
              <w:jc w:val="right"/>
              <w:rPr>
                <w:sz w:val="24"/>
              </w:rPr>
            </w:pPr>
            <w:r w:rsidRPr="00EE028A">
              <w:rPr>
                <w:sz w:val="24"/>
              </w:rPr>
              <w:t>4.14</w:t>
            </w:r>
          </w:p>
        </w:tc>
      </w:tr>
      <w:tr w:rsidR="00B10F73" w:rsidRPr="00EE028A">
        <w:tc>
          <w:tcPr>
            <w:tcW w:w="869" w:type="dxa"/>
            <w:vAlign w:val="center"/>
          </w:tcPr>
          <w:p w:rsidR="00B10F73" w:rsidRPr="00EE028A" w:rsidRDefault="00914739">
            <w:pPr>
              <w:jc w:val="center"/>
              <w:rPr>
                <w:sz w:val="24"/>
              </w:rPr>
            </w:pPr>
            <w:r w:rsidRPr="00EE028A">
              <w:rPr>
                <w:sz w:val="24"/>
              </w:rPr>
              <w:t>12</w:t>
            </w:r>
          </w:p>
        </w:tc>
        <w:tc>
          <w:tcPr>
            <w:tcW w:w="1650" w:type="dxa"/>
            <w:vAlign w:val="center"/>
          </w:tcPr>
          <w:p w:rsidR="00B10F73" w:rsidRPr="00EE028A" w:rsidRDefault="00914739">
            <w:pPr>
              <w:jc w:val="center"/>
              <w:rPr>
                <w:sz w:val="24"/>
              </w:rPr>
            </w:pPr>
            <w:r w:rsidRPr="00EE028A">
              <w:rPr>
                <w:sz w:val="24"/>
              </w:rPr>
              <w:t>600967</w:t>
            </w:r>
          </w:p>
        </w:tc>
        <w:tc>
          <w:tcPr>
            <w:tcW w:w="1980" w:type="dxa"/>
            <w:vAlign w:val="center"/>
          </w:tcPr>
          <w:p w:rsidR="00B10F73" w:rsidRPr="00EE028A" w:rsidRDefault="00914739">
            <w:pPr>
              <w:jc w:val="center"/>
              <w:rPr>
                <w:sz w:val="24"/>
              </w:rPr>
            </w:pPr>
            <w:r w:rsidRPr="00EE028A">
              <w:rPr>
                <w:sz w:val="24"/>
              </w:rPr>
              <w:t>内蒙</w:t>
            </w:r>
            <w:proofErr w:type="gramStart"/>
            <w:r w:rsidRPr="00EE028A">
              <w:rPr>
                <w:sz w:val="24"/>
              </w:rPr>
              <w:t>一</w:t>
            </w:r>
            <w:proofErr w:type="gramEnd"/>
            <w:r w:rsidRPr="00EE028A">
              <w:rPr>
                <w:sz w:val="24"/>
              </w:rPr>
              <w:t>机</w:t>
            </w:r>
          </w:p>
        </w:tc>
        <w:tc>
          <w:tcPr>
            <w:tcW w:w="2879" w:type="dxa"/>
            <w:vAlign w:val="center"/>
          </w:tcPr>
          <w:p w:rsidR="00B10F73" w:rsidRPr="00EE028A" w:rsidRDefault="00914739">
            <w:pPr>
              <w:jc w:val="right"/>
              <w:rPr>
                <w:sz w:val="24"/>
              </w:rPr>
            </w:pPr>
            <w:r w:rsidRPr="00EE028A">
              <w:rPr>
                <w:sz w:val="24"/>
              </w:rPr>
              <w:t>26,255,467.33</w:t>
            </w:r>
          </w:p>
        </w:tc>
        <w:tc>
          <w:tcPr>
            <w:tcW w:w="1620" w:type="dxa"/>
            <w:vAlign w:val="center"/>
          </w:tcPr>
          <w:p w:rsidR="00B10F73" w:rsidRPr="00EE028A" w:rsidRDefault="00914739">
            <w:pPr>
              <w:jc w:val="right"/>
              <w:rPr>
                <w:sz w:val="24"/>
              </w:rPr>
            </w:pPr>
            <w:r w:rsidRPr="00EE028A">
              <w:rPr>
                <w:sz w:val="24"/>
              </w:rPr>
              <w:t>4.02</w:t>
            </w:r>
          </w:p>
        </w:tc>
      </w:tr>
      <w:tr w:rsidR="00B10F73" w:rsidRPr="00EE028A">
        <w:tc>
          <w:tcPr>
            <w:tcW w:w="869" w:type="dxa"/>
            <w:vAlign w:val="center"/>
          </w:tcPr>
          <w:p w:rsidR="00B10F73" w:rsidRPr="00EE028A" w:rsidRDefault="00914739">
            <w:pPr>
              <w:jc w:val="center"/>
              <w:rPr>
                <w:sz w:val="24"/>
              </w:rPr>
            </w:pPr>
            <w:r w:rsidRPr="00EE028A">
              <w:rPr>
                <w:sz w:val="24"/>
              </w:rPr>
              <w:t>13</w:t>
            </w:r>
          </w:p>
        </w:tc>
        <w:tc>
          <w:tcPr>
            <w:tcW w:w="1650" w:type="dxa"/>
            <w:vAlign w:val="center"/>
          </w:tcPr>
          <w:p w:rsidR="00B10F73" w:rsidRPr="00EE028A" w:rsidRDefault="00914739">
            <w:pPr>
              <w:jc w:val="center"/>
              <w:rPr>
                <w:sz w:val="24"/>
              </w:rPr>
            </w:pPr>
            <w:r w:rsidRPr="00EE028A">
              <w:rPr>
                <w:sz w:val="24"/>
              </w:rPr>
              <w:t>600729</w:t>
            </w:r>
          </w:p>
        </w:tc>
        <w:tc>
          <w:tcPr>
            <w:tcW w:w="1980" w:type="dxa"/>
            <w:vAlign w:val="center"/>
          </w:tcPr>
          <w:p w:rsidR="00B10F73" w:rsidRPr="00EE028A" w:rsidRDefault="00914739">
            <w:pPr>
              <w:jc w:val="center"/>
              <w:rPr>
                <w:sz w:val="24"/>
              </w:rPr>
            </w:pPr>
            <w:r w:rsidRPr="00EE028A">
              <w:rPr>
                <w:sz w:val="24"/>
              </w:rPr>
              <w:t>重庆百货</w:t>
            </w:r>
          </w:p>
        </w:tc>
        <w:tc>
          <w:tcPr>
            <w:tcW w:w="2879" w:type="dxa"/>
            <w:vAlign w:val="center"/>
          </w:tcPr>
          <w:p w:rsidR="00B10F73" w:rsidRPr="00EE028A" w:rsidRDefault="00914739">
            <w:pPr>
              <w:jc w:val="right"/>
              <w:rPr>
                <w:sz w:val="24"/>
              </w:rPr>
            </w:pPr>
            <w:r w:rsidRPr="00EE028A">
              <w:rPr>
                <w:sz w:val="24"/>
              </w:rPr>
              <w:t>25,464,812.86</w:t>
            </w:r>
          </w:p>
        </w:tc>
        <w:tc>
          <w:tcPr>
            <w:tcW w:w="1620" w:type="dxa"/>
            <w:vAlign w:val="center"/>
          </w:tcPr>
          <w:p w:rsidR="00B10F73" w:rsidRPr="00EE028A" w:rsidRDefault="00914739">
            <w:pPr>
              <w:jc w:val="right"/>
              <w:rPr>
                <w:sz w:val="24"/>
              </w:rPr>
            </w:pPr>
            <w:r w:rsidRPr="00EE028A">
              <w:rPr>
                <w:sz w:val="24"/>
              </w:rPr>
              <w:t>3.90</w:t>
            </w:r>
          </w:p>
        </w:tc>
      </w:tr>
      <w:tr w:rsidR="00B10F73" w:rsidRPr="00EE028A">
        <w:tc>
          <w:tcPr>
            <w:tcW w:w="869" w:type="dxa"/>
            <w:vAlign w:val="center"/>
          </w:tcPr>
          <w:p w:rsidR="00B10F73" w:rsidRPr="00EE028A" w:rsidRDefault="00914739">
            <w:pPr>
              <w:jc w:val="center"/>
              <w:rPr>
                <w:sz w:val="24"/>
              </w:rPr>
            </w:pPr>
            <w:r w:rsidRPr="00EE028A">
              <w:rPr>
                <w:sz w:val="24"/>
              </w:rPr>
              <w:t>14</w:t>
            </w:r>
          </w:p>
        </w:tc>
        <w:tc>
          <w:tcPr>
            <w:tcW w:w="1650" w:type="dxa"/>
            <w:vAlign w:val="center"/>
          </w:tcPr>
          <w:p w:rsidR="00B10F73" w:rsidRPr="00EE028A" w:rsidRDefault="00914739">
            <w:pPr>
              <w:jc w:val="center"/>
              <w:rPr>
                <w:sz w:val="24"/>
              </w:rPr>
            </w:pPr>
            <w:r w:rsidRPr="00EE028A">
              <w:rPr>
                <w:sz w:val="24"/>
              </w:rPr>
              <w:t>300161</w:t>
            </w:r>
          </w:p>
        </w:tc>
        <w:tc>
          <w:tcPr>
            <w:tcW w:w="1980" w:type="dxa"/>
            <w:vAlign w:val="center"/>
          </w:tcPr>
          <w:p w:rsidR="00B10F73" w:rsidRPr="00EE028A" w:rsidRDefault="00914739">
            <w:pPr>
              <w:jc w:val="center"/>
              <w:rPr>
                <w:sz w:val="24"/>
              </w:rPr>
            </w:pPr>
            <w:r w:rsidRPr="00EE028A">
              <w:rPr>
                <w:sz w:val="24"/>
              </w:rPr>
              <w:t>华中数控</w:t>
            </w:r>
          </w:p>
        </w:tc>
        <w:tc>
          <w:tcPr>
            <w:tcW w:w="2879" w:type="dxa"/>
            <w:vAlign w:val="center"/>
          </w:tcPr>
          <w:p w:rsidR="00B10F73" w:rsidRPr="00EE028A" w:rsidRDefault="00914739">
            <w:pPr>
              <w:jc w:val="right"/>
              <w:rPr>
                <w:sz w:val="24"/>
              </w:rPr>
            </w:pPr>
            <w:r w:rsidRPr="00EE028A">
              <w:rPr>
                <w:sz w:val="24"/>
              </w:rPr>
              <w:t>22,260,338.11</w:t>
            </w:r>
          </w:p>
        </w:tc>
        <w:tc>
          <w:tcPr>
            <w:tcW w:w="1620" w:type="dxa"/>
            <w:vAlign w:val="center"/>
          </w:tcPr>
          <w:p w:rsidR="00B10F73" w:rsidRPr="00EE028A" w:rsidRDefault="00914739">
            <w:pPr>
              <w:jc w:val="right"/>
              <w:rPr>
                <w:sz w:val="24"/>
              </w:rPr>
            </w:pPr>
            <w:r w:rsidRPr="00EE028A">
              <w:rPr>
                <w:sz w:val="24"/>
              </w:rPr>
              <w:t>3.41</w:t>
            </w:r>
          </w:p>
        </w:tc>
      </w:tr>
      <w:tr w:rsidR="00B10F73" w:rsidRPr="00EE028A">
        <w:tc>
          <w:tcPr>
            <w:tcW w:w="869" w:type="dxa"/>
            <w:vAlign w:val="center"/>
          </w:tcPr>
          <w:p w:rsidR="00B10F73" w:rsidRPr="00EE028A" w:rsidRDefault="00914739">
            <w:pPr>
              <w:jc w:val="center"/>
              <w:rPr>
                <w:sz w:val="24"/>
              </w:rPr>
            </w:pPr>
            <w:r w:rsidRPr="00EE028A">
              <w:rPr>
                <w:sz w:val="24"/>
              </w:rPr>
              <w:t>15</w:t>
            </w:r>
          </w:p>
        </w:tc>
        <w:tc>
          <w:tcPr>
            <w:tcW w:w="1650" w:type="dxa"/>
            <w:vAlign w:val="center"/>
          </w:tcPr>
          <w:p w:rsidR="00B10F73" w:rsidRPr="00EE028A" w:rsidRDefault="00914739">
            <w:pPr>
              <w:jc w:val="center"/>
              <w:rPr>
                <w:sz w:val="24"/>
              </w:rPr>
            </w:pPr>
            <w:r w:rsidRPr="00EE028A">
              <w:rPr>
                <w:sz w:val="24"/>
              </w:rPr>
              <w:t>002202</w:t>
            </w:r>
          </w:p>
        </w:tc>
        <w:tc>
          <w:tcPr>
            <w:tcW w:w="1980" w:type="dxa"/>
            <w:vAlign w:val="center"/>
          </w:tcPr>
          <w:p w:rsidR="00B10F73" w:rsidRPr="00EE028A" w:rsidRDefault="00914739">
            <w:pPr>
              <w:jc w:val="center"/>
              <w:rPr>
                <w:sz w:val="24"/>
              </w:rPr>
            </w:pPr>
            <w:r w:rsidRPr="00EE028A">
              <w:rPr>
                <w:sz w:val="24"/>
              </w:rPr>
              <w:t>金风科技</w:t>
            </w:r>
          </w:p>
        </w:tc>
        <w:tc>
          <w:tcPr>
            <w:tcW w:w="2879" w:type="dxa"/>
            <w:vAlign w:val="center"/>
          </w:tcPr>
          <w:p w:rsidR="00B10F73" w:rsidRPr="00EE028A" w:rsidRDefault="00914739">
            <w:pPr>
              <w:jc w:val="right"/>
              <w:rPr>
                <w:sz w:val="24"/>
              </w:rPr>
            </w:pPr>
            <w:r w:rsidRPr="00EE028A">
              <w:rPr>
                <w:sz w:val="24"/>
              </w:rPr>
              <w:t>21,633,447.59</w:t>
            </w:r>
          </w:p>
        </w:tc>
        <w:tc>
          <w:tcPr>
            <w:tcW w:w="1620" w:type="dxa"/>
            <w:vAlign w:val="center"/>
          </w:tcPr>
          <w:p w:rsidR="00B10F73" w:rsidRPr="00EE028A" w:rsidRDefault="00914739">
            <w:pPr>
              <w:jc w:val="right"/>
              <w:rPr>
                <w:sz w:val="24"/>
              </w:rPr>
            </w:pPr>
            <w:r w:rsidRPr="00EE028A">
              <w:rPr>
                <w:sz w:val="24"/>
              </w:rPr>
              <w:t>3.31</w:t>
            </w:r>
          </w:p>
        </w:tc>
      </w:tr>
      <w:tr w:rsidR="00B10F73" w:rsidRPr="00EE028A">
        <w:tc>
          <w:tcPr>
            <w:tcW w:w="869" w:type="dxa"/>
            <w:vAlign w:val="center"/>
          </w:tcPr>
          <w:p w:rsidR="00B10F73" w:rsidRPr="00EE028A" w:rsidRDefault="00914739">
            <w:pPr>
              <w:jc w:val="center"/>
              <w:rPr>
                <w:sz w:val="24"/>
              </w:rPr>
            </w:pPr>
            <w:r w:rsidRPr="00EE028A">
              <w:rPr>
                <w:sz w:val="24"/>
              </w:rPr>
              <w:t>16</w:t>
            </w:r>
          </w:p>
        </w:tc>
        <w:tc>
          <w:tcPr>
            <w:tcW w:w="1650" w:type="dxa"/>
            <w:vAlign w:val="center"/>
          </w:tcPr>
          <w:p w:rsidR="00B10F73" w:rsidRPr="00EE028A" w:rsidRDefault="00914739">
            <w:pPr>
              <w:jc w:val="center"/>
              <w:rPr>
                <w:sz w:val="24"/>
              </w:rPr>
            </w:pPr>
            <w:r w:rsidRPr="00EE028A">
              <w:rPr>
                <w:sz w:val="24"/>
              </w:rPr>
              <w:t>002635</w:t>
            </w:r>
          </w:p>
        </w:tc>
        <w:tc>
          <w:tcPr>
            <w:tcW w:w="1980" w:type="dxa"/>
            <w:vAlign w:val="center"/>
          </w:tcPr>
          <w:p w:rsidR="00B10F73" w:rsidRPr="00EE028A" w:rsidRDefault="00914739">
            <w:pPr>
              <w:jc w:val="center"/>
              <w:rPr>
                <w:sz w:val="24"/>
              </w:rPr>
            </w:pPr>
            <w:r w:rsidRPr="00EE028A">
              <w:rPr>
                <w:sz w:val="24"/>
              </w:rPr>
              <w:t>安</w:t>
            </w:r>
            <w:proofErr w:type="gramStart"/>
            <w:r w:rsidRPr="00EE028A">
              <w:rPr>
                <w:sz w:val="24"/>
              </w:rPr>
              <w:t>洁科技</w:t>
            </w:r>
            <w:proofErr w:type="gramEnd"/>
          </w:p>
        </w:tc>
        <w:tc>
          <w:tcPr>
            <w:tcW w:w="2879" w:type="dxa"/>
            <w:vAlign w:val="center"/>
          </w:tcPr>
          <w:p w:rsidR="00B10F73" w:rsidRPr="00EE028A" w:rsidRDefault="00914739">
            <w:pPr>
              <w:jc w:val="right"/>
              <w:rPr>
                <w:sz w:val="24"/>
              </w:rPr>
            </w:pPr>
            <w:r w:rsidRPr="00EE028A">
              <w:rPr>
                <w:sz w:val="24"/>
              </w:rPr>
              <w:t>21,296,833.79</w:t>
            </w:r>
          </w:p>
        </w:tc>
        <w:tc>
          <w:tcPr>
            <w:tcW w:w="1620" w:type="dxa"/>
            <w:vAlign w:val="center"/>
          </w:tcPr>
          <w:p w:rsidR="00B10F73" w:rsidRPr="00EE028A" w:rsidRDefault="00914739">
            <w:pPr>
              <w:jc w:val="right"/>
              <w:rPr>
                <w:sz w:val="24"/>
              </w:rPr>
            </w:pPr>
            <w:r w:rsidRPr="00EE028A">
              <w:rPr>
                <w:sz w:val="24"/>
              </w:rPr>
              <w:t>3.26</w:t>
            </w:r>
          </w:p>
        </w:tc>
      </w:tr>
      <w:tr w:rsidR="00B10F73" w:rsidRPr="00EE028A">
        <w:tc>
          <w:tcPr>
            <w:tcW w:w="869" w:type="dxa"/>
            <w:vAlign w:val="center"/>
          </w:tcPr>
          <w:p w:rsidR="00B10F73" w:rsidRPr="00EE028A" w:rsidRDefault="00914739">
            <w:pPr>
              <w:jc w:val="center"/>
              <w:rPr>
                <w:sz w:val="24"/>
              </w:rPr>
            </w:pPr>
            <w:r w:rsidRPr="00EE028A">
              <w:rPr>
                <w:sz w:val="24"/>
              </w:rPr>
              <w:t>17</w:t>
            </w:r>
          </w:p>
        </w:tc>
        <w:tc>
          <w:tcPr>
            <w:tcW w:w="1650" w:type="dxa"/>
            <w:vAlign w:val="center"/>
          </w:tcPr>
          <w:p w:rsidR="00B10F73" w:rsidRPr="00EE028A" w:rsidRDefault="00914739">
            <w:pPr>
              <w:jc w:val="center"/>
              <w:rPr>
                <w:sz w:val="24"/>
              </w:rPr>
            </w:pPr>
            <w:r w:rsidRPr="00EE028A">
              <w:rPr>
                <w:sz w:val="24"/>
              </w:rPr>
              <w:t>300516</w:t>
            </w:r>
          </w:p>
        </w:tc>
        <w:tc>
          <w:tcPr>
            <w:tcW w:w="1980" w:type="dxa"/>
            <w:vAlign w:val="center"/>
          </w:tcPr>
          <w:p w:rsidR="00B10F73" w:rsidRPr="00EE028A" w:rsidRDefault="00914739">
            <w:pPr>
              <w:jc w:val="center"/>
              <w:rPr>
                <w:sz w:val="24"/>
              </w:rPr>
            </w:pPr>
            <w:r w:rsidRPr="00EE028A">
              <w:rPr>
                <w:sz w:val="24"/>
              </w:rPr>
              <w:t>久之洋</w:t>
            </w:r>
          </w:p>
        </w:tc>
        <w:tc>
          <w:tcPr>
            <w:tcW w:w="2879" w:type="dxa"/>
            <w:vAlign w:val="center"/>
          </w:tcPr>
          <w:p w:rsidR="00B10F73" w:rsidRPr="00EE028A" w:rsidRDefault="00914739">
            <w:pPr>
              <w:jc w:val="right"/>
              <w:rPr>
                <w:sz w:val="24"/>
              </w:rPr>
            </w:pPr>
            <w:r w:rsidRPr="00EE028A">
              <w:rPr>
                <w:sz w:val="24"/>
              </w:rPr>
              <w:t>21,236,676.65</w:t>
            </w:r>
          </w:p>
        </w:tc>
        <w:tc>
          <w:tcPr>
            <w:tcW w:w="1620" w:type="dxa"/>
            <w:vAlign w:val="center"/>
          </w:tcPr>
          <w:p w:rsidR="00B10F73" w:rsidRPr="00EE028A" w:rsidRDefault="00914739">
            <w:pPr>
              <w:jc w:val="right"/>
              <w:rPr>
                <w:sz w:val="24"/>
              </w:rPr>
            </w:pPr>
            <w:r w:rsidRPr="00EE028A">
              <w:rPr>
                <w:sz w:val="24"/>
              </w:rPr>
              <w:t>3.25</w:t>
            </w:r>
          </w:p>
        </w:tc>
      </w:tr>
      <w:tr w:rsidR="00B10F73" w:rsidRPr="00EE028A">
        <w:tc>
          <w:tcPr>
            <w:tcW w:w="869" w:type="dxa"/>
            <w:vAlign w:val="center"/>
          </w:tcPr>
          <w:p w:rsidR="00B10F73" w:rsidRPr="00EE028A" w:rsidRDefault="00914739">
            <w:pPr>
              <w:jc w:val="center"/>
              <w:rPr>
                <w:sz w:val="24"/>
              </w:rPr>
            </w:pPr>
            <w:r w:rsidRPr="00EE028A">
              <w:rPr>
                <w:sz w:val="24"/>
              </w:rPr>
              <w:t>18</w:t>
            </w:r>
          </w:p>
        </w:tc>
        <w:tc>
          <w:tcPr>
            <w:tcW w:w="1650" w:type="dxa"/>
            <w:vAlign w:val="center"/>
          </w:tcPr>
          <w:p w:rsidR="00B10F73" w:rsidRPr="00EE028A" w:rsidRDefault="00914739">
            <w:pPr>
              <w:jc w:val="center"/>
              <w:rPr>
                <w:sz w:val="24"/>
              </w:rPr>
            </w:pPr>
            <w:r w:rsidRPr="00EE028A">
              <w:rPr>
                <w:sz w:val="24"/>
              </w:rPr>
              <w:t>002045</w:t>
            </w:r>
          </w:p>
        </w:tc>
        <w:tc>
          <w:tcPr>
            <w:tcW w:w="1980" w:type="dxa"/>
            <w:vAlign w:val="center"/>
          </w:tcPr>
          <w:p w:rsidR="00B10F73" w:rsidRPr="00EE028A" w:rsidRDefault="00914739">
            <w:pPr>
              <w:jc w:val="center"/>
              <w:rPr>
                <w:sz w:val="24"/>
              </w:rPr>
            </w:pPr>
            <w:r w:rsidRPr="00EE028A">
              <w:rPr>
                <w:sz w:val="24"/>
              </w:rPr>
              <w:t>国光电器</w:t>
            </w:r>
          </w:p>
        </w:tc>
        <w:tc>
          <w:tcPr>
            <w:tcW w:w="2879" w:type="dxa"/>
            <w:vAlign w:val="center"/>
          </w:tcPr>
          <w:p w:rsidR="00B10F73" w:rsidRPr="00EE028A" w:rsidRDefault="00914739">
            <w:pPr>
              <w:jc w:val="right"/>
              <w:rPr>
                <w:sz w:val="24"/>
              </w:rPr>
            </w:pPr>
            <w:r w:rsidRPr="00EE028A">
              <w:rPr>
                <w:sz w:val="24"/>
              </w:rPr>
              <w:t>20,907,519.86</w:t>
            </w:r>
          </w:p>
        </w:tc>
        <w:tc>
          <w:tcPr>
            <w:tcW w:w="1620" w:type="dxa"/>
            <w:vAlign w:val="center"/>
          </w:tcPr>
          <w:p w:rsidR="00B10F73" w:rsidRPr="00EE028A" w:rsidRDefault="00914739">
            <w:pPr>
              <w:jc w:val="right"/>
              <w:rPr>
                <w:sz w:val="24"/>
              </w:rPr>
            </w:pPr>
            <w:r w:rsidRPr="00EE028A">
              <w:rPr>
                <w:sz w:val="24"/>
              </w:rPr>
              <w:t>3.20</w:t>
            </w:r>
          </w:p>
        </w:tc>
      </w:tr>
      <w:tr w:rsidR="00B10F73" w:rsidRPr="00EE028A">
        <w:tc>
          <w:tcPr>
            <w:tcW w:w="869" w:type="dxa"/>
            <w:vAlign w:val="center"/>
          </w:tcPr>
          <w:p w:rsidR="00B10F73" w:rsidRPr="00EE028A" w:rsidRDefault="00914739">
            <w:pPr>
              <w:jc w:val="center"/>
              <w:rPr>
                <w:sz w:val="24"/>
              </w:rPr>
            </w:pPr>
            <w:r w:rsidRPr="00EE028A">
              <w:rPr>
                <w:sz w:val="24"/>
              </w:rPr>
              <w:t>19</w:t>
            </w:r>
          </w:p>
        </w:tc>
        <w:tc>
          <w:tcPr>
            <w:tcW w:w="1650" w:type="dxa"/>
            <w:vAlign w:val="center"/>
          </w:tcPr>
          <w:p w:rsidR="00B10F73" w:rsidRPr="00EE028A" w:rsidRDefault="00914739">
            <w:pPr>
              <w:jc w:val="center"/>
              <w:rPr>
                <w:sz w:val="24"/>
              </w:rPr>
            </w:pPr>
            <w:r w:rsidRPr="00EE028A">
              <w:rPr>
                <w:sz w:val="24"/>
              </w:rPr>
              <w:t>600233</w:t>
            </w:r>
          </w:p>
        </w:tc>
        <w:tc>
          <w:tcPr>
            <w:tcW w:w="1980" w:type="dxa"/>
            <w:vAlign w:val="center"/>
          </w:tcPr>
          <w:p w:rsidR="00B10F73" w:rsidRPr="00EE028A" w:rsidRDefault="00914739">
            <w:pPr>
              <w:jc w:val="center"/>
              <w:rPr>
                <w:sz w:val="24"/>
              </w:rPr>
            </w:pPr>
            <w:r w:rsidRPr="00EE028A">
              <w:rPr>
                <w:sz w:val="24"/>
              </w:rPr>
              <w:t>圆通速递</w:t>
            </w:r>
          </w:p>
        </w:tc>
        <w:tc>
          <w:tcPr>
            <w:tcW w:w="2879" w:type="dxa"/>
            <w:vAlign w:val="center"/>
          </w:tcPr>
          <w:p w:rsidR="00B10F73" w:rsidRPr="00EE028A" w:rsidRDefault="00914739">
            <w:pPr>
              <w:jc w:val="right"/>
              <w:rPr>
                <w:sz w:val="24"/>
              </w:rPr>
            </w:pPr>
            <w:r w:rsidRPr="00EE028A">
              <w:rPr>
                <w:sz w:val="24"/>
              </w:rPr>
              <w:t>20,264,193.73</w:t>
            </w:r>
          </w:p>
        </w:tc>
        <w:tc>
          <w:tcPr>
            <w:tcW w:w="1620" w:type="dxa"/>
            <w:vAlign w:val="center"/>
          </w:tcPr>
          <w:p w:rsidR="00B10F73" w:rsidRPr="00EE028A" w:rsidRDefault="00914739">
            <w:pPr>
              <w:jc w:val="right"/>
              <w:rPr>
                <w:sz w:val="24"/>
              </w:rPr>
            </w:pPr>
            <w:r w:rsidRPr="00EE028A">
              <w:rPr>
                <w:sz w:val="24"/>
              </w:rPr>
              <w:t>3.10</w:t>
            </w:r>
          </w:p>
        </w:tc>
      </w:tr>
      <w:tr w:rsidR="00B10F73" w:rsidRPr="00EE028A">
        <w:tc>
          <w:tcPr>
            <w:tcW w:w="869" w:type="dxa"/>
            <w:vAlign w:val="center"/>
          </w:tcPr>
          <w:p w:rsidR="00B10F73" w:rsidRPr="00EE028A" w:rsidRDefault="00914739">
            <w:pPr>
              <w:jc w:val="center"/>
              <w:rPr>
                <w:sz w:val="24"/>
              </w:rPr>
            </w:pPr>
            <w:r w:rsidRPr="00EE028A">
              <w:rPr>
                <w:sz w:val="24"/>
              </w:rPr>
              <w:t>20</w:t>
            </w:r>
          </w:p>
        </w:tc>
        <w:tc>
          <w:tcPr>
            <w:tcW w:w="1650" w:type="dxa"/>
            <w:vAlign w:val="center"/>
          </w:tcPr>
          <w:p w:rsidR="00B10F73" w:rsidRPr="00EE028A" w:rsidRDefault="00914739">
            <w:pPr>
              <w:jc w:val="center"/>
              <w:rPr>
                <w:sz w:val="24"/>
              </w:rPr>
            </w:pPr>
            <w:r w:rsidRPr="00EE028A">
              <w:rPr>
                <w:sz w:val="24"/>
              </w:rPr>
              <w:t>600867</w:t>
            </w:r>
          </w:p>
        </w:tc>
        <w:tc>
          <w:tcPr>
            <w:tcW w:w="1980" w:type="dxa"/>
            <w:vAlign w:val="center"/>
          </w:tcPr>
          <w:p w:rsidR="00B10F73" w:rsidRPr="00EE028A" w:rsidRDefault="00914739">
            <w:pPr>
              <w:jc w:val="center"/>
              <w:rPr>
                <w:sz w:val="24"/>
              </w:rPr>
            </w:pPr>
            <w:r w:rsidRPr="00EE028A">
              <w:rPr>
                <w:sz w:val="24"/>
              </w:rPr>
              <w:t>通化东宝</w:t>
            </w:r>
          </w:p>
        </w:tc>
        <w:tc>
          <w:tcPr>
            <w:tcW w:w="2879" w:type="dxa"/>
            <w:vAlign w:val="center"/>
          </w:tcPr>
          <w:p w:rsidR="00B10F73" w:rsidRPr="00EE028A" w:rsidRDefault="00914739">
            <w:pPr>
              <w:jc w:val="right"/>
              <w:rPr>
                <w:sz w:val="24"/>
              </w:rPr>
            </w:pPr>
            <w:r w:rsidRPr="00EE028A">
              <w:rPr>
                <w:sz w:val="24"/>
              </w:rPr>
              <w:t>19,098,584.59</w:t>
            </w:r>
          </w:p>
        </w:tc>
        <w:tc>
          <w:tcPr>
            <w:tcW w:w="1620" w:type="dxa"/>
            <w:vAlign w:val="center"/>
          </w:tcPr>
          <w:p w:rsidR="00B10F73" w:rsidRPr="00EE028A" w:rsidRDefault="00914739">
            <w:pPr>
              <w:jc w:val="right"/>
              <w:rPr>
                <w:sz w:val="24"/>
              </w:rPr>
            </w:pPr>
            <w:r w:rsidRPr="00EE028A">
              <w:rPr>
                <w:sz w:val="24"/>
              </w:rPr>
              <w:t>2.92</w:t>
            </w:r>
          </w:p>
        </w:tc>
      </w:tr>
      <w:tr w:rsidR="00B10F73" w:rsidRPr="00EE028A">
        <w:tc>
          <w:tcPr>
            <w:tcW w:w="869" w:type="dxa"/>
            <w:vAlign w:val="center"/>
          </w:tcPr>
          <w:p w:rsidR="00B10F73" w:rsidRPr="00EE028A" w:rsidRDefault="00914739">
            <w:pPr>
              <w:jc w:val="center"/>
              <w:rPr>
                <w:sz w:val="24"/>
              </w:rPr>
            </w:pPr>
            <w:r w:rsidRPr="00EE028A">
              <w:rPr>
                <w:sz w:val="24"/>
              </w:rPr>
              <w:t>21</w:t>
            </w:r>
          </w:p>
        </w:tc>
        <w:tc>
          <w:tcPr>
            <w:tcW w:w="1650" w:type="dxa"/>
            <w:vAlign w:val="center"/>
          </w:tcPr>
          <w:p w:rsidR="00B10F73" w:rsidRPr="00EE028A" w:rsidRDefault="00914739">
            <w:pPr>
              <w:jc w:val="center"/>
              <w:rPr>
                <w:sz w:val="24"/>
              </w:rPr>
            </w:pPr>
            <w:r w:rsidRPr="00EE028A">
              <w:rPr>
                <w:sz w:val="24"/>
              </w:rPr>
              <w:t>300308</w:t>
            </w:r>
          </w:p>
        </w:tc>
        <w:tc>
          <w:tcPr>
            <w:tcW w:w="1980" w:type="dxa"/>
            <w:vAlign w:val="center"/>
          </w:tcPr>
          <w:p w:rsidR="00B10F73" w:rsidRPr="00EE028A" w:rsidRDefault="00914739">
            <w:pPr>
              <w:jc w:val="center"/>
              <w:rPr>
                <w:sz w:val="24"/>
              </w:rPr>
            </w:pPr>
            <w:r w:rsidRPr="00EE028A">
              <w:rPr>
                <w:sz w:val="24"/>
              </w:rPr>
              <w:t>中际装备</w:t>
            </w:r>
          </w:p>
        </w:tc>
        <w:tc>
          <w:tcPr>
            <w:tcW w:w="2879" w:type="dxa"/>
            <w:vAlign w:val="center"/>
          </w:tcPr>
          <w:p w:rsidR="00B10F73" w:rsidRPr="00EE028A" w:rsidRDefault="00914739">
            <w:pPr>
              <w:jc w:val="right"/>
              <w:rPr>
                <w:sz w:val="24"/>
              </w:rPr>
            </w:pPr>
            <w:r w:rsidRPr="00EE028A">
              <w:rPr>
                <w:sz w:val="24"/>
              </w:rPr>
              <w:t>19,006,320.16</w:t>
            </w:r>
          </w:p>
        </w:tc>
        <w:tc>
          <w:tcPr>
            <w:tcW w:w="1620" w:type="dxa"/>
            <w:vAlign w:val="center"/>
          </w:tcPr>
          <w:p w:rsidR="00B10F73" w:rsidRPr="00EE028A" w:rsidRDefault="00914739">
            <w:pPr>
              <w:jc w:val="right"/>
              <w:rPr>
                <w:sz w:val="24"/>
              </w:rPr>
            </w:pPr>
            <w:r w:rsidRPr="00EE028A">
              <w:rPr>
                <w:sz w:val="24"/>
              </w:rPr>
              <w:t>2.91</w:t>
            </w:r>
          </w:p>
        </w:tc>
      </w:tr>
      <w:tr w:rsidR="00B10F73" w:rsidRPr="00EE028A">
        <w:tc>
          <w:tcPr>
            <w:tcW w:w="869" w:type="dxa"/>
            <w:vAlign w:val="center"/>
          </w:tcPr>
          <w:p w:rsidR="00B10F73" w:rsidRPr="00EE028A" w:rsidRDefault="00914739">
            <w:pPr>
              <w:jc w:val="center"/>
              <w:rPr>
                <w:sz w:val="24"/>
              </w:rPr>
            </w:pPr>
            <w:r w:rsidRPr="00EE028A">
              <w:rPr>
                <w:sz w:val="24"/>
              </w:rPr>
              <w:t>22</w:t>
            </w:r>
          </w:p>
        </w:tc>
        <w:tc>
          <w:tcPr>
            <w:tcW w:w="1650" w:type="dxa"/>
            <w:vAlign w:val="center"/>
          </w:tcPr>
          <w:p w:rsidR="00B10F73" w:rsidRPr="00EE028A" w:rsidRDefault="00914739">
            <w:pPr>
              <w:jc w:val="center"/>
              <w:rPr>
                <w:sz w:val="24"/>
              </w:rPr>
            </w:pPr>
            <w:r w:rsidRPr="00EE028A">
              <w:rPr>
                <w:sz w:val="24"/>
              </w:rPr>
              <w:t>300156</w:t>
            </w:r>
          </w:p>
        </w:tc>
        <w:tc>
          <w:tcPr>
            <w:tcW w:w="1980" w:type="dxa"/>
            <w:vAlign w:val="center"/>
          </w:tcPr>
          <w:p w:rsidR="00B10F73" w:rsidRPr="00EE028A" w:rsidRDefault="00914739">
            <w:pPr>
              <w:jc w:val="center"/>
              <w:rPr>
                <w:sz w:val="24"/>
              </w:rPr>
            </w:pPr>
            <w:r w:rsidRPr="00EE028A">
              <w:rPr>
                <w:sz w:val="24"/>
              </w:rPr>
              <w:t>神雾环保</w:t>
            </w:r>
          </w:p>
        </w:tc>
        <w:tc>
          <w:tcPr>
            <w:tcW w:w="2879" w:type="dxa"/>
            <w:vAlign w:val="center"/>
          </w:tcPr>
          <w:p w:rsidR="00B10F73" w:rsidRPr="00EE028A" w:rsidRDefault="00914739">
            <w:pPr>
              <w:jc w:val="right"/>
              <w:rPr>
                <w:sz w:val="24"/>
              </w:rPr>
            </w:pPr>
            <w:r w:rsidRPr="00EE028A">
              <w:rPr>
                <w:sz w:val="24"/>
              </w:rPr>
              <w:t>18,989,162.53</w:t>
            </w:r>
          </w:p>
        </w:tc>
        <w:tc>
          <w:tcPr>
            <w:tcW w:w="1620" w:type="dxa"/>
            <w:vAlign w:val="center"/>
          </w:tcPr>
          <w:p w:rsidR="00B10F73" w:rsidRPr="00EE028A" w:rsidRDefault="00914739">
            <w:pPr>
              <w:jc w:val="right"/>
              <w:rPr>
                <w:sz w:val="24"/>
              </w:rPr>
            </w:pPr>
            <w:r w:rsidRPr="00EE028A">
              <w:rPr>
                <w:sz w:val="24"/>
              </w:rPr>
              <w:t>2.91</w:t>
            </w:r>
          </w:p>
        </w:tc>
      </w:tr>
      <w:tr w:rsidR="00B10F73" w:rsidRPr="00EE028A">
        <w:tc>
          <w:tcPr>
            <w:tcW w:w="869" w:type="dxa"/>
            <w:vAlign w:val="center"/>
          </w:tcPr>
          <w:p w:rsidR="00B10F73" w:rsidRPr="00EE028A" w:rsidRDefault="00914739">
            <w:pPr>
              <w:jc w:val="center"/>
              <w:rPr>
                <w:sz w:val="24"/>
              </w:rPr>
            </w:pPr>
            <w:r w:rsidRPr="00EE028A">
              <w:rPr>
                <w:sz w:val="24"/>
              </w:rPr>
              <w:t>23</w:t>
            </w:r>
          </w:p>
        </w:tc>
        <w:tc>
          <w:tcPr>
            <w:tcW w:w="1650" w:type="dxa"/>
            <w:vAlign w:val="center"/>
          </w:tcPr>
          <w:p w:rsidR="00B10F73" w:rsidRPr="00EE028A" w:rsidRDefault="00914739">
            <w:pPr>
              <w:jc w:val="center"/>
              <w:rPr>
                <w:sz w:val="24"/>
              </w:rPr>
            </w:pPr>
            <w:r w:rsidRPr="00EE028A">
              <w:rPr>
                <w:sz w:val="24"/>
              </w:rPr>
              <w:t>002583</w:t>
            </w:r>
          </w:p>
        </w:tc>
        <w:tc>
          <w:tcPr>
            <w:tcW w:w="1980" w:type="dxa"/>
            <w:vAlign w:val="center"/>
          </w:tcPr>
          <w:p w:rsidR="00B10F73" w:rsidRPr="00EE028A" w:rsidRDefault="00914739">
            <w:pPr>
              <w:jc w:val="center"/>
              <w:rPr>
                <w:sz w:val="24"/>
              </w:rPr>
            </w:pPr>
            <w:r w:rsidRPr="00EE028A">
              <w:rPr>
                <w:sz w:val="24"/>
              </w:rPr>
              <w:t>海能达</w:t>
            </w:r>
          </w:p>
        </w:tc>
        <w:tc>
          <w:tcPr>
            <w:tcW w:w="2879" w:type="dxa"/>
            <w:vAlign w:val="center"/>
          </w:tcPr>
          <w:p w:rsidR="00B10F73" w:rsidRPr="00EE028A" w:rsidRDefault="00914739">
            <w:pPr>
              <w:jc w:val="right"/>
              <w:rPr>
                <w:sz w:val="24"/>
              </w:rPr>
            </w:pPr>
            <w:r w:rsidRPr="00EE028A">
              <w:rPr>
                <w:sz w:val="24"/>
              </w:rPr>
              <w:t>18,928,694.79</w:t>
            </w:r>
          </w:p>
        </w:tc>
        <w:tc>
          <w:tcPr>
            <w:tcW w:w="1620" w:type="dxa"/>
            <w:vAlign w:val="center"/>
          </w:tcPr>
          <w:p w:rsidR="00B10F73" w:rsidRPr="00EE028A" w:rsidRDefault="00914739">
            <w:pPr>
              <w:jc w:val="right"/>
              <w:rPr>
                <w:sz w:val="24"/>
              </w:rPr>
            </w:pPr>
            <w:r w:rsidRPr="00EE028A">
              <w:rPr>
                <w:sz w:val="24"/>
              </w:rPr>
              <w:t>2.90</w:t>
            </w:r>
          </w:p>
        </w:tc>
      </w:tr>
      <w:tr w:rsidR="00B10F73" w:rsidRPr="00EE028A">
        <w:tc>
          <w:tcPr>
            <w:tcW w:w="869" w:type="dxa"/>
            <w:vAlign w:val="center"/>
          </w:tcPr>
          <w:p w:rsidR="00B10F73" w:rsidRPr="00EE028A" w:rsidRDefault="00914739">
            <w:pPr>
              <w:jc w:val="center"/>
              <w:rPr>
                <w:sz w:val="24"/>
              </w:rPr>
            </w:pPr>
            <w:r w:rsidRPr="00EE028A">
              <w:rPr>
                <w:sz w:val="24"/>
              </w:rPr>
              <w:t>24</w:t>
            </w:r>
          </w:p>
        </w:tc>
        <w:tc>
          <w:tcPr>
            <w:tcW w:w="1650" w:type="dxa"/>
            <w:vAlign w:val="center"/>
          </w:tcPr>
          <w:p w:rsidR="00B10F73" w:rsidRPr="00EE028A" w:rsidRDefault="00914739">
            <w:pPr>
              <w:jc w:val="center"/>
              <w:rPr>
                <w:sz w:val="24"/>
              </w:rPr>
            </w:pPr>
            <w:r w:rsidRPr="00EE028A">
              <w:rPr>
                <w:sz w:val="24"/>
              </w:rPr>
              <w:t>300182</w:t>
            </w:r>
          </w:p>
        </w:tc>
        <w:tc>
          <w:tcPr>
            <w:tcW w:w="1980" w:type="dxa"/>
            <w:vAlign w:val="center"/>
          </w:tcPr>
          <w:p w:rsidR="00B10F73" w:rsidRPr="00EE028A" w:rsidRDefault="00914739">
            <w:pPr>
              <w:jc w:val="center"/>
              <w:rPr>
                <w:sz w:val="24"/>
              </w:rPr>
            </w:pPr>
            <w:r w:rsidRPr="00EE028A">
              <w:rPr>
                <w:sz w:val="24"/>
              </w:rPr>
              <w:t>捷成股份</w:t>
            </w:r>
          </w:p>
        </w:tc>
        <w:tc>
          <w:tcPr>
            <w:tcW w:w="2879" w:type="dxa"/>
            <w:vAlign w:val="center"/>
          </w:tcPr>
          <w:p w:rsidR="00B10F73" w:rsidRPr="00EE028A" w:rsidRDefault="00914739">
            <w:pPr>
              <w:jc w:val="right"/>
              <w:rPr>
                <w:sz w:val="24"/>
              </w:rPr>
            </w:pPr>
            <w:r w:rsidRPr="00EE028A">
              <w:rPr>
                <w:sz w:val="24"/>
              </w:rPr>
              <w:t>18,488,448.20</w:t>
            </w:r>
          </w:p>
        </w:tc>
        <w:tc>
          <w:tcPr>
            <w:tcW w:w="1620" w:type="dxa"/>
            <w:vAlign w:val="center"/>
          </w:tcPr>
          <w:p w:rsidR="00B10F73" w:rsidRPr="00EE028A" w:rsidRDefault="00914739">
            <w:pPr>
              <w:jc w:val="right"/>
              <w:rPr>
                <w:sz w:val="24"/>
              </w:rPr>
            </w:pPr>
            <w:r w:rsidRPr="00EE028A">
              <w:rPr>
                <w:sz w:val="24"/>
              </w:rPr>
              <w:t>2.83</w:t>
            </w:r>
          </w:p>
        </w:tc>
      </w:tr>
      <w:tr w:rsidR="00B10F73" w:rsidRPr="00EE028A">
        <w:tc>
          <w:tcPr>
            <w:tcW w:w="869" w:type="dxa"/>
            <w:vAlign w:val="center"/>
          </w:tcPr>
          <w:p w:rsidR="00B10F73" w:rsidRPr="00EE028A" w:rsidRDefault="00914739">
            <w:pPr>
              <w:jc w:val="center"/>
              <w:rPr>
                <w:sz w:val="24"/>
              </w:rPr>
            </w:pPr>
            <w:r w:rsidRPr="00EE028A">
              <w:rPr>
                <w:sz w:val="24"/>
              </w:rPr>
              <w:t>25</w:t>
            </w:r>
          </w:p>
        </w:tc>
        <w:tc>
          <w:tcPr>
            <w:tcW w:w="1650" w:type="dxa"/>
            <w:vAlign w:val="center"/>
          </w:tcPr>
          <w:p w:rsidR="00B10F73" w:rsidRPr="00EE028A" w:rsidRDefault="00914739">
            <w:pPr>
              <w:jc w:val="center"/>
              <w:rPr>
                <w:sz w:val="24"/>
              </w:rPr>
            </w:pPr>
            <w:r w:rsidRPr="00EE028A">
              <w:rPr>
                <w:sz w:val="24"/>
              </w:rPr>
              <w:t>300115</w:t>
            </w:r>
          </w:p>
        </w:tc>
        <w:tc>
          <w:tcPr>
            <w:tcW w:w="1980" w:type="dxa"/>
            <w:vAlign w:val="center"/>
          </w:tcPr>
          <w:p w:rsidR="00B10F73" w:rsidRPr="00EE028A" w:rsidRDefault="00914739">
            <w:pPr>
              <w:jc w:val="center"/>
              <w:rPr>
                <w:sz w:val="24"/>
              </w:rPr>
            </w:pPr>
            <w:r w:rsidRPr="00EE028A">
              <w:rPr>
                <w:sz w:val="24"/>
              </w:rPr>
              <w:t>长盈精密</w:t>
            </w:r>
          </w:p>
        </w:tc>
        <w:tc>
          <w:tcPr>
            <w:tcW w:w="2879" w:type="dxa"/>
            <w:vAlign w:val="center"/>
          </w:tcPr>
          <w:p w:rsidR="00B10F73" w:rsidRPr="00EE028A" w:rsidRDefault="00914739">
            <w:pPr>
              <w:jc w:val="right"/>
              <w:rPr>
                <w:sz w:val="24"/>
              </w:rPr>
            </w:pPr>
            <w:r w:rsidRPr="00EE028A">
              <w:rPr>
                <w:sz w:val="24"/>
              </w:rPr>
              <w:t>18,465,062.02</w:t>
            </w:r>
          </w:p>
        </w:tc>
        <w:tc>
          <w:tcPr>
            <w:tcW w:w="1620" w:type="dxa"/>
            <w:vAlign w:val="center"/>
          </w:tcPr>
          <w:p w:rsidR="00B10F73" w:rsidRPr="00EE028A" w:rsidRDefault="00914739">
            <w:pPr>
              <w:jc w:val="right"/>
              <w:rPr>
                <w:sz w:val="24"/>
              </w:rPr>
            </w:pPr>
            <w:r w:rsidRPr="00EE028A">
              <w:rPr>
                <w:sz w:val="24"/>
              </w:rPr>
              <w:t>2.83</w:t>
            </w:r>
          </w:p>
        </w:tc>
      </w:tr>
      <w:tr w:rsidR="00B10F73" w:rsidRPr="00EE028A">
        <w:tc>
          <w:tcPr>
            <w:tcW w:w="869" w:type="dxa"/>
            <w:vAlign w:val="center"/>
          </w:tcPr>
          <w:p w:rsidR="00B10F73" w:rsidRPr="00EE028A" w:rsidRDefault="00914739">
            <w:pPr>
              <w:jc w:val="center"/>
              <w:rPr>
                <w:sz w:val="24"/>
              </w:rPr>
            </w:pPr>
            <w:r w:rsidRPr="00EE028A">
              <w:rPr>
                <w:sz w:val="24"/>
              </w:rPr>
              <w:t>26</w:t>
            </w:r>
          </w:p>
        </w:tc>
        <w:tc>
          <w:tcPr>
            <w:tcW w:w="1650" w:type="dxa"/>
            <w:vAlign w:val="center"/>
          </w:tcPr>
          <w:p w:rsidR="00B10F73" w:rsidRPr="00EE028A" w:rsidRDefault="00914739">
            <w:pPr>
              <w:jc w:val="center"/>
              <w:rPr>
                <w:sz w:val="24"/>
              </w:rPr>
            </w:pPr>
            <w:r w:rsidRPr="00EE028A">
              <w:rPr>
                <w:sz w:val="24"/>
              </w:rPr>
              <w:t>600516</w:t>
            </w:r>
          </w:p>
        </w:tc>
        <w:tc>
          <w:tcPr>
            <w:tcW w:w="1980" w:type="dxa"/>
            <w:vAlign w:val="center"/>
          </w:tcPr>
          <w:p w:rsidR="00B10F73" w:rsidRPr="00EE028A" w:rsidRDefault="00914739">
            <w:pPr>
              <w:jc w:val="center"/>
              <w:rPr>
                <w:sz w:val="24"/>
              </w:rPr>
            </w:pPr>
            <w:r w:rsidRPr="00EE028A">
              <w:rPr>
                <w:sz w:val="24"/>
              </w:rPr>
              <w:t>方大</w:t>
            </w:r>
            <w:proofErr w:type="gramStart"/>
            <w:r w:rsidRPr="00EE028A">
              <w:rPr>
                <w:sz w:val="24"/>
              </w:rPr>
              <w:t>炭素</w:t>
            </w:r>
            <w:proofErr w:type="gramEnd"/>
          </w:p>
        </w:tc>
        <w:tc>
          <w:tcPr>
            <w:tcW w:w="2879" w:type="dxa"/>
            <w:vAlign w:val="center"/>
          </w:tcPr>
          <w:p w:rsidR="00B10F73" w:rsidRPr="00EE028A" w:rsidRDefault="00914739">
            <w:pPr>
              <w:jc w:val="right"/>
              <w:rPr>
                <w:sz w:val="24"/>
              </w:rPr>
            </w:pPr>
            <w:r w:rsidRPr="00EE028A">
              <w:rPr>
                <w:sz w:val="24"/>
              </w:rPr>
              <w:t>16,703,136.92</w:t>
            </w:r>
          </w:p>
        </w:tc>
        <w:tc>
          <w:tcPr>
            <w:tcW w:w="1620" w:type="dxa"/>
            <w:vAlign w:val="center"/>
          </w:tcPr>
          <w:p w:rsidR="00B10F73" w:rsidRPr="00EE028A" w:rsidRDefault="00914739">
            <w:pPr>
              <w:jc w:val="right"/>
              <w:rPr>
                <w:sz w:val="24"/>
              </w:rPr>
            </w:pPr>
            <w:r w:rsidRPr="00EE028A">
              <w:rPr>
                <w:sz w:val="24"/>
              </w:rPr>
              <w:t>2.56</w:t>
            </w:r>
          </w:p>
        </w:tc>
      </w:tr>
      <w:tr w:rsidR="00B10F73" w:rsidRPr="00EE028A">
        <w:tc>
          <w:tcPr>
            <w:tcW w:w="869" w:type="dxa"/>
            <w:vAlign w:val="center"/>
          </w:tcPr>
          <w:p w:rsidR="00B10F73" w:rsidRPr="00EE028A" w:rsidRDefault="00914739">
            <w:pPr>
              <w:jc w:val="center"/>
              <w:rPr>
                <w:sz w:val="24"/>
              </w:rPr>
            </w:pPr>
            <w:r w:rsidRPr="00EE028A">
              <w:rPr>
                <w:sz w:val="24"/>
              </w:rPr>
              <w:t>27</w:t>
            </w:r>
          </w:p>
        </w:tc>
        <w:tc>
          <w:tcPr>
            <w:tcW w:w="1650" w:type="dxa"/>
            <w:vAlign w:val="center"/>
          </w:tcPr>
          <w:p w:rsidR="00B10F73" w:rsidRPr="00EE028A" w:rsidRDefault="00914739">
            <w:pPr>
              <w:jc w:val="center"/>
              <w:rPr>
                <w:sz w:val="24"/>
              </w:rPr>
            </w:pPr>
            <w:r w:rsidRPr="00EE028A">
              <w:rPr>
                <w:sz w:val="24"/>
              </w:rPr>
              <w:t>300471</w:t>
            </w:r>
          </w:p>
        </w:tc>
        <w:tc>
          <w:tcPr>
            <w:tcW w:w="1980" w:type="dxa"/>
            <w:vAlign w:val="center"/>
          </w:tcPr>
          <w:p w:rsidR="00B10F73" w:rsidRPr="00EE028A" w:rsidRDefault="00914739">
            <w:pPr>
              <w:jc w:val="center"/>
              <w:rPr>
                <w:sz w:val="24"/>
              </w:rPr>
            </w:pPr>
            <w:proofErr w:type="gramStart"/>
            <w:r w:rsidRPr="00EE028A">
              <w:rPr>
                <w:sz w:val="24"/>
              </w:rPr>
              <w:t>厚普股份</w:t>
            </w:r>
            <w:proofErr w:type="gramEnd"/>
          </w:p>
        </w:tc>
        <w:tc>
          <w:tcPr>
            <w:tcW w:w="2879" w:type="dxa"/>
            <w:vAlign w:val="center"/>
          </w:tcPr>
          <w:p w:rsidR="00B10F73" w:rsidRPr="00EE028A" w:rsidRDefault="00914739">
            <w:pPr>
              <w:jc w:val="right"/>
              <w:rPr>
                <w:sz w:val="24"/>
              </w:rPr>
            </w:pPr>
            <w:r w:rsidRPr="00EE028A">
              <w:rPr>
                <w:sz w:val="24"/>
              </w:rPr>
              <w:t>16,156,744.64</w:t>
            </w:r>
          </w:p>
        </w:tc>
        <w:tc>
          <w:tcPr>
            <w:tcW w:w="1620" w:type="dxa"/>
            <w:vAlign w:val="center"/>
          </w:tcPr>
          <w:p w:rsidR="00B10F73" w:rsidRPr="00EE028A" w:rsidRDefault="00914739">
            <w:pPr>
              <w:jc w:val="right"/>
              <w:rPr>
                <w:sz w:val="24"/>
              </w:rPr>
            </w:pPr>
            <w:r w:rsidRPr="00EE028A">
              <w:rPr>
                <w:sz w:val="24"/>
              </w:rPr>
              <w:t>2.47</w:t>
            </w:r>
          </w:p>
        </w:tc>
      </w:tr>
      <w:tr w:rsidR="00B10F73" w:rsidRPr="00EE028A">
        <w:tc>
          <w:tcPr>
            <w:tcW w:w="869" w:type="dxa"/>
            <w:vAlign w:val="center"/>
          </w:tcPr>
          <w:p w:rsidR="00B10F73" w:rsidRPr="00EE028A" w:rsidRDefault="00914739">
            <w:pPr>
              <w:jc w:val="center"/>
              <w:rPr>
                <w:sz w:val="24"/>
              </w:rPr>
            </w:pPr>
            <w:r w:rsidRPr="00EE028A">
              <w:rPr>
                <w:sz w:val="24"/>
              </w:rPr>
              <w:t>28</w:t>
            </w:r>
          </w:p>
        </w:tc>
        <w:tc>
          <w:tcPr>
            <w:tcW w:w="1650" w:type="dxa"/>
            <w:vAlign w:val="center"/>
          </w:tcPr>
          <w:p w:rsidR="00B10F73" w:rsidRPr="00EE028A" w:rsidRDefault="00914739">
            <w:pPr>
              <w:jc w:val="center"/>
              <w:rPr>
                <w:sz w:val="24"/>
              </w:rPr>
            </w:pPr>
            <w:r w:rsidRPr="00EE028A">
              <w:rPr>
                <w:sz w:val="24"/>
              </w:rPr>
              <w:t>000888</w:t>
            </w:r>
          </w:p>
        </w:tc>
        <w:tc>
          <w:tcPr>
            <w:tcW w:w="1980" w:type="dxa"/>
            <w:vAlign w:val="center"/>
          </w:tcPr>
          <w:p w:rsidR="00B10F73" w:rsidRPr="00EE028A" w:rsidRDefault="00914739">
            <w:pPr>
              <w:jc w:val="center"/>
              <w:rPr>
                <w:sz w:val="24"/>
              </w:rPr>
            </w:pPr>
            <w:r w:rsidRPr="00EE028A">
              <w:rPr>
                <w:sz w:val="24"/>
              </w:rPr>
              <w:t>峨眉山Ａ</w:t>
            </w:r>
          </w:p>
        </w:tc>
        <w:tc>
          <w:tcPr>
            <w:tcW w:w="2879" w:type="dxa"/>
            <w:vAlign w:val="center"/>
          </w:tcPr>
          <w:p w:rsidR="00B10F73" w:rsidRPr="00EE028A" w:rsidRDefault="00914739">
            <w:pPr>
              <w:jc w:val="right"/>
              <w:rPr>
                <w:sz w:val="24"/>
              </w:rPr>
            </w:pPr>
            <w:r w:rsidRPr="00EE028A">
              <w:rPr>
                <w:sz w:val="24"/>
              </w:rPr>
              <w:t>16,005,113.87</w:t>
            </w:r>
          </w:p>
        </w:tc>
        <w:tc>
          <w:tcPr>
            <w:tcW w:w="1620" w:type="dxa"/>
            <w:vAlign w:val="center"/>
          </w:tcPr>
          <w:p w:rsidR="00B10F73" w:rsidRPr="00EE028A" w:rsidRDefault="00914739">
            <w:pPr>
              <w:jc w:val="right"/>
              <w:rPr>
                <w:sz w:val="24"/>
              </w:rPr>
            </w:pPr>
            <w:r w:rsidRPr="00EE028A">
              <w:rPr>
                <w:sz w:val="24"/>
              </w:rPr>
              <w:t>2.45</w:t>
            </w:r>
          </w:p>
        </w:tc>
      </w:tr>
      <w:tr w:rsidR="00B10F73" w:rsidRPr="00EE028A">
        <w:tc>
          <w:tcPr>
            <w:tcW w:w="869" w:type="dxa"/>
            <w:vAlign w:val="center"/>
          </w:tcPr>
          <w:p w:rsidR="00B10F73" w:rsidRPr="00EE028A" w:rsidRDefault="00914739">
            <w:pPr>
              <w:jc w:val="center"/>
              <w:rPr>
                <w:sz w:val="24"/>
              </w:rPr>
            </w:pPr>
            <w:r w:rsidRPr="00EE028A">
              <w:rPr>
                <w:sz w:val="24"/>
              </w:rPr>
              <w:t>29</w:t>
            </w:r>
          </w:p>
        </w:tc>
        <w:tc>
          <w:tcPr>
            <w:tcW w:w="1650" w:type="dxa"/>
            <w:vAlign w:val="center"/>
          </w:tcPr>
          <w:p w:rsidR="00B10F73" w:rsidRPr="00EE028A" w:rsidRDefault="00914739">
            <w:pPr>
              <w:jc w:val="center"/>
              <w:rPr>
                <w:sz w:val="24"/>
              </w:rPr>
            </w:pPr>
            <w:r w:rsidRPr="00EE028A">
              <w:rPr>
                <w:sz w:val="24"/>
              </w:rPr>
              <w:t>000417</w:t>
            </w:r>
          </w:p>
        </w:tc>
        <w:tc>
          <w:tcPr>
            <w:tcW w:w="1980" w:type="dxa"/>
            <w:vAlign w:val="center"/>
          </w:tcPr>
          <w:p w:rsidR="00B10F73" w:rsidRPr="00EE028A" w:rsidRDefault="00914739">
            <w:pPr>
              <w:jc w:val="center"/>
              <w:rPr>
                <w:sz w:val="24"/>
              </w:rPr>
            </w:pPr>
            <w:r w:rsidRPr="00EE028A">
              <w:rPr>
                <w:sz w:val="24"/>
              </w:rPr>
              <w:t>合肥百货</w:t>
            </w:r>
          </w:p>
        </w:tc>
        <w:tc>
          <w:tcPr>
            <w:tcW w:w="2879" w:type="dxa"/>
            <w:vAlign w:val="center"/>
          </w:tcPr>
          <w:p w:rsidR="00B10F73" w:rsidRPr="00EE028A" w:rsidRDefault="00914739">
            <w:pPr>
              <w:jc w:val="right"/>
              <w:rPr>
                <w:sz w:val="24"/>
              </w:rPr>
            </w:pPr>
            <w:r w:rsidRPr="00EE028A">
              <w:rPr>
                <w:sz w:val="24"/>
              </w:rPr>
              <w:t>15,770,933.48</w:t>
            </w:r>
          </w:p>
        </w:tc>
        <w:tc>
          <w:tcPr>
            <w:tcW w:w="1620" w:type="dxa"/>
            <w:vAlign w:val="center"/>
          </w:tcPr>
          <w:p w:rsidR="00B10F73" w:rsidRPr="00EE028A" w:rsidRDefault="00914739">
            <w:pPr>
              <w:jc w:val="right"/>
              <w:rPr>
                <w:sz w:val="24"/>
              </w:rPr>
            </w:pPr>
            <w:r w:rsidRPr="00EE028A">
              <w:rPr>
                <w:sz w:val="24"/>
              </w:rPr>
              <w:t>2.41</w:t>
            </w:r>
          </w:p>
        </w:tc>
      </w:tr>
      <w:tr w:rsidR="00B10F73" w:rsidRPr="00EE028A">
        <w:tc>
          <w:tcPr>
            <w:tcW w:w="869" w:type="dxa"/>
            <w:vAlign w:val="center"/>
          </w:tcPr>
          <w:p w:rsidR="00B10F73" w:rsidRPr="00EE028A" w:rsidRDefault="00914739">
            <w:pPr>
              <w:jc w:val="center"/>
              <w:rPr>
                <w:sz w:val="24"/>
              </w:rPr>
            </w:pPr>
            <w:r w:rsidRPr="00EE028A">
              <w:rPr>
                <w:sz w:val="24"/>
              </w:rPr>
              <w:lastRenderedPageBreak/>
              <w:t>30</w:t>
            </w:r>
          </w:p>
        </w:tc>
        <w:tc>
          <w:tcPr>
            <w:tcW w:w="1650" w:type="dxa"/>
            <w:vAlign w:val="center"/>
          </w:tcPr>
          <w:p w:rsidR="00B10F73" w:rsidRPr="00EE028A" w:rsidRDefault="00914739">
            <w:pPr>
              <w:jc w:val="center"/>
              <w:rPr>
                <w:sz w:val="24"/>
              </w:rPr>
            </w:pPr>
            <w:r w:rsidRPr="00EE028A">
              <w:rPr>
                <w:sz w:val="24"/>
              </w:rPr>
              <w:t>002712</w:t>
            </w:r>
          </w:p>
        </w:tc>
        <w:tc>
          <w:tcPr>
            <w:tcW w:w="1980" w:type="dxa"/>
            <w:vAlign w:val="center"/>
          </w:tcPr>
          <w:p w:rsidR="00B10F73" w:rsidRPr="00EE028A" w:rsidRDefault="00914739">
            <w:pPr>
              <w:jc w:val="center"/>
              <w:rPr>
                <w:sz w:val="24"/>
              </w:rPr>
            </w:pPr>
            <w:proofErr w:type="gramStart"/>
            <w:r w:rsidRPr="00EE028A">
              <w:rPr>
                <w:sz w:val="24"/>
              </w:rPr>
              <w:t>思美传媒</w:t>
            </w:r>
            <w:proofErr w:type="gramEnd"/>
          </w:p>
        </w:tc>
        <w:tc>
          <w:tcPr>
            <w:tcW w:w="2879" w:type="dxa"/>
            <w:vAlign w:val="center"/>
          </w:tcPr>
          <w:p w:rsidR="00B10F73" w:rsidRPr="00EE028A" w:rsidRDefault="00914739">
            <w:pPr>
              <w:jc w:val="right"/>
              <w:rPr>
                <w:sz w:val="24"/>
              </w:rPr>
            </w:pPr>
            <w:r w:rsidRPr="00EE028A">
              <w:rPr>
                <w:sz w:val="24"/>
              </w:rPr>
              <w:t>15,219,465.48</w:t>
            </w:r>
          </w:p>
        </w:tc>
        <w:tc>
          <w:tcPr>
            <w:tcW w:w="1620" w:type="dxa"/>
            <w:vAlign w:val="center"/>
          </w:tcPr>
          <w:p w:rsidR="00B10F73" w:rsidRPr="00EE028A" w:rsidRDefault="00914739">
            <w:pPr>
              <w:jc w:val="right"/>
              <w:rPr>
                <w:sz w:val="24"/>
              </w:rPr>
            </w:pPr>
            <w:r w:rsidRPr="00EE028A">
              <w:rPr>
                <w:sz w:val="24"/>
              </w:rPr>
              <w:t>2.33</w:t>
            </w:r>
          </w:p>
        </w:tc>
      </w:tr>
      <w:tr w:rsidR="00B10F73" w:rsidRPr="00EE028A">
        <w:tc>
          <w:tcPr>
            <w:tcW w:w="869" w:type="dxa"/>
            <w:vAlign w:val="center"/>
          </w:tcPr>
          <w:p w:rsidR="00B10F73" w:rsidRPr="00EE028A" w:rsidRDefault="00914739">
            <w:pPr>
              <w:jc w:val="center"/>
              <w:rPr>
                <w:sz w:val="24"/>
              </w:rPr>
            </w:pPr>
            <w:r w:rsidRPr="00EE028A">
              <w:rPr>
                <w:sz w:val="24"/>
              </w:rPr>
              <w:t>31</w:t>
            </w:r>
          </w:p>
        </w:tc>
        <w:tc>
          <w:tcPr>
            <w:tcW w:w="1650" w:type="dxa"/>
            <w:vAlign w:val="center"/>
          </w:tcPr>
          <w:p w:rsidR="00B10F73" w:rsidRPr="00EE028A" w:rsidRDefault="00914739">
            <w:pPr>
              <w:jc w:val="center"/>
              <w:rPr>
                <w:sz w:val="24"/>
              </w:rPr>
            </w:pPr>
            <w:r w:rsidRPr="00EE028A">
              <w:rPr>
                <w:sz w:val="24"/>
              </w:rPr>
              <w:t>600803</w:t>
            </w:r>
          </w:p>
        </w:tc>
        <w:tc>
          <w:tcPr>
            <w:tcW w:w="1980" w:type="dxa"/>
            <w:vAlign w:val="center"/>
          </w:tcPr>
          <w:p w:rsidR="00B10F73" w:rsidRPr="00EE028A" w:rsidRDefault="00914739">
            <w:pPr>
              <w:jc w:val="center"/>
              <w:rPr>
                <w:sz w:val="24"/>
              </w:rPr>
            </w:pPr>
            <w:r w:rsidRPr="00EE028A">
              <w:rPr>
                <w:sz w:val="24"/>
              </w:rPr>
              <w:t>新</w:t>
            </w:r>
            <w:proofErr w:type="gramStart"/>
            <w:r w:rsidRPr="00EE028A">
              <w:rPr>
                <w:sz w:val="24"/>
              </w:rPr>
              <w:t>奥股份</w:t>
            </w:r>
            <w:proofErr w:type="gramEnd"/>
          </w:p>
        </w:tc>
        <w:tc>
          <w:tcPr>
            <w:tcW w:w="2879" w:type="dxa"/>
            <w:vAlign w:val="center"/>
          </w:tcPr>
          <w:p w:rsidR="00B10F73" w:rsidRPr="00EE028A" w:rsidRDefault="00914739">
            <w:pPr>
              <w:jc w:val="right"/>
              <w:rPr>
                <w:sz w:val="24"/>
              </w:rPr>
            </w:pPr>
            <w:r w:rsidRPr="00EE028A">
              <w:rPr>
                <w:sz w:val="24"/>
              </w:rPr>
              <w:t>15,150,765.85</w:t>
            </w:r>
          </w:p>
        </w:tc>
        <w:tc>
          <w:tcPr>
            <w:tcW w:w="1620" w:type="dxa"/>
            <w:vAlign w:val="center"/>
          </w:tcPr>
          <w:p w:rsidR="00B10F73" w:rsidRPr="00EE028A" w:rsidRDefault="00914739">
            <w:pPr>
              <w:jc w:val="right"/>
              <w:rPr>
                <w:sz w:val="24"/>
              </w:rPr>
            </w:pPr>
            <w:r w:rsidRPr="00EE028A">
              <w:rPr>
                <w:sz w:val="24"/>
              </w:rPr>
              <w:t>2.32</w:t>
            </w:r>
          </w:p>
        </w:tc>
      </w:tr>
      <w:tr w:rsidR="00B10F73" w:rsidRPr="00EE028A">
        <w:tc>
          <w:tcPr>
            <w:tcW w:w="869" w:type="dxa"/>
            <w:vAlign w:val="center"/>
          </w:tcPr>
          <w:p w:rsidR="00B10F73" w:rsidRPr="00EE028A" w:rsidRDefault="00914739">
            <w:pPr>
              <w:jc w:val="center"/>
              <w:rPr>
                <w:sz w:val="24"/>
              </w:rPr>
            </w:pPr>
            <w:r w:rsidRPr="00EE028A">
              <w:rPr>
                <w:sz w:val="24"/>
              </w:rPr>
              <w:t>32</w:t>
            </w:r>
          </w:p>
        </w:tc>
        <w:tc>
          <w:tcPr>
            <w:tcW w:w="1650" w:type="dxa"/>
            <w:vAlign w:val="center"/>
          </w:tcPr>
          <w:p w:rsidR="00B10F73" w:rsidRPr="00EE028A" w:rsidRDefault="00914739">
            <w:pPr>
              <w:jc w:val="center"/>
              <w:rPr>
                <w:sz w:val="24"/>
              </w:rPr>
            </w:pPr>
            <w:r w:rsidRPr="00EE028A">
              <w:rPr>
                <w:sz w:val="24"/>
              </w:rPr>
              <w:t>002185</w:t>
            </w:r>
          </w:p>
        </w:tc>
        <w:tc>
          <w:tcPr>
            <w:tcW w:w="1980" w:type="dxa"/>
            <w:vAlign w:val="center"/>
          </w:tcPr>
          <w:p w:rsidR="00B10F73" w:rsidRPr="00EE028A" w:rsidRDefault="00914739">
            <w:pPr>
              <w:jc w:val="center"/>
              <w:rPr>
                <w:sz w:val="24"/>
              </w:rPr>
            </w:pPr>
            <w:r w:rsidRPr="00EE028A">
              <w:rPr>
                <w:sz w:val="24"/>
              </w:rPr>
              <w:t>华天科技</w:t>
            </w:r>
          </w:p>
        </w:tc>
        <w:tc>
          <w:tcPr>
            <w:tcW w:w="2879" w:type="dxa"/>
            <w:vAlign w:val="center"/>
          </w:tcPr>
          <w:p w:rsidR="00B10F73" w:rsidRPr="00EE028A" w:rsidRDefault="00914739">
            <w:pPr>
              <w:jc w:val="right"/>
              <w:rPr>
                <w:sz w:val="24"/>
              </w:rPr>
            </w:pPr>
            <w:r w:rsidRPr="00EE028A">
              <w:rPr>
                <w:sz w:val="24"/>
              </w:rPr>
              <w:t>15,058,297.22</w:t>
            </w:r>
          </w:p>
        </w:tc>
        <w:tc>
          <w:tcPr>
            <w:tcW w:w="1620" w:type="dxa"/>
            <w:vAlign w:val="center"/>
          </w:tcPr>
          <w:p w:rsidR="00B10F73" w:rsidRPr="00EE028A" w:rsidRDefault="00914739">
            <w:pPr>
              <w:jc w:val="right"/>
              <w:rPr>
                <w:sz w:val="24"/>
              </w:rPr>
            </w:pPr>
            <w:r w:rsidRPr="00EE028A">
              <w:rPr>
                <w:sz w:val="24"/>
              </w:rPr>
              <w:t>2.30</w:t>
            </w:r>
          </w:p>
        </w:tc>
      </w:tr>
      <w:tr w:rsidR="00B10F73" w:rsidRPr="00EE028A">
        <w:tc>
          <w:tcPr>
            <w:tcW w:w="869" w:type="dxa"/>
            <w:vAlign w:val="center"/>
          </w:tcPr>
          <w:p w:rsidR="00B10F73" w:rsidRPr="00EE028A" w:rsidRDefault="00914739">
            <w:pPr>
              <w:jc w:val="center"/>
              <w:rPr>
                <w:sz w:val="24"/>
              </w:rPr>
            </w:pPr>
            <w:r w:rsidRPr="00EE028A">
              <w:rPr>
                <w:sz w:val="24"/>
              </w:rPr>
              <w:t>33</w:t>
            </w:r>
          </w:p>
        </w:tc>
        <w:tc>
          <w:tcPr>
            <w:tcW w:w="1650" w:type="dxa"/>
            <w:vAlign w:val="center"/>
          </w:tcPr>
          <w:p w:rsidR="00B10F73" w:rsidRPr="00EE028A" w:rsidRDefault="00914739">
            <w:pPr>
              <w:jc w:val="center"/>
              <w:rPr>
                <w:sz w:val="24"/>
              </w:rPr>
            </w:pPr>
            <w:r w:rsidRPr="00EE028A">
              <w:rPr>
                <w:sz w:val="24"/>
              </w:rPr>
              <w:t>002273</w:t>
            </w:r>
          </w:p>
        </w:tc>
        <w:tc>
          <w:tcPr>
            <w:tcW w:w="1980" w:type="dxa"/>
            <w:vAlign w:val="center"/>
          </w:tcPr>
          <w:p w:rsidR="00B10F73" w:rsidRPr="00EE028A" w:rsidRDefault="00914739">
            <w:pPr>
              <w:jc w:val="center"/>
              <w:rPr>
                <w:sz w:val="24"/>
              </w:rPr>
            </w:pPr>
            <w:r w:rsidRPr="00EE028A">
              <w:rPr>
                <w:sz w:val="24"/>
              </w:rPr>
              <w:t>水晶光电</w:t>
            </w:r>
          </w:p>
        </w:tc>
        <w:tc>
          <w:tcPr>
            <w:tcW w:w="2879" w:type="dxa"/>
            <w:vAlign w:val="center"/>
          </w:tcPr>
          <w:p w:rsidR="00B10F73" w:rsidRPr="00EE028A" w:rsidRDefault="00914739">
            <w:pPr>
              <w:jc w:val="right"/>
              <w:rPr>
                <w:sz w:val="24"/>
              </w:rPr>
            </w:pPr>
            <w:r w:rsidRPr="00EE028A">
              <w:rPr>
                <w:sz w:val="24"/>
              </w:rPr>
              <w:t>14,996,999.65</w:t>
            </w:r>
          </w:p>
        </w:tc>
        <w:tc>
          <w:tcPr>
            <w:tcW w:w="1620" w:type="dxa"/>
            <w:vAlign w:val="center"/>
          </w:tcPr>
          <w:p w:rsidR="00B10F73" w:rsidRPr="00EE028A" w:rsidRDefault="00914739">
            <w:pPr>
              <w:jc w:val="right"/>
              <w:rPr>
                <w:sz w:val="24"/>
              </w:rPr>
            </w:pPr>
            <w:r w:rsidRPr="00EE028A">
              <w:rPr>
                <w:sz w:val="24"/>
              </w:rPr>
              <w:t>2.29</w:t>
            </w:r>
          </w:p>
        </w:tc>
      </w:tr>
      <w:tr w:rsidR="00B10F73" w:rsidRPr="00EE028A">
        <w:tc>
          <w:tcPr>
            <w:tcW w:w="869" w:type="dxa"/>
            <w:vAlign w:val="center"/>
          </w:tcPr>
          <w:p w:rsidR="00B10F73" w:rsidRPr="00EE028A" w:rsidRDefault="00914739">
            <w:pPr>
              <w:jc w:val="center"/>
              <w:rPr>
                <w:sz w:val="24"/>
              </w:rPr>
            </w:pPr>
            <w:r w:rsidRPr="00EE028A">
              <w:rPr>
                <w:sz w:val="24"/>
              </w:rPr>
              <w:t>34</w:t>
            </w:r>
          </w:p>
        </w:tc>
        <w:tc>
          <w:tcPr>
            <w:tcW w:w="1650" w:type="dxa"/>
            <w:vAlign w:val="center"/>
          </w:tcPr>
          <w:p w:rsidR="00B10F73" w:rsidRPr="00EE028A" w:rsidRDefault="00914739">
            <w:pPr>
              <w:jc w:val="center"/>
              <w:rPr>
                <w:sz w:val="24"/>
              </w:rPr>
            </w:pPr>
            <w:r w:rsidRPr="00EE028A">
              <w:rPr>
                <w:sz w:val="24"/>
              </w:rPr>
              <w:t>002668</w:t>
            </w:r>
          </w:p>
        </w:tc>
        <w:tc>
          <w:tcPr>
            <w:tcW w:w="1980" w:type="dxa"/>
            <w:vAlign w:val="center"/>
          </w:tcPr>
          <w:p w:rsidR="00B10F73" w:rsidRPr="00EE028A" w:rsidRDefault="00914739">
            <w:pPr>
              <w:jc w:val="center"/>
              <w:rPr>
                <w:sz w:val="24"/>
              </w:rPr>
            </w:pPr>
            <w:r w:rsidRPr="00EE028A">
              <w:rPr>
                <w:sz w:val="24"/>
              </w:rPr>
              <w:t>奥马电器</w:t>
            </w:r>
          </w:p>
        </w:tc>
        <w:tc>
          <w:tcPr>
            <w:tcW w:w="2879" w:type="dxa"/>
            <w:vAlign w:val="center"/>
          </w:tcPr>
          <w:p w:rsidR="00B10F73" w:rsidRPr="00EE028A" w:rsidRDefault="00914739">
            <w:pPr>
              <w:jc w:val="right"/>
              <w:rPr>
                <w:sz w:val="24"/>
              </w:rPr>
            </w:pPr>
            <w:r w:rsidRPr="00EE028A">
              <w:rPr>
                <w:sz w:val="24"/>
              </w:rPr>
              <w:t>14,030,926.25</w:t>
            </w:r>
          </w:p>
        </w:tc>
        <w:tc>
          <w:tcPr>
            <w:tcW w:w="1620" w:type="dxa"/>
            <w:vAlign w:val="center"/>
          </w:tcPr>
          <w:p w:rsidR="00B10F73" w:rsidRPr="00EE028A" w:rsidRDefault="00914739">
            <w:pPr>
              <w:jc w:val="right"/>
              <w:rPr>
                <w:sz w:val="24"/>
              </w:rPr>
            </w:pPr>
            <w:r w:rsidRPr="00EE028A">
              <w:rPr>
                <w:sz w:val="24"/>
              </w:rPr>
              <w:t>2.15</w:t>
            </w:r>
          </w:p>
        </w:tc>
      </w:tr>
      <w:tr w:rsidR="00B10F73" w:rsidRPr="00EE028A">
        <w:tc>
          <w:tcPr>
            <w:tcW w:w="869" w:type="dxa"/>
            <w:vAlign w:val="center"/>
          </w:tcPr>
          <w:p w:rsidR="00B10F73" w:rsidRPr="00EE028A" w:rsidRDefault="00914739">
            <w:pPr>
              <w:jc w:val="center"/>
              <w:rPr>
                <w:sz w:val="24"/>
              </w:rPr>
            </w:pPr>
            <w:r w:rsidRPr="00EE028A">
              <w:rPr>
                <w:sz w:val="24"/>
              </w:rPr>
              <w:t>35</w:t>
            </w:r>
          </w:p>
        </w:tc>
        <w:tc>
          <w:tcPr>
            <w:tcW w:w="1650" w:type="dxa"/>
            <w:vAlign w:val="center"/>
          </w:tcPr>
          <w:p w:rsidR="00B10F73" w:rsidRPr="00EE028A" w:rsidRDefault="00914739">
            <w:pPr>
              <w:jc w:val="center"/>
              <w:rPr>
                <w:sz w:val="24"/>
              </w:rPr>
            </w:pPr>
            <w:r w:rsidRPr="00EE028A">
              <w:rPr>
                <w:sz w:val="24"/>
              </w:rPr>
              <w:t>600276</w:t>
            </w:r>
          </w:p>
        </w:tc>
        <w:tc>
          <w:tcPr>
            <w:tcW w:w="1980" w:type="dxa"/>
            <w:vAlign w:val="center"/>
          </w:tcPr>
          <w:p w:rsidR="00B10F73" w:rsidRPr="00EE028A" w:rsidRDefault="00914739">
            <w:pPr>
              <w:jc w:val="center"/>
              <w:rPr>
                <w:sz w:val="24"/>
              </w:rPr>
            </w:pPr>
            <w:r w:rsidRPr="00EE028A">
              <w:rPr>
                <w:sz w:val="24"/>
              </w:rPr>
              <w:t>恒瑞医药</w:t>
            </w:r>
          </w:p>
        </w:tc>
        <w:tc>
          <w:tcPr>
            <w:tcW w:w="2879" w:type="dxa"/>
            <w:vAlign w:val="center"/>
          </w:tcPr>
          <w:p w:rsidR="00B10F73" w:rsidRPr="00EE028A" w:rsidRDefault="00914739">
            <w:pPr>
              <w:jc w:val="right"/>
              <w:rPr>
                <w:sz w:val="24"/>
              </w:rPr>
            </w:pPr>
            <w:r w:rsidRPr="00EE028A">
              <w:rPr>
                <w:sz w:val="24"/>
              </w:rPr>
              <w:t>14,016,927.94</w:t>
            </w:r>
          </w:p>
        </w:tc>
        <w:tc>
          <w:tcPr>
            <w:tcW w:w="1620" w:type="dxa"/>
            <w:vAlign w:val="center"/>
          </w:tcPr>
          <w:p w:rsidR="00B10F73" w:rsidRPr="00EE028A" w:rsidRDefault="00914739">
            <w:pPr>
              <w:jc w:val="right"/>
              <w:rPr>
                <w:sz w:val="24"/>
              </w:rPr>
            </w:pPr>
            <w:r w:rsidRPr="00EE028A">
              <w:rPr>
                <w:sz w:val="24"/>
              </w:rPr>
              <w:t>2.14</w:t>
            </w:r>
          </w:p>
        </w:tc>
      </w:tr>
      <w:tr w:rsidR="00B10F73" w:rsidRPr="00EE028A">
        <w:tc>
          <w:tcPr>
            <w:tcW w:w="869" w:type="dxa"/>
            <w:vAlign w:val="center"/>
          </w:tcPr>
          <w:p w:rsidR="00B10F73" w:rsidRPr="00EE028A" w:rsidRDefault="00914739">
            <w:pPr>
              <w:jc w:val="center"/>
              <w:rPr>
                <w:sz w:val="24"/>
              </w:rPr>
            </w:pPr>
            <w:r w:rsidRPr="00EE028A">
              <w:rPr>
                <w:sz w:val="24"/>
              </w:rPr>
              <w:t>36</w:t>
            </w:r>
          </w:p>
        </w:tc>
        <w:tc>
          <w:tcPr>
            <w:tcW w:w="1650" w:type="dxa"/>
            <w:vAlign w:val="center"/>
          </w:tcPr>
          <w:p w:rsidR="00B10F73" w:rsidRPr="00EE028A" w:rsidRDefault="00914739">
            <w:pPr>
              <w:jc w:val="center"/>
              <w:rPr>
                <w:sz w:val="24"/>
              </w:rPr>
            </w:pPr>
            <w:r w:rsidRPr="00EE028A">
              <w:rPr>
                <w:sz w:val="24"/>
              </w:rPr>
              <w:t>002055</w:t>
            </w:r>
          </w:p>
        </w:tc>
        <w:tc>
          <w:tcPr>
            <w:tcW w:w="1980" w:type="dxa"/>
            <w:vAlign w:val="center"/>
          </w:tcPr>
          <w:p w:rsidR="00B10F73" w:rsidRPr="00EE028A" w:rsidRDefault="00914739">
            <w:pPr>
              <w:jc w:val="center"/>
              <w:rPr>
                <w:sz w:val="24"/>
              </w:rPr>
            </w:pPr>
            <w:r w:rsidRPr="00EE028A">
              <w:rPr>
                <w:sz w:val="24"/>
              </w:rPr>
              <w:t>得润电子</w:t>
            </w:r>
          </w:p>
        </w:tc>
        <w:tc>
          <w:tcPr>
            <w:tcW w:w="2879" w:type="dxa"/>
            <w:vAlign w:val="center"/>
          </w:tcPr>
          <w:p w:rsidR="00B10F73" w:rsidRPr="00EE028A" w:rsidRDefault="00914739">
            <w:pPr>
              <w:jc w:val="right"/>
              <w:rPr>
                <w:sz w:val="24"/>
              </w:rPr>
            </w:pPr>
            <w:r w:rsidRPr="00EE028A">
              <w:rPr>
                <w:sz w:val="24"/>
              </w:rPr>
              <w:t>13,347,664.62</w:t>
            </w:r>
          </w:p>
        </w:tc>
        <w:tc>
          <w:tcPr>
            <w:tcW w:w="1620" w:type="dxa"/>
            <w:vAlign w:val="center"/>
          </w:tcPr>
          <w:p w:rsidR="00B10F73" w:rsidRPr="00EE028A" w:rsidRDefault="00914739">
            <w:pPr>
              <w:jc w:val="right"/>
              <w:rPr>
                <w:sz w:val="24"/>
              </w:rPr>
            </w:pPr>
            <w:r w:rsidRPr="00EE028A">
              <w:rPr>
                <w:sz w:val="24"/>
              </w:rPr>
              <w:t>2.04</w:t>
            </w:r>
          </w:p>
        </w:tc>
      </w:tr>
      <w:tr w:rsidR="00B10F73" w:rsidRPr="00EE028A">
        <w:tc>
          <w:tcPr>
            <w:tcW w:w="869" w:type="dxa"/>
            <w:vAlign w:val="center"/>
          </w:tcPr>
          <w:p w:rsidR="00B10F73" w:rsidRPr="00EE028A" w:rsidRDefault="00914739">
            <w:pPr>
              <w:jc w:val="center"/>
              <w:rPr>
                <w:sz w:val="24"/>
              </w:rPr>
            </w:pPr>
            <w:r w:rsidRPr="00EE028A">
              <w:rPr>
                <w:sz w:val="24"/>
              </w:rPr>
              <w:t>37</w:t>
            </w:r>
          </w:p>
        </w:tc>
        <w:tc>
          <w:tcPr>
            <w:tcW w:w="1650" w:type="dxa"/>
            <w:vAlign w:val="center"/>
          </w:tcPr>
          <w:p w:rsidR="00B10F73" w:rsidRPr="00EE028A" w:rsidRDefault="00914739">
            <w:pPr>
              <w:jc w:val="center"/>
              <w:rPr>
                <w:sz w:val="24"/>
              </w:rPr>
            </w:pPr>
            <w:r w:rsidRPr="00EE028A">
              <w:rPr>
                <w:sz w:val="24"/>
              </w:rPr>
              <w:t>002502</w:t>
            </w:r>
          </w:p>
        </w:tc>
        <w:tc>
          <w:tcPr>
            <w:tcW w:w="1980" w:type="dxa"/>
            <w:vAlign w:val="center"/>
          </w:tcPr>
          <w:p w:rsidR="00B10F73" w:rsidRPr="00EE028A" w:rsidRDefault="00914739">
            <w:pPr>
              <w:jc w:val="center"/>
              <w:rPr>
                <w:sz w:val="24"/>
              </w:rPr>
            </w:pPr>
            <w:proofErr w:type="gramStart"/>
            <w:r w:rsidRPr="00EE028A">
              <w:rPr>
                <w:sz w:val="24"/>
              </w:rPr>
              <w:t>骅威文化</w:t>
            </w:r>
            <w:proofErr w:type="gramEnd"/>
          </w:p>
        </w:tc>
        <w:tc>
          <w:tcPr>
            <w:tcW w:w="2879" w:type="dxa"/>
            <w:vAlign w:val="center"/>
          </w:tcPr>
          <w:p w:rsidR="00B10F73" w:rsidRPr="00EE028A" w:rsidRDefault="00914739">
            <w:pPr>
              <w:jc w:val="right"/>
              <w:rPr>
                <w:sz w:val="24"/>
              </w:rPr>
            </w:pPr>
            <w:r w:rsidRPr="00EE028A">
              <w:rPr>
                <w:sz w:val="24"/>
              </w:rPr>
              <w:t>13,172,193.72</w:t>
            </w:r>
          </w:p>
        </w:tc>
        <w:tc>
          <w:tcPr>
            <w:tcW w:w="1620" w:type="dxa"/>
            <w:vAlign w:val="center"/>
          </w:tcPr>
          <w:p w:rsidR="00B10F73" w:rsidRPr="00EE028A" w:rsidRDefault="00914739">
            <w:pPr>
              <w:jc w:val="right"/>
              <w:rPr>
                <w:sz w:val="24"/>
              </w:rPr>
            </w:pPr>
            <w:r w:rsidRPr="00EE028A">
              <w:rPr>
                <w:sz w:val="24"/>
              </w:rPr>
              <w:t>2.02</w:t>
            </w:r>
          </w:p>
        </w:tc>
      </w:tr>
      <w:tr w:rsidR="00B10F73" w:rsidRPr="00EE028A">
        <w:tc>
          <w:tcPr>
            <w:tcW w:w="869" w:type="dxa"/>
            <w:vAlign w:val="center"/>
          </w:tcPr>
          <w:p w:rsidR="00B10F73" w:rsidRPr="00EE028A" w:rsidRDefault="00914739">
            <w:pPr>
              <w:jc w:val="center"/>
              <w:rPr>
                <w:sz w:val="24"/>
              </w:rPr>
            </w:pPr>
            <w:r w:rsidRPr="00EE028A">
              <w:rPr>
                <w:sz w:val="24"/>
              </w:rPr>
              <w:t>38</w:t>
            </w:r>
          </w:p>
        </w:tc>
        <w:tc>
          <w:tcPr>
            <w:tcW w:w="1650" w:type="dxa"/>
            <w:vAlign w:val="center"/>
          </w:tcPr>
          <w:p w:rsidR="00B10F73" w:rsidRPr="00EE028A" w:rsidRDefault="00914739">
            <w:pPr>
              <w:jc w:val="center"/>
              <w:rPr>
                <w:sz w:val="24"/>
              </w:rPr>
            </w:pPr>
            <w:r w:rsidRPr="00EE028A">
              <w:rPr>
                <w:sz w:val="24"/>
              </w:rPr>
              <w:t>600197</w:t>
            </w:r>
          </w:p>
        </w:tc>
        <w:tc>
          <w:tcPr>
            <w:tcW w:w="1980" w:type="dxa"/>
            <w:vAlign w:val="center"/>
          </w:tcPr>
          <w:p w:rsidR="00B10F73" w:rsidRPr="00EE028A" w:rsidRDefault="00914739">
            <w:pPr>
              <w:jc w:val="center"/>
              <w:rPr>
                <w:sz w:val="24"/>
              </w:rPr>
            </w:pPr>
            <w:proofErr w:type="gramStart"/>
            <w:r w:rsidRPr="00EE028A">
              <w:rPr>
                <w:sz w:val="24"/>
              </w:rPr>
              <w:t>伊力特</w:t>
            </w:r>
            <w:proofErr w:type="gramEnd"/>
          </w:p>
        </w:tc>
        <w:tc>
          <w:tcPr>
            <w:tcW w:w="2879" w:type="dxa"/>
            <w:vAlign w:val="center"/>
          </w:tcPr>
          <w:p w:rsidR="00B10F73" w:rsidRPr="00EE028A" w:rsidRDefault="00914739">
            <w:pPr>
              <w:jc w:val="right"/>
              <w:rPr>
                <w:sz w:val="24"/>
              </w:rPr>
            </w:pPr>
            <w:r w:rsidRPr="00EE028A">
              <w:rPr>
                <w:sz w:val="24"/>
              </w:rPr>
              <w:t>13,158,441.56</w:t>
            </w:r>
          </w:p>
        </w:tc>
        <w:tc>
          <w:tcPr>
            <w:tcW w:w="1620" w:type="dxa"/>
            <w:vAlign w:val="center"/>
          </w:tcPr>
          <w:p w:rsidR="00B10F73" w:rsidRPr="00EE028A" w:rsidRDefault="00914739">
            <w:pPr>
              <w:jc w:val="right"/>
              <w:rPr>
                <w:sz w:val="24"/>
              </w:rPr>
            </w:pPr>
            <w:r w:rsidRPr="00EE028A">
              <w:rPr>
                <w:sz w:val="24"/>
              </w:rPr>
              <w:t>2.01</w:t>
            </w:r>
          </w:p>
        </w:tc>
      </w:tr>
      <w:tr w:rsidR="00B10F73" w:rsidRPr="00EE028A">
        <w:tc>
          <w:tcPr>
            <w:tcW w:w="869" w:type="dxa"/>
            <w:vAlign w:val="center"/>
          </w:tcPr>
          <w:p w:rsidR="00B10F73" w:rsidRPr="00EE028A" w:rsidRDefault="00914739">
            <w:pPr>
              <w:jc w:val="center"/>
              <w:rPr>
                <w:sz w:val="24"/>
              </w:rPr>
            </w:pPr>
            <w:r w:rsidRPr="00EE028A">
              <w:rPr>
                <w:sz w:val="24"/>
              </w:rPr>
              <w:t>39</w:t>
            </w:r>
          </w:p>
        </w:tc>
        <w:tc>
          <w:tcPr>
            <w:tcW w:w="1650" w:type="dxa"/>
            <w:vAlign w:val="center"/>
          </w:tcPr>
          <w:p w:rsidR="00B10F73" w:rsidRPr="00EE028A" w:rsidRDefault="00914739">
            <w:pPr>
              <w:jc w:val="center"/>
              <w:rPr>
                <w:sz w:val="24"/>
              </w:rPr>
            </w:pPr>
            <w:r w:rsidRPr="00EE028A">
              <w:rPr>
                <w:sz w:val="24"/>
              </w:rPr>
              <w:t>601777</w:t>
            </w:r>
          </w:p>
        </w:tc>
        <w:tc>
          <w:tcPr>
            <w:tcW w:w="1980" w:type="dxa"/>
            <w:vAlign w:val="center"/>
          </w:tcPr>
          <w:p w:rsidR="00B10F73" w:rsidRPr="00EE028A" w:rsidRDefault="00914739">
            <w:pPr>
              <w:jc w:val="center"/>
              <w:rPr>
                <w:sz w:val="24"/>
              </w:rPr>
            </w:pPr>
            <w:r w:rsidRPr="00EE028A">
              <w:rPr>
                <w:sz w:val="24"/>
              </w:rPr>
              <w:t>力</w:t>
            </w:r>
            <w:proofErr w:type="gramStart"/>
            <w:r w:rsidRPr="00EE028A">
              <w:rPr>
                <w:sz w:val="24"/>
              </w:rPr>
              <w:t>帆股份</w:t>
            </w:r>
            <w:proofErr w:type="gramEnd"/>
          </w:p>
        </w:tc>
        <w:tc>
          <w:tcPr>
            <w:tcW w:w="2879" w:type="dxa"/>
            <w:vAlign w:val="center"/>
          </w:tcPr>
          <w:p w:rsidR="00B10F73" w:rsidRPr="00EE028A" w:rsidRDefault="00914739">
            <w:pPr>
              <w:jc w:val="right"/>
              <w:rPr>
                <w:sz w:val="24"/>
              </w:rPr>
            </w:pPr>
            <w:r w:rsidRPr="00EE028A">
              <w:rPr>
                <w:sz w:val="24"/>
              </w:rPr>
              <w:t>13,083,383.00</w:t>
            </w:r>
          </w:p>
        </w:tc>
        <w:tc>
          <w:tcPr>
            <w:tcW w:w="1620" w:type="dxa"/>
            <w:vAlign w:val="center"/>
          </w:tcPr>
          <w:p w:rsidR="00B10F73" w:rsidRPr="00EE028A" w:rsidRDefault="00914739">
            <w:pPr>
              <w:jc w:val="right"/>
              <w:rPr>
                <w:sz w:val="24"/>
              </w:rPr>
            </w:pPr>
            <w:r w:rsidRPr="00EE028A">
              <w:rPr>
                <w:sz w:val="24"/>
              </w:rPr>
              <w:t>2.00</w:t>
            </w:r>
          </w:p>
        </w:tc>
      </w:tr>
    </w:tbl>
    <w:bookmarkEnd w:id="61"/>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按卖出成交金额（成交单价乘以成交数量）填列，不考虑相关交易费用。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1,516,562,002.12</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1,498,463,478.79</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2" w:name="_Toc331410106"/>
      <w:bookmarkStart w:id="63"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2"/>
      <w:bookmarkEnd w:id="63"/>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3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债券品种</w:t>
            </w:r>
          </w:p>
        </w:tc>
        <w:tc>
          <w:tcPr>
            <w:tcW w:w="254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21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国家债券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2</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央行票据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3</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金融债券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29,844,000.00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4.64</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其中：政策性金融债</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29,844,000.00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4.64</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4</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5</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企业短期融资</w:t>
            </w:r>
            <w:proofErr w:type="gramStart"/>
            <w:r w:rsidR="004D62FA" w:rsidRPr="005C672D">
              <w:rPr>
                <w:color w:val="000000"/>
                <w:sz w:val="24"/>
              </w:rPr>
              <w:t>券</w:t>
            </w:r>
            <w:proofErr w:type="gramEnd"/>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6</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中期票据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C16A1" w:rsidRPr="005C672D" w:rsidTr="00986F4D">
        <w:tc>
          <w:tcPr>
            <w:tcW w:w="862" w:type="dxa"/>
            <w:vAlign w:val="center"/>
          </w:tcPr>
          <w:p w:rsidR="001C16A1" w:rsidRPr="005C672D" w:rsidRDefault="001C16A1" w:rsidP="00986F4D">
            <w:pPr>
              <w:spacing w:before="29" w:line="288" w:lineRule="auto"/>
              <w:ind w:left="17"/>
              <w:jc w:val="center"/>
              <w:rPr>
                <w:color w:val="000000"/>
                <w:sz w:val="24"/>
              </w:rPr>
            </w:pPr>
            <w:r w:rsidRPr="005C672D">
              <w:rPr>
                <w:color w:val="000000"/>
                <w:sz w:val="24"/>
              </w:rPr>
              <w:lastRenderedPageBreak/>
              <w:t>7</w:t>
            </w:r>
          </w:p>
        </w:tc>
        <w:tc>
          <w:tcPr>
            <w:tcW w:w="3440" w:type="dxa"/>
            <w:vAlign w:val="center"/>
          </w:tcPr>
          <w:p w:rsidR="001C16A1" w:rsidRPr="005C672D" w:rsidRDefault="001C16A1" w:rsidP="00986F4D">
            <w:pPr>
              <w:spacing w:before="29" w:line="288" w:lineRule="auto"/>
              <w:ind w:left="17"/>
              <w:jc w:val="left"/>
              <w:rPr>
                <w:color w:val="000000"/>
                <w:sz w:val="24"/>
              </w:rPr>
            </w:pPr>
            <w:r w:rsidRPr="005C672D">
              <w:rPr>
                <w:color w:val="000000"/>
                <w:sz w:val="24"/>
              </w:rPr>
              <w:t>可转债</w:t>
            </w:r>
            <w:r>
              <w:rPr>
                <w:rFonts w:hint="eastAsia"/>
                <w:color w:val="000000"/>
                <w:sz w:val="24"/>
              </w:rPr>
              <w:t>（可交换债</w:t>
            </w:r>
            <w:r>
              <w:rPr>
                <w:color w:val="000000"/>
                <w:sz w:val="24"/>
              </w:rPr>
              <w:t>）</w:t>
            </w:r>
          </w:p>
        </w:tc>
        <w:tc>
          <w:tcPr>
            <w:tcW w:w="2543" w:type="dxa"/>
            <w:vAlign w:val="center"/>
          </w:tcPr>
          <w:p w:rsidR="001C16A1" w:rsidRPr="005C672D" w:rsidRDefault="001C16A1" w:rsidP="00986F4D">
            <w:pPr>
              <w:spacing w:before="29" w:line="288" w:lineRule="auto"/>
              <w:ind w:left="17"/>
              <w:jc w:val="right"/>
              <w:rPr>
                <w:sz w:val="24"/>
              </w:rPr>
            </w:pPr>
            <w:r w:rsidRPr="005C672D">
              <w:rPr>
                <w:sz w:val="24"/>
              </w:rPr>
              <w:t>-</w:t>
            </w:r>
          </w:p>
        </w:tc>
        <w:tc>
          <w:tcPr>
            <w:tcW w:w="2153" w:type="dxa"/>
            <w:vAlign w:val="center"/>
          </w:tcPr>
          <w:p w:rsidR="001C16A1" w:rsidRPr="005C672D" w:rsidRDefault="001C16A1" w:rsidP="00986F4D">
            <w:pPr>
              <w:spacing w:before="29" w:line="288" w:lineRule="auto"/>
              <w:ind w:left="17"/>
              <w:jc w:val="right"/>
              <w:rPr>
                <w:sz w:val="24"/>
              </w:rPr>
            </w:pPr>
            <w:r w:rsidRPr="005C672D">
              <w:rPr>
                <w:sz w:val="24"/>
              </w:rPr>
              <w:t>-</w:t>
            </w:r>
          </w:p>
        </w:tc>
      </w:tr>
      <w:tr w:rsidR="001C16A1" w:rsidRPr="005C672D" w:rsidTr="00DF4815">
        <w:tc>
          <w:tcPr>
            <w:tcW w:w="862"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1C16A1" w:rsidRPr="004B6D45" w:rsidRDefault="001C16A1" w:rsidP="001C16A1">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9</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其他</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10</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合计</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29,844,000.00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4.64</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4" w:name="_Toc331410107"/>
      <w:r w:rsidRPr="005C672D">
        <w:rPr>
          <w:rFonts w:ascii="Times New Roman" w:hAnsi="Times New Roman"/>
          <w:kern w:val="0"/>
          <w:szCs w:val="24"/>
        </w:rPr>
        <w:t>7.6</w:t>
      </w:r>
      <w:bookmarkStart w:id="65"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4"/>
      <w:bookmarkEnd w:id="6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5C672D" w:rsidTr="007A6E46">
        <w:tc>
          <w:tcPr>
            <w:tcW w:w="132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8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3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50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w="173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rsidR="00B10F73">
        <w:tc>
          <w:tcPr>
            <w:tcW w:w="1320" w:type="dxa"/>
            <w:vAlign w:val="center"/>
          </w:tcPr>
          <w:p w:rsidR="00B10F73" w:rsidRDefault="00914739">
            <w:pPr>
              <w:jc w:val="center"/>
            </w:pPr>
            <w:r>
              <w:rPr>
                <w:color w:val="000000"/>
                <w:sz w:val="24"/>
              </w:rPr>
              <w:t>1</w:t>
            </w:r>
          </w:p>
        </w:tc>
        <w:tc>
          <w:tcPr>
            <w:tcW w:w="1382" w:type="dxa"/>
            <w:vAlign w:val="center"/>
          </w:tcPr>
          <w:p w:rsidR="00B10F73" w:rsidRDefault="00914739">
            <w:pPr>
              <w:jc w:val="center"/>
            </w:pPr>
            <w:r>
              <w:rPr>
                <w:color w:val="000000"/>
                <w:sz w:val="24"/>
              </w:rPr>
              <w:t>160217</w:t>
            </w:r>
          </w:p>
        </w:tc>
        <w:tc>
          <w:tcPr>
            <w:tcW w:w="1353" w:type="dxa"/>
            <w:vAlign w:val="center"/>
          </w:tcPr>
          <w:p w:rsidR="00B10F73" w:rsidRDefault="00914739">
            <w:pPr>
              <w:jc w:val="center"/>
            </w:pPr>
            <w:r>
              <w:rPr>
                <w:color w:val="000000"/>
                <w:sz w:val="24"/>
              </w:rPr>
              <w:t>16</w:t>
            </w:r>
            <w:r>
              <w:rPr>
                <w:color w:val="000000"/>
                <w:sz w:val="24"/>
              </w:rPr>
              <w:t>国开</w:t>
            </w:r>
            <w:r>
              <w:rPr>
                <w:color w:val="000000"/>
                <w:sz w:val="24"/>
              </w:rPr>
              <w:t>17</w:t>
            </w:r>
          </w:p>
        </w:tc>
        <w:tc>
          <w:tcPr>
            <w:tcW w:w="1505" w:type="dxa"/>
            <w:vAlign w:val="center"/>
          </w:tcPr>
          <w:p w:rsidR="00B10F73" w:rsidRDefault="00914739">
            <w:pPr>
              <w:jc w:val="right"/>
            </w:pPr>
            <w:r>
              <w:rPr>
                <w:color w:val="000000"/>
                <w:sz w:val="24"/>
              </w:rPr>
              <w:t>300,000</w:t>
            </w:r>
          </w:p>
        </w:tc>
        <w:tc>
          <w:tcPr>
            <w:tcW w:w="1737" w:type="dxa"/>
            <w:vAlign w:val="center"/>
          </w:tcPr>
          <w:p w:rsidR="00B10F73" w:rsidRDefault="00914739">
            <w:pPr>
              <w:jc w:val="right"/>
            </w:pPr>
            <w:r>
              <w:rPr>
                <w:color w:val="000000"/>
                <w:sz w:val="24"/>
              </w:rPr>
              <w:t>29,844,000.00</w:t>
            </w:r>
          </w:p>
        </w:tc>
        <w:tc>
          <w:tcPr>
            <w:tcW w:w="1701" w:type="dxa"/>
            <w:vAlign w:val="center"/>
          </w:tcPr>
          <w:p w:rsidR="00B10F73" w:rsidRDefault="00914739">
            <w:pPr>
              <w:jc w:val="right"/>
            </w:pPr>
            <w:r>
              <w:rPr>
                <w:color w:val="000000"/>
                <w:sz w:val="24"/>
              </w:rPr>
              <w:t>4.64</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6"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66"/>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67" w:name="_Toc390421264"/>
      <w:r w:rsidRPr="005C672D">
        <w:rPr>
          <w:rFonts w:ascii="Times New Roman" w:hAnsi="Times New Roman"/>
          <w:kern w:val="0"/>
          <w:szCs w:val="24"/>
        </w:rPr>
        <w:t xml:space="preserve">7.8 </w:t>
      </w:r>
      <w:r w:rsidRPr="005C672D">
        <w:rPr>
          <w:rFonts w:ascii="Times New Roman" w:hAnsi="Times New Roman"/>
          <w:kern w:val="0"/>
          <w:szCs w:val="24"/>
        </w:rPr>
        <w:t>报告期末按公允价值占基金资产净值比例大小排序的前五名贵金属投资明细</w:t>
      </w:r>
      <w:bookmarkEnd w:id="67"/>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8"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68"/>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本基金本报告期末未持有股指期货。</w:t>
      </w:r>
    </w:p>
    <w:p w:rsidR="001548F9" w:rsidRPr="005C672D" w:rsidRDefault="001548F9" w:rsidP="00AC6DDA">
      <w:pPr>
        <w:adjustRightInd w:val="0"/>
        <w:snapToGrid w:val="0"/>
        <w:spacing w:before="29" w:line="288" w:lineRule="auto"/>
        <w:rPr>
          <w:sz w:val="24"/>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69"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69"/>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433,479.49</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8,617,941.15</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470,715.16</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639,779.69</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10,161,915.49</w:t>
            </w:r>
          </w:p>
        </w:tc>
      </w:tr>
    </w:tbl>
    <w:p w:rsidR="001548F9" w:rsidRPr="005C672D" w:rsidRDefault="001548F9" w:rsidP="00AC6DDA">
      <w:pPr>
        <w:pStyle w:val="af6"/>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本基金本报告期末未持有处于转股期的可转换债券。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proofErr w:type="gramStart"/>
      <w:r w:rsidRPr="005C672D">
        <w:rPr>
          <w:b/>
          <w:bCs/>
          <w:color w:val="000000"/>
          <w:sz w:val="24"/>
        </w:rPr>
        <w:t>期末</w:t>
      </w:r>
      <w:r w:rsidR="003F1953" w:rsidRPr="005C672D">
        <w:rPr>
          <w:b/>
          <w:bCs/>
          <w:color w:val="000000"/>
          <w:sz w:val="24"/>
        </w:rPr>
        <w:t>前</w:t>
      </w:r>
      <w:proofErr w:type="gramEnd"/>
      <w:r w:rsidR="003F1953" w:rsidRPr="005C672D">
        <w:rPr>
          <w:b/>
          <w:bCs/>
          <w:color w:val="000000"/>
          <w:sz w:val="24"/>
        </w:rPr>
        <w:t>十名股票中</w:t>
      </w:r>
      <w:r w:rsidRPr="005C672D">
        <w:rPr>
          <w:b/>
          <w:bCs/>
          <w:color w:val="000000"/>
          <w:sz w:val="24"/>
        </w:rPr>
        <w:t>存在流通受限情况的说明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w:t>
      </w:r>
      <w:proofErr w:type="gramStart"/>
      <w:r w:rsidRPr="005C672D">
        <w:rPr>
          <w:kern w:val="0"/>
          <w:sz w:val="24"/>
        </w:rPr>
        <w:t>期末前</w:t>
      </w:r>
      <w:proofErr w:type="gramEnd"/>
      <w:r w:rsidRPr="005C672D">
        <w:rPr>
          <w:kern w:val="0"/>
          <w:sz w:val="24"/>
        </w:rPr>
        <w:t>十名股票中不存在流通受限情况。</w:t>
      </w:r>
    </w:p>
    <w:p w:rsidR="00374080" w:rsidRPr="005C672D" w:rsidRDefault="00374080" w:rsidP="00AC6DDA">
      <w:pPr>
        <w:tabs>
          <w:tab w:val="left" w:pos="426"/>
        </w:tabs>
        <w:spacing w:before="29" w:line="288" w:lineRule="auto"/>
        <w:jc w:val="left"/>
        <w:rPr>
          <w:kern w:val="0"/>
          <w:sz w:val="24"/>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AC6DDA">
      <w:pPr>
        <w:spacing w:before="29" w:line="288" w:lineRule="auto"/>
        <w:ind w:firstLineChars="200" w:firstLine="480"/>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3248DF">
      <w:pPr>
        <w:pStyle w:val="1"/>
        <w:keepNext/>
        <w:keepLines/>
        <w:widowControl w:val="0"/>
        <w:spacing w:beforeLines="100" w:before="312" w:afterLines="100" w:after="312" w:line="288" w:lineRule="auto"/>
        <w:jc w:val="center"/>
        <w:rPr>
          <w:b/>
          <w:bCs/>
          <w:szCs w:val="24"/>
          <w:lang w:val="en-US"/>
        </w:rPr>
      </w:pPr>
      <w:bookmarkStart w:id="70" w:name="_Toc331410111"/>
      <w:bookmarkStart w:id="71" w:name="_Toc225500050"/>
      <w:r w:rsidRPr="005C672D">
        <w:rPr>
          <w:b/>
          <w:bCs/>
          <w:szCs w:val="24"/>
          <w:lang w:val="en-US"/>
        </w:rPr>
        <w:t xml:space="preserve">8  </w:t>
      </w:r>
      <w:r w:rsidR="001548F9" w:rsidRPr="005C672D">
        <w:rPr>
          <w:b/>
          <w:bCs/>
          <w:szCs w:val="24"/>
          <w:lang w:val="en-US"/>
        </w:rPr>
        <w:t>基金份额持有人信息</w:t>
      </w:r>
      <w:bookmarkEnd w:id="70"/>
      <w:bookmarkEnd w:id="71"/>
    </w:p>
    <w:p w:rsidR="001548F9" w:rsidRPr="005C672D" w:rsidRDefault="001548F9" w:rsidP="00AC6DDA">
      <w:pPr>
        <w:pStyle w:val="20"/>
        <w:spacing w:before="29" w:after="0" w:line="288" w:lineRule="auto"/>
        <w:rPr>
          <w:rFonts w:ascii="Times New Roman" w:hAnsi="Times New Roman"/>
          <w:kern w:val="0"/>
          <w:szCs w:val="24"/>
        </w:rPr>
      </w:pPr>
      <w:bookmarkStart w:id="72" w:name="_Toc331410112"/>
      <w:bookmarkStart w:id="73"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2"/>
      <w:bookmarkEnd w:id="73"/>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625"/>
        <w:gridCol w:w="1341"/>
        <w:gridCol w:w="1588"/>
        <w:gridCol w:w="1489"/>
        <w:gridCol w:w="1716"/>
        <w:gridCol w:w="1507"/>
      </w:tblGrid>
      <w:tr w:rsidR="00B9460A" w:rsidRPr="005C672D" w:rsidTr="00B9460A">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B10F73" w:rsidRDefault="00914739">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持有</w:t>
            </w:r>
            <w:proofErr w:type="gramStart"/>
            <w:r w:rsidRPr="005C672D">
              <w:rPr>
                <w:sz w:val="24"/>
              </w:rPr>
              <w:t>人结构</w:t>
            </w:r>
            <w:proofErr w:type="gramEnd"/>
          </w:p>
        </w:tc>
      </w:tr>
      <w:tr w:rsidR="00B9460A" w:rsidRPr="005C672D" w:rsidTr="00B9460A">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B10F73" w:rsidRDefault="00B10F73">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个人投资者</w:t>
            </w:r>
          </w:p>
        </w:tc>
      </w:tr>
      <w:tr w:rsidR="00B9460A" w:rsidRPr="005C672D" w:rsidTr="00B9460A">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B10F73" w:rsidRDefault="00B10F73">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r>
      <w:tr w:rsidR="00B9460A" w:rsidRPr="005C672D" w:rsidTr="00B9460A">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B10F73" w:rsidRDefault="00914739">
            <w:pPr>
              <w:jc w:val="center"/>
            </w:pPr>
            <w:r>
              <w:rPr>
                <w:bCs/>
                <w:color w:val="000000"/>
                <w:sz w:val="24"/>
              </w:rPr>
              <w:t>63,071</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4,052.67</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11,226,981.99</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4.39%</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244,379,192.49</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95.61%</w:t>
            </w:r>
          </w:p>
        </w:tc>
      </w:tr>
    </w:tbl>
    <w:p w:rsidR="00852F8B" w:rsidRPr="005C672D" w:rsidRDefault="00852F8B"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4"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7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5C672D" w:rsidTr="00C75A56">
        <w:tc>
          <w:tcPr>
            <w:tcW w:w="3827"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项目</w:t>
            </w:r>
          </w:p>
        </w:tc>
        <w:tc>
          <w:tcPr>
            <w:tcW w:w="3011"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持有份额总数（份）</w:t>
            </w:r>
          </w:p>
        </w:tc>
        <w:tc>
          <w:tcPr>
            <w:tcW w:w="2160" w:type="dxa"/>
            <w:vAlign w:val="center"/>
          </w:tcPr>
          <w:p w:rsidR="00DF5C7F" w:rsidRPr="005C672D" w:rsidRDefault="00DF5C7F" w:rsidP="009B044F">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w="3827" w:type="dxa"/>
            <w:vAlign w:val="center"/>
          </w:tcPr>
          <w:p w:rsidR="00DF5C7F" w:rsidRPr="005C672D" w:rsidRDefault="00DF5C7F" w:rsidP="00577A50">
            <w:pPr>
              <w:spacing w:before="29" w:line="288" w:lineRule="auto"/>
              <w:jc w:val="left"/>
              <w:rPr>
                <w:color w:val="000000"/>
                <w:sz w:val="24"/>
              </w:rPr>
            </w:pPr>
            <w:r w:rsidRPr="005C672D">
              <w:rPr>
                <w:color w:val="000000"/>
                <w:sz w:val="24"/>
              </w:rPr>
              <w:t>基金管理人所有从业人员持有本基金</w:t>
            </w:r>
          </w:p>
        </w:tc>
        <w:tc>
          <w:tcPr>
            <w:tcW w:w="3011"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38,511.15</w:t>
            </w:r>
          </w:p>
        </w:tc>
        <w:tc>
          <w:tcPr>
            <w:tcW w:w="2160"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0.02%</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lastRenderedPageBreak/>
        <w:t>8.3</w:t>
      </w:r>
      <w:r w:rsidRPr="005C672D">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w:t>
            </w:r>
            <w:proofErr w:type="gramStart"/>
            <w:r w:rsidRPr="005C672D">
              <w:rPr>
                <w:color w:val="000000"/>
                <w:sz w:val="24"/>
              </w:rPr>
              <w:t>基金基金</w:t>
            </w:r>
            <w:proofErr w:type="gramEnd"/>
            <w:r w:rsidRPr="005C672D">
              <w:rPr>
                <w:color w:val="000000"/>
                <w:sz w:val="24"/>
              </w:rPr>
              <w:t>经理持有本开放式基金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bl>
    <w:p w:rsidR="00705EC3" w:rsidRPr="005C672D" w:rsidRDefault="00705EC3" w:rsidP="00AC6DDA">
      <w:pPr>
        <w:spacing w:before="29" w:line="288" w:lineRule="auto"/>
        <w:rPr>
          <w:color w:val="000000"/>
          <w:sz w:val="24"/>
        </w:rPr>
      </w:pPr>
    </w:p>
    <w:p w:rsidR="009C1535" w:rsidRPr="005C672D" w:rsidRDefault="001548F9" w:rsidP="00197399">
      <w:pPr>
        <w:pStyle w:val="1"/>
        <w:keepNext/>
        <w:keepLines/>
        <w:widowControl w:val="0"/>
        <w:spacing w:before="29" w:line="288" w:lineRule="auto"/>
        <w:jc w:val="center"/>
        <w:rPr>
          <w:b/>
          <w:bCs/>
          <w:szCs w:val="24"/>
          <w:lang w:val="en-US"/>
        </w:rPr>
      </w:pPr>
      <w:bookmarkStart w:id="75" w:name="_Toc331410115"/>
      <w:bookmarkStart w:id="76" w:name="_Toc225500053"/>
      <w:r w:rsidRPr="005C672D">
        <w:rPr>
          <w:b/>
          <w:bCs/>
          <w:szCs w:val="24"/>
          <w:lang w:val="en-US"/>
        </w:rPr>
        <w:t>9</w:t>
      </w:r>
      <w:r w:rsidRPr="005C672D">
        <w:rPr>
          <w:b/>
          <w:bCs/>
          <w:szCs w:val="24"/>
          <w:lang w:val="en-US"/>
        </w:rPr>
        <w:t>开放式基金份额变动</w:t>
      </w:r>
      <w:bookmarkEnd w:id="75"/>
      <w:bookmarkEnd w:id="76"/>
    </w:p>
    <w:p w:rsidR="001548F9" w:rsidRPr="005C672D" w:rsidRDefault="001548F9" w:rsidP="00AC6DDA">
      <w:pPr>
        <w:spacing w:before="29" w:line="288" w:lineRule="auto"/>
        <w:jc w:val="right"/>
        <w:rPr>
          <w:sz w:val="24"/>
        </w:rPr>
      </w:pPr>
      <w:r w:rsidRPr="005C672D">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5C672D" w:rsidTr="00494D2F">
        <w:tc>
          <w:tcPr>
            <w:tcW w:w="2806" w:type="pct"/>
          </w:tcPr>
          <w:p w:rsidR="001548F9" w:rsidRPr="005C672D" w:rsidRDefault="001548F9" w:rsidP="00AC6DDA">
            <w:pPr>
              <w:spacing w:before="29" w:line="288" w:lineRule="auto"/>
              <w:rPr>
                <w:sz w:val="24"/>
              </w:rPr>
            </w:pPr>
            <w:r w:rsidRPr="005C672D">
              <w:rPr>
                <w:sz w:val="24"/>
              </w:rPr>
              <w:t>基金合同生效日（</w:t>
            </w:r>
            <w:r w:rsidRPr="005C672D">
              <w:rPr>
                <w:sz w:val="24"/>
              </w:rPr>
              <w:t>2009</w:t>
            </w:r>
            <w:r w:rsidRPr="005C672D">
              <w:rPr>
                <w:sz w:val="24"/>
              </w:rPr>
              <w:t>年</w:t>
            </w:r>
            <w:r w:rsidRPr="005C672D">
              <w:rPr>
                <w:sz w:val="24"/>
              </w:rPr>
              <w:t>1</w:t>
            </w:r>
            <w:r w:rsidRPr="005C672D">
              <w:rPr>
                <w:sz w:val="24"/>
              </w:rPr>
              <w:t>月</w:t>
            </w:r>
            <w:r w:rsidRPr="005C672D">
              <w:rPr>
                <w:sz w:val="24"/>
              </w:rPr>
              <w:t>21</w:t>
            </w:r>
            <w:r w:rsidRPr="005C672D">
              <w:rPr>
                <w:sz w:val="24"/>
              </w:rPr>
              <w:t>日）基金份额总额</w:t>
            </w:r>
          </w:p>
        </w:tc>
        <w:tc>
          <w:tcPr>
            <w:tcW w:w="2194" w:type="pct"/>
          </w:tcPr>
          <w:p w:rsidR="001548F9" w:rsidRPr="005C672D" w:rsidRDefault="001548F9" w:rsidP="00AC6DDA">
            <w:pPr>
              <w:spacing w:before="29" w:line="288" w:lineRule="auto"/>
              <w:jc w:val="right"/>
              <w:rPr>
                <w:sz w:val="24"/>
              </w:rPr>
            </w:pPr>
            <w:r w:rsidRPr="005C672D">
              <w:rPr>
                <w:sz w:val="24"/>
              </w:rPr>
              <w:t xml:space="preserve">4,956,375,599.84 </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w:t>
            </w:r>
            <w:proofErr w:type="gramStart"/>
            <w:r w:rsidRPr="005C672D">
              <w:rPr>
                <w:sz w:val="24"/>
              </w:rPr>
              <w:t>初基金</w:t>
            </w:r>
            <w:proofErr w:type="gramEnd"/>
            <w:r w:rsidRPr="005C672D">
              <w:rPr>
                <w:sz w:val="24"/>
              </w:rPr>
              <w:t>份额总额</w:t>
            </w:r>
          </w:p>
        </w:tc>
        <w:tc>
          <w:tcPr>
            <w:tcW w:w="2194" w:type="pct"/>
          </w:tcPr>
          <w:p w:rsidR="001548F9" w:rsidRPr="005C672D" w:rsidRDefault="001548F9" w:rsidP="00AC6DDA">
            <w:pPr>
              <w:spacing w:before="29" w:line="288" w:lineRule="auto"/>
              <w:jc w:val="right"/>
              <w:rPr>
                <w:sz w:val="24"/>
              </w:rPr>
            </w:pPr>
            <w:r w:rsidRPr="005C672D">
              <w:rPr>
                <w:sz w:val="24"/>
              </w:rPr>
              <w:t>239,931,396.20</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w:t>
            </w:r>
            <w:proofErr w:type="gramStart"/>
            <w:r w:rsidRPr="005C672D">
              <w:rPr>
                <w:sz w:val="24"/>
              </w:rPr>
              <w:t>期</w:t>
            </w:r>
            <w:r w:rsidR="001548F9" w:rsidRPr="005C672D">
              <w:rPr>
                <w:sz w:val="24"/>
              </w:rPr>
              <w:t>基金</w:t>
            </w:r>
            <w:proofErr w:type="gramEnd"/>
            <w:r w:rsidR="001548F9" w:rsidRPr="005C672D">
              <w:rPr>
                <w:sz w:val="24"/>
              </w:rPr>
              <w:t>总申购份额</w:t>
            </w:r>
          </w:p>
        </w:tc>
        <w:tc>
          <w:tcPr>
            <w:tcW w:w="2194" w:type="pct"/>
          </w:tcPr>
          <w:p w:rsidR="001548F9" w:rsidRPr="005C672D" w:rsidRDefault="001548F9" w:rsidP="00AC6DDA">
            <w:pPr>
              <w:spacing w:before="29" w:line="288" w:lineRule="auto"/>
              <w:jc w:val="right"/>
              <w:rPr>
                <w:sz w:val="24"/>
              </w:rPr>
            </w:pPr>
            <w:r w:rsidRPr="005C672D">
              <w:rPr>
                <w:sz w:val="24"/>
              </w:rPr>
              <w:t>103,789,120.03</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减：</w:t>
            </w:r>
            <w:r w:rsidR="005151E7" w:rsidRPr="005C672D">
              <w:rPr>
                <w:sz w:val="24"/>
              </w:rPr>
              <w:t>本报告</w:t>
            </w:r>
            <w:proofErr w:type="gramStart"/>
            <w:r w:rsidR="005151E7" w:rsidRPr="005C672D">
              <w:rPr>
                <w:sz w:val="24"/>
              </w:rPr>
              <w:t>期</w:t>
            </w:r>
            <w:r w:rsidRPr="005C672D">
              <w:rPr>
                <w:sz w:val="24"/>
              </w:rPr>
              <w:t>基金</w:t>
            </w:r>
            <w:proofErr w:type="gramEnd"/>
            <w:r w:rsidRPr="005C672D">
              <w:rPr>
                <w:sz w:val="24"/>
              </w:rPr>
              <w:t>总赎回份额</w:t>
            </w:r>
          </w:p>
        </w:tc>
        <w:tc>
          <w:tcPr>
            <w:tcW w:w="2194" w:type="pct"/>
          </w:tcPr>
          <w:p w:rsidR="001548F9" w:rsidRPr="005C672D" w:rsidRDefault="001548F9" w:rsidP="00AC6DDA">
            <w:pPr>
              <w:spacing w:before="29" w:line="288" w:lineRule="auto"/>
              <w:jc w:val="right"/>
              <w:rPr>
                <w:sz w:val="24"/>
              </w:rPr>
            </w:pPr>
            <w:r w:rsidRPr="005C672D">
              <w:rPr>
                <w:sz w:val="24"/>
              </w:rPr>
              <w:t>88,114,341.75</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w:t>
            </w:r>
            <w:proofErr w:type="gramStart"/>
            <w:r w:rsidRPr="005C672D">
              <w:rPr>
                <w:sz w:val="24"/>
              </w:rPr>
              <w:t>期</w:t>
            </w:r>
            <w:r w:rsidR="001548F9" w:rsidRPr="005C672D">
              <w:rPr>
                <w:sz w:val="24"/>
              </w:rPr>
              <w:t>基金</w:t>
            </w:r>
            <w:proofErr w:type="gramEnd"/>
            <w:r w:rsidR="001548F9" w:rsidRPr="005C672D">
              <w:rPr>
                <w:sz w:val="24"/>
              </w:rPr>
              <w:t>拆分变动份额</w:t>
            </w:r>
          </w:p>
        </w:tc>
        <w:tc>
          <w:tcPr>
            <w:tcW w:w="2194" w:type="pct"/>
          </w:tcPr>
          <w:p w:rsidR="001548F9" w:rsidRPr="005C672D" w:rsidRDefault="001548F9" w:rsidP="00AC6DDA">
            <w:pPr>
              <w:spacing w:before="29" w:line="288" w:lineRule="auto"/>
              <w:jc w:val="right"/>
              <w:rPr>
                <w:sz w:val="24"/>
              </w:rPr>
            </w:pPr>
            <w:r w:rsidRPr="005C672D">
              <w:rPr>
                <w:sz w:val="24"/>
              </w:rPr>
              <w:t>-</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本报告期期末基金份额总额</w:t>
            </w:r>
          </w:p>
        </w:tc>
        <w:tc>
          <w:tcPr>
            <w:tcW w:w="2194" w:type="pct"/>
          </w:tcPr>
          <w:p w:rsidR="001548F9" w:rsidRPr="005C672D" w:rsidRDefault="001548F9" w:rsidP="00AC6DDA">
            <w:pPr>
              <w:spacing w:before="29" w:line="288" w:lineRule="auto"/>
              <w:jc w:val="right"/>
              <w:rPr>
                <w:sz w:val="24"/>
              </w:rPr>
            </w:pPr>
            <w:r w:rsidRPr="005C672D">
              <w:rPr>
                <w:sz w:val="24"/>
              </w:rPr>
              <w:t>255,606,174.48</w:t>
            </w:r>
          </w:p>
        </w:tc>
      </w:tr>
    </w:tbl>
    <w:p w:rsidR="00B10F73" w:rsidRDefault="0091473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C672D" w:rsidRDefault="005A09F2"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、如果本报告期间发生转换出业务，则总赎回份额中包含该业务。</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3248DF">
      <w:pPr>
        <w:pStyle w:val="1"/>
        <w:keepNext/>
        <w:keepLines/>
        <w:widowControl w:val="0"/>
        <w:spacing w:beforeLines="100" w:before="312" w:afterLines="100" w:after="312" w:line="288" w:lineRule="auto"/>
        <w:jc w:val="center"/>
        <w:rPr>
          <w:b/>
          <w:bCs/>
          <w:szCs w:val="24"/>
          <w:lang w:val="en-US"/>
        </w:rPr>
      </w:pPr>
      <w:bookmarkStart w:id="77" w:name="_Toc331410116"/>
      <w:bookmarkStart w:id="78" w:name="_Toc225500054"/>
      <w:r w:rsidRPr="005C672D">
        <w:rPr>
          <w:b/>
          <w:bCs/>
          <w:szCs w:val="24"/>
          <w:lang w:val="en-US"/>
        </w:rPr>
        <w:t xml:space="preserve">10  </w:t>
      </w:r>
      <w:r w:rsidRPr="005C672D">
        <w:rPr>
          <w:b/>
          <w:bCs/>
          <w:szCs w:val="24"/>
          <w:lang w:val="en-US"/>
        </w:rPr>
        <w:t>重大事件揭示</w:t>
      </w:r>
      <w:bookmarkEnd w:id="77"/>
      <w:bookmarkEnd w:id="78"/>
    </w:p>
    <w:p w:rsidR="001548F9" w:rsidRPr="005C672D" w:rsidRDefault="001548F9" w:rsidP="00AC6DDA">
      <w:pPr>
        <w:pStyle w:val="20"/>
        <w:spacing w:before="29" w:after="0" w:line="288" w:lineRule="auto"/>
        <w:rPr>
          <w:rFonts w:ascii="Times New Roman" w:hAnsi="Times New Roman"/>
          <w:kern w:val="0"/>
          <w:szCs w:val="24"/>
        </w:rPr>
      </w:pPr>
      <w:bookmarkStart w:id="79" w:name="_Toc331410117"/>
      <w:r w:rsidRPr="005C672D">
        <w:rPr>
          <w:rFonts w:ascii="Times New Roman" w:hAnsi="Times New Roman"/>
          <w:kern w:val="0"/>
          <w:szCs w:val="24"/>
        </w:rPr>
        <w:t xml:space="preserve">10.1 </w:t>
      </w:r>
      <w:r w:rsidRPr="005C672D">
        <w:rPr>
          <w:rFonts w:ascii="Times New Roman" w:hAnsi="Times New Roman"/>
          <w:kern w:val="0"/>
          <w:szCs w:val="24"/>
        </w:rPr>
        <w:t>基金份额持有人大会决议</w:t>
      </w:r>
      <w:bookmarkEnd w:id="79"/>
    </w:p>
    <w:p w:rsidR="001548F9" w:rsidRPr="005C672D" w:rsidRDefault="001548F9" w:rsidP="00AC6DDA">
      <w:pPr>
        <w:spacing w:before="29" w:line="288" w:lineRule="auto"/>
        <w:ind w:firstLineChars="200" w:firstLine="480"/>
        <w:rPr>
          <w:color w:val="000000"/>
          <w:sz w:val="24"/>
        </w:rPr>
      </w:pPr>
      <w:bookmarkStart w:id="80" w:name="_Toc331410118"/>
      <w:r w:rsidRPr="005C672D">
        <w:rPr>
          <w:color w:val="000000"/>
          <w:sz w:val="24"/>
        </w:rPr>
        <w:t>本基金本报告期内未召开基金份额持有人大会。</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10.2 </w:t>
      </w:r>
      <w:r w:rsidRPr="005C672D">
        <w:rPr>
          <w:rFonts w:ascii="Times New Roman" w:hAnsi="Times New Roman"/>
          <w:kern w:val="0"/>
          <w:szCs w:val="24"/>
        </w:rPr>
        <w:t>基金管理人、基金托管人的专门基金托管部门的重大人事变动</w:t>
      </w:r>
      <w:bookmarkEnd w:id="80"/>
    </w:p>
    <w:p w:rsidR="00B10F73" w:rsidRDefault="00914739">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548F9" w:rsidRPr="005C672D" w:rsidRDefault="001548F9" w:rsidP="00AC6DDA">
      <w:pPr>
        <w:spacing w:before="29" w:line="288" w:lineRule="auto"/>
        <w:ind w:firstLineChars="200" w:firstLine="480"/>
        <w:rPr>
          <w:color w:val="000000"/>
          <w:sz w:val="24"/>
        </w:rPr>
      </w:pPr>
      <w:bookmarkStart w:id="81" w:name="_Toc331410119"/>
      <w:r w:rsidRPr="005C672D">
        <w:rPr>
          <w:color w:val="000000"/>
          <w:sz w:val="24"/>
        </w:rPr>
        <w:t>2</w:t>
      </w:r>
      <w:r w:rsidRPr="005C672D">
        <w:rPr>
          <w:color w:val="000000"/>
          <w:sz w:val="24"/>
        </w:rPr>
        <w:t>、基金托管人的基金托管部门的重大人事变动：本基金托管人的专门基金托管部门本报告期内未发生重大人事变动。</w:t>
      </w:r>
      <w:r w:rsidRPr="005C672D">
        <w:rPr>
          <w:color w:val="000000"/>
          <w:sz w:val="24"/>
        </w:rPr>
        <w:t xml:space="preserve"> </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10.3 </w:t>
      </w:r>
      <w:r w:rsidRPr="005C672D">
        <w:rPr>
          <w:rFonts w:ascii="Times New Roman" w:hAnsi="Times New Roman"/>
          <w:kern w:val="0"/>
          <w:szCs w:val="24"/>
        </w:rPr>
        <w:t>涉及基金管理人、基金财产、基金托管业务的诉讼</w:t>
      </w:r>
      <w:bookmarkEnd w:id="81"/>
    </w:p>
    <w:p w:rsidR="001548F9" w:rsidRPr="005C672D" w:rsidRDefault="001548F9" w:rsidP="00AC6DDA">
      <w:pPr>
        <w:spacing w:before="29" w:line="288" w:lineRule="auto"/>
        <w:ind w:firstLineChars="200" w:firstLine="480"/>
        <w:rPr>
          <w:color w:val="000000"/>
          <w:sz w:val="24"/>
        </w:rPr>
      </w:pPr>
      <w:bookmarkStart w:id="82" w:name="_Toc331410120"/>
      <w:r w:rsidRPr="005C672D">
        <w:rPr>
          <w:color w:val="000000"/>
          <w:sz w:val="24"/>
        </w:rPr>
        <w:t>本报告期内未发生涉及本基金管理人、基金财产、基金托管业务的诉讼事项。</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10.4 </w:t>
      </w:r>
      <w:r w:rsidRPr="005C672D">
        <w:rPr>
          <w:rFonts w:ascii="Times New Roman" w:hAnsi="Times New Roman"/>
          <w:kern w:val="0"/>
          <w:szCs w:val="24"/>
        </w:rPr>
        <w:t>基金投资策略的改变</w:t>
      </w:r>
      <w:bookmarkEnd w:id="82"/>
    </w:p>
    <w:p w:rsidR="001548F9" w:rsidRPr="005C672D" w:rsidRDefault="001548F9" w:rsidP="00AC6DDA">
      <w:pPr>
        <w:spacing w:before="29" w:line="288" w:lineRule="auto"/>
        <w:ind w:firstLineChars="200" w:firstLine="480"/>
        <w:rPr>
          <w:color w:val="000000"/>
          <w:sz w:val="24"/>
        </w:rPr>
      </w:pPr>
      <w:bookmarkStart w:id="83" w:name="_Toc331410121"/>
      <w:r w:rsidRPr="005C672D">
        <w:rPr>
          <w:color w:val="000000"/>
          <w:sz w:val="24"/>
        </w:rPr>
        <w:t>本基金本报告期内投资策略未发生改变。</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10.5</w:t>
      </w:r>
      <w:bookmarkEnd w:id="83"/>
      <w:r w:rsidR="001B69DE" w:rsidRPr="005C672D">
        <w:rPr>
          <w:rFonts w:ascii="Times New Roman" w:hAnsi="Times New Roman"/>
          <w:szCs w:val="24"/>
        </w:rPr>
        <w:t>报告期内改聘会计师事务所情况</w:t>
      </w:r>
    </w:p>
    <w:p w:rsidR="001548F9" w:rsidRPr="005C672D" w:rsidRDefault="001548F9" w:rsidP="00AC6DDA">
      <w:pPr>
        <w:spacing w:before="29" w:line="288" w:lineRule="auto"/>
        <w:ind w:firstLineChars="200" w:firstLine="480"/>
        <w:rPr>
          <w:color w:val="000000"/>
          <w:sz w:val="24"/>
        </w:rPr>
      </w:pPr>
      <w:bookmarkStart w:id="84" w:name="OLE_LINK3"/>
      <w:bookmarkStart w:id="85" w:name="_Toc331410122"/>
      <w:r w:rsidRPr="005C672D">
        <w:rPr>
          <w:color w:val="000000"/>
          <w:sz w:val="24"/>
        </w:rPr>
        <w:t>本基金自基金合同生效日起聘请普华永道中天会计师事务所</w:t>
      </w:r>
      <w:r w:rsidRPr="005C672D">
        <w:rPr>
          <w:color w:val="000000"/>
          <w:sz w:val="24"/>
        </w:rPr>
        <w:t>(</w:t>
      </w:r>
      <w:r w:rsidRPr="005C672D">
        <w:rPr>
          <w:color w:val="000000"/>
          <w:sz w:val="24"/>
        </w:rPr>
        <w:t>特殊普通合伙</w:t>
      </w:r>
      <w:r w:rsidRPr="005C672D">
        <w:rPr>
          <w:color w:val="000000"/>
          <w:sz w:val="24"/>
        </w:rPr>
        <w:t>)</w:t>
      </w:r>
      <w:r w:rsidRPr="005C672D">
        <w:rPr>
          <w:color w:val="000000"/>
          <w:sz w:val="24"/>
        </w:rPr>
        <w:t>为本基金提供审计服务。</w:t>
      </w:r>
    </w:p>
    <w:p w:rsidR="00A95CCE" w:rsidRPr="005C672D" w:rsidRDefault="00A95CCE" w:rsidP="00AC6DDA">
      <w:pPr>
        <w:spacing w:before="29" w:line="288" w:lineRule="auto"/>
        <w:ind w:firstLineChars="200" w:firstLine="480"/>
        <w:rPr>
          <w:color w:val="000000"/>
          <w:sz w:val="24"/>
        </w:rPr>
      </w:pPr>
    </w:p>
    <w:bookmarkEnd w:id="84"/>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10.6</w:t>
      </w:r>
      <w:bookmarkEnd w:id="85"/>
      <w:r w:rsidR="00062814" w:rsidRPr="005C672D">
        <w:rPr>
          <w:rFonts w:ascii="Times New Roman" w:hAnsi="Times New Roman"/>
          <w:szCs w:val="24"/>
        </w:rPr>
        <w:t>管理人、托管人及其高级管理人员受稽查或处罚等情况</w:t>
      </w:r>
    </w:p>
    <w:p w:rsidR="00B10F73" w:rsidRDefault="00914739">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B10F73" w:rsidRDefault="00914739">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B10F73" w:rsidRDefault="00914739">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548F9" w:rsidRPr="005C672D" w:rsidRDefault="001548F9" w:rsidP="00AC6DDA">
      <w:pPr>
        <w:spacing w:before="29" w:line="288" w:lineRule="auto"/>
        <w:ind w:firstLineChars="200" w:firstLine="480"/>
        <w:rPr>
          <w:color w:val="000000"/>
          <w:sz w:val="24"/>
        </w:rPr>
      </w:pPr>
      <w:bookmarkStart w:id="86" w:name="_Toc331410123"/>
      <w:r w:rsidRPr="005C672D">
        <w:rPr>
          <w:color w:val="000000"/>
          <w:sz w:val="24"/>
        </w:rPr>
        <w:t>基金托管人及其高级管理人员本报告期内未受监管部门稽查或处罚。</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10.7 </w:t>
      </w:r>
      <w:r w:rsidRPr="005C672D">
        <w:rPr>
          <w:rFonts w:ascii="Times New Roman" w:hAnsi="Times New Roman"/>
          <w:kern w:val="0"/>
          <w:szCs w:val="24"/>
        </w:rPr>
        <w:t>基金租用证券公司交易单元的有关情况</w:t>
      </w:r>
      <w:bookmarkEnd w:id="86"/>
    </w:p>
    <w:p w:rsidR="001548F9" w:rsidRPr="005C672D" w:rsidRDefault="001548F9" w:rsidP="00AC6DDA">
      <w:pPr>
        <w:spacing w:before="29" w:line="288" w:lineRule="auto"/>
        <w:rPr>
          <w:b/>
          <w:sz w:val="24"/>
        </w:rPr>
      </w:pPr>
      <w:bookmarkStart w:id="87" w:name="_Toc249760070"/>
      <w:r w:rsidRPr="005C672D">
        <w:rPr>
          <w:b/>
          <w:sz w:val="24"/>
        </w:rPr>
        <w:t xml:space="preserve">10.7.1 </w:t>
      </w:r>
      <w:r w:rsidRPr="005C672D">
        <w:rPr>
          <w:b/>
          <w:sz w:val="24"/>
        </w:rPr>
        <w:t>基金租用证券公司交易单元进行股票投资及佣金支付情况</w:t>
      </w:r>
      <w:bookmarkEnd w:id="87"/>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494D2F">
        <w:tc>
          <w:tcPr>
            <w:tcW w:w="1560" w:type="dxa"/>
            <w:vMerge w:val="restart"/>
            <w:vAlign w:val="center"/>
          </w:tcPr>
          <w:p w:rsidR="001548F9" w:rsidRPr="005C672D" w:rsidRDefault="001548F9" w:rsidP="00AC6DDA">
            <w:pPr>
              <w:spacing w:before="29" w:line="288" w:lineRule="auto"/>
              <w:jc w:val="center"/>
              <w:rPr>
                <w:color w:val="000000"/>
                <w:sz w:val="24"/>
              </w:rPr>
            </w:pPr>
            <w:bookmarkStart w:id="88" w:name="_Toc249760071"/>
            <w:r w:rsidRPr="005C672D">
              <w:rPr>
                <w:color w:val="000000"/>
                <w:sz w:val="24"/>
              </w:rPr>
              <w:t>券商名称</w:t>
            </w:r>
          </w:p>
        </w:tc>
        <w:tc>
          <w:tcPr>
            <w:tcW w:w="78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w="9000" w:type="dxa"/>
            <w:vMerge/>
            <w:vAlign w:val="center"/>
          </w:tcPr>
          <w:p w:rsidR="001548F9" w:rsidRPr="005C672D" w:rsidRDefault="001548F9" w:rsidP="00AC6DDA">
            <w:pPr>
              <w:widowControl/>
              <w:spacing w:before="29" w:line="288" w:lineRule="auto"/>
              <w:jc w:val="left"/>
              <w:rPr>
                <w:color w:val="000000"/>
                <w:sz w:val="24"/>
              </w:rPr>
            </w:pPr>
          </w:p>
        </w:tc>
        <w:tc>
          <w:tcPr>
            <w:tcW w:w="780"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B10F73">
        <w:tc>
          <w:tcPr>
            <w:tcW w:w="1559" w:type="dxa"/>
            <w:vAlign w:val="center"/>
          </w:tcPr>
          <w:p w:rsidR="00B10F73" w:rsidRDefault="00914739">
            <w:pPr>
              <w:jc w:val="center"/>
            </w:pPr>
            <w:r>
              <w:rPr>
                <w:color w:val="000000"/>
                <w:sz w:val="24"/>
              </w:rPr>
              <w:t>中泰证券股份有限公司</w:t>
            </w:r>
          </w:p>
        </w:tc>
        <w:tc>
          <w:tcPr>
            <w:tcW w:w="779" w:type="dxa"/>
            <w:vAlign w:val="center"/>
          </w:tcPr>
          <w:p w:rsidR="00B10F73" w:rsidRDefault="00914739">
            <w:pPr>
              <w:jc w:val="center"/>
            </w:pPr>
            <w:r>
              <w:rPr>
                <w:color w:val="000000"/>
                <w:sz w:val="24"/>
              </w:rPr>
              <w:t>2</w:t>
            </w:r>
          </w:p>
        </w:tc>
        <w:tc>
          <w:tcPr>
            <w:tcW w:w="1800" w:type="dxa"/>
            <w:vAlign w:val="center"/>
          </w:tcPr>
          <w:p w:rsidR="00B10F73" w:rsidRDefault="00914739">
            <w:pPr>
              <w:jc w:val="right"/>
            </w:pPr>
            <w:r>
              <w:rPr>
                <w:color w:val="000000"/>
                <w:sz w:val="24"/>
              </w:rPr>
              <w:t>92,567,115.10</w:t>
            </w:r>
          </w:p>
        </w:tc>
        <w:tc>
          <w:tcPr>
            <w:tcW w:w="1080" w:type="dxa"/>
            <w:vAlign w:val="center"/>
          </w:tcPr>
          <w:p w:rsidR="00B10F73" w:rsidRDefault="00914739">
            <w:pPr>
              <w:jc w:val="right"/>
            </w:pPr>
            <w:r>
              <w:rPr>
                <w:color w:val="000000"/>
                <w:sz w:val="24"/>
              </w:rPr>
              <w:t>3.07%</w:t>
            </w:r>
          </w:p>
        </w:tc>
        <w:tc>
          <w:tcPr>
            <w:tcW w:w="1620" w:type="dxa"/>
            <w:vAlign w:val="center"/>
          </w:tcPr>
          <w:p w:rsidR="00B10F73" w:rsidRDefault="00914739">
            <w:pPr>
              <w:jc w:val="right"/>
            </w:pPr>
            <w:r>
              <w:rPr>
                <w:color w:val="000000"/>
                <w:sz w:val="24"/>
              </w:rPr>
              <w:t>86,207.31</w:t>
            </w:r>
          </w:p>
        </w:tc>
        <w:tc>
          <w:tcPr>
            <w:tcW w:w="1080" w:type="dxa"/>
            <w:vAlign w:val="center"/>
          </w:tcPr>
          <w:p w:rsidR="00B10F73" w:rsidRDefault="00914739">
            <w:pPr>
              <w:jc w:val="right"/>
            </w:pPr>
            <w:r>
              <w:rPr>
                <w:color w:val="000000"/>
                <w:sz w:val="24"/>
              </w:rPr>
              <w:t>3.07%</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广发证券股份有限公司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716,928,411.72</w:t>
            </w:r>
          </w:p>
        </w:tc>
        <w:tc>
          <w:tcPr>
            <w:tcW w:w="1080" w:type="dxa"/>
            <w:vAlign w:val="center"/>
          </w:tcPr>
          <w:p w:rsidR="00B10F73" w:rsidRDefault="00914739">
            <w:pPr>
              <w:jc w:val="right"/>
            </w:pPr>
            <w:r>
              <w:rPr>
                <w:color w:val="000000"/>
                <w:sz w:val="24"/>
              </w:rPr>
              <w:t>23.80%</w:t>
            </w:r>
          </w:p>
        </w:tc>
        <w:tc>
          <w:tcPr>
            <w:tcW w:w="1620" w:type="dxa"/>
            <w:vAlign w:val="center"/>
          </w:tcPr>
          <w:p w:rsidR="00B10F73" w:rsidRDefault="00914739">
            <w:pPr>
              <w:jc w:val="right"/>
            </w:pPr>
            <w:r>
              <w:rPr>
                <w:color w:val="000000"/>
                <w:sz w:val="24"/>
              </w:rPr>
              <w:t>667,675.51</w:t>
            </w:r>
          </w:p>
        </w:tc>
        <w:tc>
          <w:tcPr>
            <w:tcW w:w="1080" w:type="dxa"/>
            <w:vAlign w:val="center"/>
          </w:tcPr>
          <w:p w:rsidR="00B10F73" w:rsidRDefault="00914739">
            <w:pPr>
              <w:jc w:val="right"/>
            </w:pPr>
            <w:r>
              <w:rPr>
                <w:color w:val="000000"/>
                <w:sz w:val="24"/>
              </w:rPr>
              <w:t>23.80%</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瑞银证券有限责任公司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645,333,643.03</w:t>
            </w:r>
          </w:p>
        </w:tc>
        <w:tc>
          <w:tcPr>
            <w:tcW w:w="1080" w:type="dxa"/>
            <w:vAlign w:val="center"/>
          </w:tcPr>
          <w:p w:rsidR="00B10F73" w:rsidRDefault="00914739">
            <w:pPr>
              <w:jc w:val="right"/>
            </w:pPr>
            <w:r>
              <w:rPr>
                <w:color w:val="000000"/>
                <w:sz w:val="24"/>
              </w:rPr>
              <w:t>21.43%</w:t>
            </w:r>
          </w:p>
        </w:tc>
        <w:tc>
          <w:tcPr>
            <w:tcW w:w="1620" w:type="dxa"/>
            <w:vAlign w:val="center"/>
          </w:tcPr>
          <w:p w:rsidR="00B10F73" w:rsidRDefault="00914739">
            <w:pPr>
              <w:jc w:val="right"/>
            </w:pPr>
            <w:r>
              <w:rPr>
                <w:color w:val="000000"/>
                <w:sz w:val="24"/>
              </w:rPr>
              <w:t>601,000.50</w:t>
            </w:r>
          </w:p>
        </w:tc>
        <w:tc>
          <w:tcPr>
            <w:tcW w:w="1080" w:type="dxa"/>
            <w:vAlign w:val="center"/>
          </w:tcPr>
          <w:p w:rsidR="00B10F73" w:rsidRDefault="00914739">
            <w:pPr>
              <w:jc w:val="right"/>
            </w:pPr>
            <w:r>
              <w:rPr>
                <w:color w:val="000000"/>
                <w:sz w:val="24"/>
              </w:rPr>
              <w:t>21.43%</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华创证券有限责任公司</w:t>
            </w:r>
          </w:p>
        </w:tc>
        <w:tc>
          <w:tcPr>
            <w:tcW w:w="779" w:type="dxa"/>
            <w:vAlign w:val="center"/>
          </w:tcPr>
          <w:p w:rsidR="00B10F73" w:rsidRDefault="00914739">
            <w:pPr>
              <w:jc w:val="center"/>
            </w:pPr>
            <w:r>
              <w:rPr>
                <w:color w:val="000000"/>
                <w:sz w:val="24"/>
              </w:rPr>
              <w:t>3</w:t>
            </w:r>
          </w:p>
        </w:tc>
        <w:tc>
          <w:tcPr>
            <w:tcW w:w="1800" w:type="dxa"/>
            <w:vAlign w:val="center"/>
          </w:tcPr>
          <w:p w:rsidR="00B10F73" w:rsidRDefault="00914739">
            <w:pPr>
              <w:jc w:val="right"/>
            </w:pPr>
            <w:r>
              <w:rPr>
                <w:color w:val="000000"/>
                <w:sz w:val="24"/>
              </w:rPr>
              <w:t>496,345,687.85</w:t>
            </w:r>
          </w:p>
        </w:tc>
        <w:tc>
          <w:tcPr>
            <w:tcW w:w="1080" w:type="dxa"/>
            <w:vAlign w:val="center"/>
          </w:tcPr>
          <w:p w:rsidR="00B10F73" w:rsidRDefault="00914739">
            <w:pPr>
              <w:jc w:val="right"/>
            </w:pPr>
            <w:r>
              <w:rPr>
                <w:color w:val="000000"/>
                <w:sz w:val="24"/>
              </w:rPr>
              <w:t>16.48%</w:t>
            </w:r>
          </w:p>
        </w:tc>
        <w:tc>
          <w:tcPr>
            <w:tcW w:w="1620" w:type="dxa"/>
            <w:vAlign w:val="center"/>
          </w:tcPr>
          <w:p w:rsidR="00B10F73" w:rsidRDefault="00914739">
            <w:pPr>
              <w:jc w:val="right"/>
            </w:pPr>
            <w:r>
              <w:rPr>
                <w:color w:val="000000"/>
                <w:sz w:val="24"/>
              </w:rPr>
              <w:t>462,246.72</w:t>
            </w:r>
          </w:p>
        </w:tc>
        <w:tc>
          <w:tcPr>
            <w:tcW w:w="1080" w:type="dxa"/>
            <w:vAlign w:val="center"/>
          </w:tcPr>
          <w:p w:rsidR="00B10F73" w:rsidRDefault="00914739">
            <w:pPr>
              <w:jc w:val="right"/>
            </w:pPr>
            <w:r>
              <w:rPr>
                <w:color w:val="000000"/>
                <w:sz w:val="24"/>
              </w:rPr>
              <w:t>16.48%</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长江证券股份有限公司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307,545,533.57</w:t>
            </w:r>
          </w:p>
        </w:tc>
        <w:tc>
          <w:tcPr>
            <w:tcW w:w="1080" w:type="dxa"/>
            <w:vAlign w:val="center"/>
          </w:tcPr>
          <w:p w:rsidR="00B10F73" w:rsidRDefault="00914739">
            <w:pPr>
              <w:jc w:val="right"/>
            </w:pPr>
            <w:r>
              <w:rPr>
                <w:color w:val="000000"/>
                <w:sz w:val="24"/>
              </w:rPr>
              <w:t>10.21%</w:t>
            </w:r>
          </w:p>
        </w:tc>
        <w:tc>
          <w:tcPr>
            <w:tcW w:w="1620" w:type="dxa"/>
            <w:vAlign w:val="center"/>
          </w:tcPr>
          <w:p w:rsidR="00B10F73" w:rsidRDefault="00914739">
            <w:pPr>
              <w:jc w:val="right"/>
            </w:pPr>
            <w:r>
              <w:rPr>
                <w:color w:val="000000"/>
                <w:sz w:val="24"/>
              </w:rPr>
              <w:t>286,417.96</w:t>
            </w:r>
          </w:p>
        </w:tc>
        <w:tc>
          <w:tcPr>
            <w:tcW w:w="1080" w:type="dxa"/>
            <w:vAlign w:val="center"/>
          </w:tcPr>
          <w:p w:rsidR="00B10F73" w:rsidRDefault="00914739">
            <w:pPr>
              <w:jc w:val="right"/>
            </w:pPr>
            <w:r>
              <w:rPr>
                <w:color w:val="000000"/>
                <w:sz w:val="24"/>
              </w:rPr>
              <w:t>10.21%</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东方证券股份有限公司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301,536,871.64</w:t>
            </w:r>
          </w:p>
        </w:tc>
        <w:tc>
          <w:tcPr>
            <w:tcW w:w="1080" w:type="dxa"/>
            <w:vAlign w:val="center"/>
          </w:tcPr>
          <w:p w:rsidR="00B10F73" w:rsidRDefault="00914739">
            <w:pPr>
              <w:jc w:val="right"/>
            </w:pPr>
            <w:r>
              <w:rPr>
                <w:color w:val="000000"/>
                <w:sz w:val="24"/>
              </w:rPr>
              <w:t>10.01%</w:t>
            </w:r>
          </w:p>
        </w:tc>
        <w:tc>
          <w:tcPr>
            <w:tcW w:w="1620" w:type="dxa"/>
            <w:vAlign w:val="center"/>
          </w:tcPr>
          <w:p w:rsidR="00B10F73" w:rsidRDefault="00914739">
            <w:pPr>
              <w:jc w:val="right"/>
            </w:pPr>
            <w:r>
              <w:rPr>
                <w:color w:val="000000"/>
                <w:sz w:val="24"/>
              </w:rPr>
              <w:t>280,820.98</w:t>
            </w:r>
          </w:p>
        </w:tc>
        <w:tc>
          <w:tcPr>
            <w:tcW w:w="1080" w:type="dxa"/>
            <w:vAlign w:val="center"/>
          </w:tcPr>
          <w:p w:rsidR="00B10F73" w:rsidRDefault="00914739">
            <w:pPr>
              <w:jc w:val="right"/>
            </w:pPr>
            <w:r>
              <w:rPr>
                <w:color w:val="000000"/>
                <w:sz w:val="24"/>
              </w:rPr>
              <w:t>10.01%</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国开证券有限责任公司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199,046,281.07</w:t>
            </w:r>
          </w:p>
        </w:tc>
        <w:tc>
          <w:tcPr>
            <w:tcW w:w="1080" w:type="dxa"/>
            <w:vAlign w:val="center"/>
          </w:tcPr>
          <w:p w:rsidR="00B10F73" w:rsidRDefault="00914739">
            <w:pPr>
              <w:jc w:val="right"/>
            </w:pPr>
            <w:r>
              <w:rPr>
                <w:color w:val="000000"/>
                <w:sz w:val="24"/>
              </w:rPr>
              <w:t>6.61%</w:t>
            </w:r>
          </w:p>
        </w:tc>
        <w:tc>
          <w:tcPr>
            <w:tcW w:w="1620" w:type="dxa"/>
            <w:vAlign w:val="center"/>
          </w:tcPr>
          <w:p w:rsidR="00B10F73" w:rsidRDefault="00914739">
            <w:pPr>
              <w:jc w:val="right"/>
            </w:pPr>
            <w:r>
              <w:rPr>
                <w:color w:val="000000"/>
                <w:sz w:val="24"/>
              </w:rPr>
              <w:t>185,371.16</w:t>
            </w:r>
          </w:p>
        </w:tc>
        <w:tc>
          <w:tcPr>
            <w:tcW w:w="1080" w:type="dxa"/>
            <w:vAlign w:val="center"/>
          </w:tcPr>
          <w:p w:rsidR="00B10F73" w:rsidRDefault="00914739">
            <w:pPr>
              <w:jc w:val="right"/>
            </w:pPr>
            <w:r>
              <w:rPr>
                <w:color w:val="000000"/>
                <w:sz w:val="24"/>
              </w:rPr>
              <w:t>6.61%</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西藏东方财富证券股份有限公司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134,300,557.03</w:t>
            </w:r>
          </w:p>
        </w:tc>
        <w:tc>
          <w:tcPr>
            <w:tcW w:w="1080" w:type="dxa"/>
            <w:vAlign w:val="center"/>
          </w:tcPr>
          <w:p w:rsidR="00B10F73" w:rsidRDefault="00914739">
            <w:pPr>
              <w:jc w:val="right"/>
            </w:pPr>
            <w:r>
              <w:rPr>
                <w:color w:val="000000"/>
                <w:sz w:val="24"/>
              </w:rPr>
              <w:t>4.46%</w:t>
            </w:r>
          </w:p>
        </w:tc>
        <w:tc>
          <w:tcPr>
            <w:tcW w:w="1620" w:type="dxa"/>
            <w:vAlign w:val="center"/>
          </w:tcPr>
          <w:p w:rsidR="00B10F73" w:rsidRDefault="00914739">
            <w:pPr>
              <w:jc w:val="right"/>
            </w:pPr>
            <w:r>
              <w:rPr>
                <w:color w:val="000000"/>
                <w:sz w:val="24"/>
              </w:rPr>
              <w:t>125,074.46</w:t>
            </w:r>
          </w:p>
        </w:tc>
        <w:tc>
          <w:tcPr>
            <w:tcW w:w="1080" w:type="dxa"/>
            <w:vAlign w:val="center"/>
          </w:tcPr>
          <w:p w:rsidR="00B10F73" w:rsidRDefault="00914739">
            <w:pPr>
              <w:jc w:val="right"/>
            </w:pPr>
            <w:r>
              <w:rPr>
                <w:color w:val="000000"/>
                <w:sz w:val="24"/>
              </w:rPr>
              <w:t>4.46%</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lastRenderedPageBreak/>
              <w:t>民生证券股份有限公司</w:t>
            </w:r>
          </w:p>
        </w:tc>
        <w:tc>
          <w:tcPr>
            <w:tcW w:w="779" w:type="dxa"/>
            <w:vAlign w:val="center"/>
          </w:tcPr>
          <w:p w:rsidR="00B10F73" w:rsidRDefault="00914739">
            <w:pPr>
              <w:jc w:val="center"/>
            </w:pPr>
            <w:r>
              <w:rPr>
                <w:color w:val="000000"/>
                <w:sz w:val="24"/>
              </w:rPr>
              <w:t>2</w:t>
            </w:r>
          </w:p>
        </w:tc>
        <w:tc>
          <w:tcPr>
            <w:tcW w:w="1800" w:type="dxa"/>
            <w:vAlign w:val="center"/>
          </w:tcPr>
          <w:p w:rsidR="00B10F73" w:rsidRDefault="00914739">
            <w:pPr>
              <w:jc w:val="right"/>
            </w:pPr>
            <w:r>
              <w:rPr>
                <w:color w:val="000000"/>
                <w:sz w:val="24"/>
              </w:rPr>
              <w:t>118,155,140.37</w:t>
            </w:r>
          </w:p>
        </w:tc>
        <w:tc>
          <w:tcPr>
            <w:tcW w:w="1080" w:type="dxa"/>
            <w:vAlign w:val="center"/>
          </w:tcPr>
          <w:p w:rsidR="00B10F73" w:rsidRDefault="00914739">
            <w:pPr>
              <w:jc w:val="right"/>
            </w:pPr>
            <w:r>
              <w:rPr>
                <w:color w:val="000000"/>
                <w:sz w:val="24"/>
              </w:rPr>
              <w:t>3.92%</w:t>
            </w:r>
          </w:p>
        </w:tc>
        <w:tc>
          <w:tcPr>
            <w:tcW w:w="1620" w:type="dxa"/>
            <w:vAlign w:val="center"/>
          </w:tcPr>
          <w:p w:rsidR="00B10F73" w:rsidRDefault="00914739">
            <w:pPr>
              <w:jc w:val="right"/>
            </w:pPr>
            <w:r>
              <w:rPr>
                <w:color w:val="000000"/>
                <w:sz w:val="24"/>
              </w:rPr>
              <w:t>110,037.84</w:t>
            </w:r>
          </w:p>
        </w:tc>
        <w:tc>
          <w:tcPr>
            <w:tcW w:w="1080" w:type="dxa"/>
            <w:vAlign w:val="center"/>
          </w:tcPr>
          <w:p w:rsidR="00B10F73" w:rsidRDefault="00914739">
            <w:pPr>
              <w:jc w:val="right"/>
            </w:pPr>
            <w:r>
              <w:rPr>
                <w:color w:val="000000"/>
                <w:sz w:val="24"/>
              </w:rPr>
              <w:t>3.92%</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北京高华证券有限责任公司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w:t>
            </w:r>
          </w:p>
        </w:tc>
        <w:tc>
          <w:tcPr>
            <w:tcW w:w="1080" w:type="dxa"/>
            <w:vAlign w:val="center"/>
          </w:tcPr>
          <w:p w:rsidR="00B10F73" w:rsidRDefault="00914739">
            <w:pPr>
              <w:jc w:val="right"/>
            </w:pPr>
            <w:r>
              <w:rPr>
                <w:color w:val="000000"/>
                <w:sz w:val="24"/>
              </w:rPr>
              <w:t>-</w:t>
            </w:r>
          </w:p>
        </w:tc>
        <w:tc>
          <w:tcPr>
            <w:tcW w:w="1620" w:type="dxa"/>
            <w:vAlign w:val="center"/>
          </w:tcPr>
          <w:p w:rsidR="00B10F73" w:rsidRDefault="00914739">
            <w:pPr>
              <w:jc w:val="right"/>
            </w:pPr>
            <w:r>
              <w:rPr>
                <w:color w:val="000000"/>
                <w:sz w:val="24"/>
              </w:rPr>
              <w:t>-</w:t>
            </w:r>
          </w:p>
        </w:tc>
        <w:tc>
          <w:tcPr>
            <w:tcW w:w="1080" w:type="dxa"/>
            <w:vAlign w:val="center"/>
          </w:tcPr>
          <w:p w:rsidR="00B10F73" w:rsidRDefault="00914739">
            <w:pPr>
              <w:jc w:val="right"/>
            </w:pPr>
            <w:r>
              <w:rPr>
                <w:color w:val="000000"/>
                <w:sz w:val="24"/>
              </w:rPr>
              <w:t>-</w:t>
            </w:r>
          </w:p>
        </w:tc>
        <w:tc>
          <w:tcPr>
            <w:tcW w:w="1080" w:type="dxa"/>
            <w:vAlign w:val="center"/>
          </w:tcPr>
          <w:p w:rsidR="00B10F73" w:rsidRDefault="00914739">
            <w:pPr>
              <w:jc w:val="left"/>
            </w:pPr>
            <w:r>
              <w:rPr>
                <w:color w:val="000000"/>
                <w:sz w:val="24"/>
              </w:rPr>
              <w:t>-</w:t>
            </w:r>
          </w:p>
        </w:tc>
      </w:tr>
      <w:tr w:rsidR="00B10F73">
        <w:tc>
          <w:tcPr>
            <w:tcW w:w="1559" w:type="dxa"/>
            <w:vAlign w:val="center"/>
          </w:tcPr>
          <w:p w:rsidR="00B10F73" w:rsidRDefault="00914739">
            <w:pPr>
              <w:jc w:val="center"/>
            </w:pPr>
            <w:r>
              <w:rPr>
                <w:color w:val="000000"/>
                <w:sz w:val="24"/>
              </w:rPr>
              <w:t>东吴证券股份有限公司</w:t>
            </w:r>
          </w:p>
        </w:tc>
        <w:tc>
          <w:tcPr>
            <w:tcW w:w="779" w:type="dxa"/>
            <w:vAlign w:val="center"/>
          </w:tcPr>
          <w:p w:rsidR="00B10F73" w:rsidRDefault="00914739">
            <w:pPr>
              <w:jc w:val="center"/>
            </w:pPr>
            <w:r>
              <w:rPr>
                <w:color w:val="000000"/>
                <w:sz w:val="24"/>
              </w:rPr>
              <w:t>1</w:t>
            </w:r>
          </w:p>
        </w:tc>
        <w:tc>
          <w:tcPr>
            <w:tcW w:w="1800" w:type="dxa"/>
            <w:vAlign w:val="center"/>
          </w:tcPr>
          <w:p w:rsidR="00B10F73" w:rsidRDefault="00914739">
            <w:pPr>
              <w:jc w:val="right"/>
            </w:pPr>
            <w:r>
              <w:rPr>
                <w:color w:val="000000"/>
                <w:sz w:val="24"/>
              </w:rPr>
              <w:t>-</w:t>
            </w:r>
          </w:p>
        </w:tc>
        <w:tc>
          <w:tcPr>
            <w:tcW w:w="1080" w:type="dxa"/>
            <w:vAlign w:val="center"/>
          </w:tcPr>
          <w:p w:rsidR="00B10F73" w:rsidRDefault="00914739">
            <w:pPr>
              <w:jc w:val="right"/>
            </w:pPr>
            <w:r>
              <w:rPr>
                <w:color w:val="000000"/>
                <w:sz w:val="24"/>
              </w:rPr>
              <w:t>-</w:t>
            </w:r>
          </w:p>
        </w:tc>
        <w:tc>
          <w:tcPr>
            <w:tcW w:w="1620" w:type="dxa"/>
            <w:vAlign w:val="center"/>
          </w:tcPr>
          <w:p w:rsidR="00B10F73" w:rsidRDefault="00914739">
            <w:pPr>
              <w:jc w:val="right"/>
            </w:pPr>
            <w:r>
              <w:rPr>
                <w:color w:val="000000"/>
                <w:sz w:val="24"/>
              </w:rPr>
              <w:t>-</w:t>
            </w:r>
          </w:p>
        </w:tc>
        <w:tc>
          <w:tcPr>
            <w:tcW w:w="1080" w:type="dxa"/>
            <w:vAlign w:val="center"/>
          </w:tcPr>
          <w:p w:rsidR="00B10F73" w:rsidRDefault="00914739">
            <w:pPr>
              <w:jc w:val="right"/>
            </w:pPr>
            <w:r>
              <w:rPr>
                <w:color w:val="000000"/>
                <w:sz w:val="24"/>
              </w:rPr>
              <w:t>-</w:t>
            </w:r>
          </w:p>
        </w:tc>
        <w:tc>
          <w:tcPr>
            <w:tcW w:w="1080" w:type="dxa"/>
            <w:vAlign w:val="center"/>
          </w:tcPr>
          <w:p w:rsidR="00B10F73" w:rsidRDefault="00914739">
            <w:pPr>
              <w:jc w:val="left"/>
            </w:pPr>
            <w:r>
              <w:rPr>
                <w:color w:val="000000"/>
                <w:sz w:val="24"/>
              </w:rPr>
              <w:t>-</w:t>
            </w:r>
          </w:p>
        </w:tc>
      </w:tr>
    </w:tbl>
    <w:p w:rsidR="00B10F73" w:rsidRDefault="00914739">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B10F73" w:rsidRDefault="00914739">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、租用证券公司交易单元的程序：首先根据租用证券公司交易单元的选择标准进行综合评价，然后根据评价选择基金交易单元。研究部提交方案，并上报公司批准。</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sz w:val="24"/>
        </w:rPr>
      </w:pPr>
      <w:r w:rsidRPr="005C672D">
        <w:rPr>
          <w:b/>
          <w:sz w:val="24"/>
        </w:rPr>
        <w:t xml:space="preserve">10.7.2 </w:t>
      </w:r>
      <w:r w:rsidRPr="005C672D">
        <w:rPr>
          <w:b/>
          <w:sz w:val="24"/>
        </w:rPr>
        <w:t>基金租用证券公司交易单元进行其他证券投资的情况</w:t>
      </w:r>
      <w:bookmarkEnd w:id="88"/>
    </w:p>
    <w:p w:rsidR="00FD7A40" w:rsidRPr="005C672D" w:rsidRDefault="00FD7A40" w:rsidP="00AC6DDA">
      <w:pPr>
        <w:autoSpaceDE w:val="0"/>
        <w:autoSpaceDN w:val="0"/>
        <w:adjustRightInd w:val="0"/>
        <w:spacing w:before="29" w:line="288" w:lineRule="auto"/>
        <w:jc w:val="left"/>
        <w:rPr>
          <w:color w:val="000000"/>
          <w:sz w:val="24"/>
        </w:rPr>
      </w:pPr>
      <w:r w:rsidRPr="005C672D">
        <w:rPr>
          <w:color w:val="000000"/>
          <w:sz w:val="24"/>
        </w:rPr>
        <w:t>无。</w:t>
      </w:r>
    </w:p>
    <w:p w:rsidR="00CB75C2" w:rsidRPr="005C672D" w:rsidRDefault="00CB75C2" w:rsidP="00AC6DDA">
      <w:pPr>
        <w:autoSpaceDE w:val="0"/>
        <w:autoSpaceDN w:val="0"/>
        <w:adjustRightInd w:val="0"/>
        <w:spacing w:before="29" w:line="288" w:lineRule="auto"/>
        <w:jc w:val="left"/>
        <w:rPr>
          <w:color w:val="000000"/>
          <w:sz w:val="24"/>
        </w:rPr>
      </w:pPr>
    </w:p>
    <w:sectPr w:rsidR="00CB75C2" w:rsidRPr="005C67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E5" w:rsidRDefault="00EB12E5">
      <w:r>
        <w:separator/>
      </w:r>
    </w:p>
  </w:endnote>
  <w:endnote w:type="continuationSeparator" w:id="0">
    <w:p w:rsidR="00EB12E5" w:rsidRDefault="00EB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EB57AA" w:rsidP="00C03B3A">
    <w:pPr>
      <w:pStyle w:val="a6"/>
      <w:framePr w:wrap="around" w:vAnchor="text" w:hAnchor="margin" w:xAlign="right" w:y="1"/>
      <w:rPr>
        <w:rStyle w:val="a7"/>
      </w:rPr>
    </w:pPr>
    <w:r>
      <w:rPr>
        <w:rStyle w:val="a7"/>
      </w:rPr>
      <w:fldChar w:fldCharType="begin"/>
    </w:r>
    <w:r w:rsidR="0091268E">
      <w:rPr>
        <w:rStyle w:val="a7"/>
      </w:rPr>
      <w:instrText xml:space="preserve">PAGE  </w:instrText>
    </w:r>
    <w:r>
      <w:rPr>
        <w:rStyle w:val="a7"/>
      </w:rPr>
      <w:fldChar w:fldCharType="end"/>
    </w:r>
  </w:p>
  <w:p w:rsidR="0091268E" w:rsidRDefault="0091268E"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91268E" w:rsidP="00C03B3A">
    <w:pPr>
      <w:pStyle w:val="a6"/>
      <w:ind w:right="360"/>
      <w:jc w:val="center"/>
    </w:pPr>
    <w:r>
      <w:rPr>
        <w:rFonts w:hint="eastAsia"/>
        <w:kern w:val="0"/>
        <w:szCs w:val="21"/>
      </w:rPr>
      <w:t>第</w:t>
    </w:r>
    <w:r w:rsidR="00EB57AA">
      <w:rPr>
        <w:kern w:val="0"/>
        <w:szCs w:val="21"/>
      </w:rPr>
      <w:fldChar w:fldCharType="begin"/>
    </w:r>
    <w:r>
      <w:rPr>
        <w:kern w:val="0"/>
        <w:szCs w:val="21"/>
      </w:rPr>
      <w:instrText xml:space="preserve"> PAGE </w:instrText>
    </w:r>
    <w:r w:rsidR="00EB57AA">
      <w:rPr>
        <w:kern w:val="0"/>
        <w:szCs w:val="21"/>
      </w:rPr>
      <w:fldChar w:fldCharType="separate"/>
    </w:r>
    <w:r w:rsidR="00EE028A">
      <w:rPr>
        <w:noProof/>
        <w:kern w:val="0"/>
        <w:szCs w:val="21"/>
      </w:rPr>
      <w:t>26</w:t>
    </w:r>
    <w:r w:rsidR="00EB57AA">
      <w:rPr>
        <w:kern w:val="0"/>
        <w:szCs w:val="21"/>
      </w:rPr>
      <w:fldChar w:fldCharType="end"/>
    </w:r>
    <w:proofErr w:type="gramStart"/>
    <w:r>
      <w:rPr>
        <w:rFonts w:hint="eastAsia"/>
        <w:kern w:val="0"/>
        <w:szCs w:val="21"/>
      </w:rPr>
      <w:t>页共</w:t>
    </w:r>
    <w:proofErr w:type="gramEnd"/>
    <w:r w:rsidR="00EB57AA">
      <w:rPr>
        <w:kern w:val="0"/>
        <w:szCs w:val="21"/>
      </w:rPr>
      <w:fldChar w:fldCharType="begin"/>
    </w:r>
    <w:r>
      <w:rPr>
        <w:kern w:val="0"/>
        <w:szCs w:val="21"/>
      </w:rPr>
      <w:instrText xml:space="preserve"> NUMPAGES </w:instrText>
    </w:r>
    <w:r w:rsidR="00EB57AA">
      <w:rPr>
        <w:kern w:val="0"/>
        <w:szCs w:val="21"/>
      </w:rPr>
      <w:fldChar w:fldCharType="separate"/>
    </w:r>
    <w:r w:rsidR="00EE028A">
      <w:rPr>
        <w:noProof/>
        <w:kern w:val="0"/>
        <w:szCs w:val="21"/>
      </w:rPr>
      <w:t>30</w:t>
    </w:r>
    <w:r w:rsidR="00EB57AA">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E5" w:rsidRDefault="00EB12E5">
      <w:r>
        <w:separator/>
      </w:r>
    </w:p>
  </w:footnote>
  <w:footnote w:type="continuationSeparator" w:id="0">
    <w:p w:rsidR="00EB12E5" w:rsidRDefault="00EB1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Pr="00A27DD3" w:rsidRDefault="0091268E" w:rsidP="002243A3">
    <w:pPr>
      <w:pStyle w:val="a9"/>
      <w:pBdr>
        <w:bottom w:val="single" w:sz="6" w:space="0" w:color="auto"/>
      </w:pBdr>
      <w:jc w:val="right"/>
    </w:pPr>
    <w:r w:rsidRPr="00A27DD3">
      <w:rPr>
        <w:rFonts w:hint="eastAsia"/>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A27DD3">
      <w:t>交银施罗德优势行业灵活配置混合型证券投资基金</w:t>
    </w:r>
    <w:r w:rsidRPr="00A27DD3">
      <w:t>2017</w:t>
    </w:r>
    <w:r w:rsidRPr="00A27DD3">
      <w:t>年半年度报告</w:t>
    </w:r>
    <w:r w:rsidRPr="00A27DD3">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A60"/>
    <w:rsid w:val="00177C4B"/>
    <w:rsid w:val="00177F6A"/>
    <w:rsid w:val="00181293"/>
    <w:rsid w:val="0018174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8DF"/>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56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6E8C"/>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7A0"/>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19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739"/>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509"/>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0A0"/>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44B6"/>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48DE"/>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73"/>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60A"/>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BC6"/>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2E5"/>
    <w:rsid w:val="00EB1348"/>
    <w:rsid w:val="00EB17BE"/>
    <w:rsid w:val="00EB1A1B"/>
    <w:rsid w:val="00EB1F02"/>
    <w:rsid w:val="00EB2522"/>
    <w:rsid w:val="00EB2E64"/>
    <w:rsid w:val="00EB3290"/>
    <w:rsid w:val="00EB3F86"/>
    <w:rsid w:val="00EB57AA"/>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5B5F"/>
    <w:rsid w:val="00EC638F"/>
    <w:rsid w:val="00EC7927"/>
    <w:rsid w:val="00ED047A"/>
    <w:rsid w:val="00ED095E"/>
    <w:rsid w:val="00ED1971"/>
    <w:rsid w:val="00ED1988"/>
    <w:rsid w:val="00ED1A0B"/>
    <w:rsid w:val="00ED27DD"/>
    <w:rsid w:val="00ED39FF"/>
    <w:rsid w:val="00ED5162"/>
    <w:rsid w:val="00ED5669"/>
    <w:rsid w:val="00ED592C"/>
    <w:rsid w:val="00ED697C"/>
    <w:rsid w:val="00EE028A"/>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406B5AF-B67D-4D3A-A7BB-76F2CCFC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BB4F-2AFA-4954-A687-6ED27F62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30</Pages>
  <Words>3410</Words>
  <Characters>19443</Characters>
  <Application>Microsoft Office Word</Application>
  <DocSecurity>0</DocSecurity>
  <Lines>162</Lines>
  <Paragraphs>45</Paragraphs>
  <ScaleCrop>false</ScaleCrop>
  <Company/>
  <LinksUpToDate>false</LinksUpToDate>
  <CharactersWithSpaces>22808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1262</cp:revision>
  <cp:lastPrinted>2007-07-19T00:46:00Z</cp:lastPrinted>
  <dcterms:created xsi:type="dcterms:W3CDTF">2013-08-19T07:44:00Z</dcterms:created>
  <dcterms:modified xsi:type="dcterms:W3CDTF">2017-08-23T08:41:00Z</dcterms:modified>
</cp:coreProperties>
</file>