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交银施罗德启通灵活配置混合型证券投资基金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上海浦东发展银行股份有限公司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二〇一七年七月二十日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67332" w:rsidRDefault="005C62C5">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67332" w:rsidRDefault="005C62C5">
      <w:pPr>
        <w:spacing w:before="29" w:line="288" w:lineRule="auto"/>
        <w:ind w:firstLineChars="200" w:firstLine="480"/>
        <w:rPr>
          <w:rFonts w:eastAsiaTheme="minorEastAsia"/>
          <w:color w:val="000000"/>
          <w:sz w:val="24"/>
        </w:rPr>
      </w:pPr>
      <w:r>
        <w:rPr>
          <w:rFonts w:eastAsiaTheme="minorEastAsia"/>
          <w:color w:val="000000"/>
          <w:sz w:val="24"/>
        </w:rPr>
        <w:t>基金托管人上海浦东发展银行股份有限公司根据本基金合同规定，于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67332" w:rsidRDefault="005C62C5">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67332" w:rsidRDefault="005C62C5">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67332" w:rsidRDefault="005C62C5">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交银启通灵活配置混合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004207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2017</w:t>
            </w:r>
            <w:r w:rsidRPr="007F52FA">
              <w:rPr>
                <w:color w:val="000000"/>
                <w:kern w:val="0"/>
                <w:sz w:val="24"/>
              </w:rPr>
              <w:t>年</w:t>
            </w:r>
            <w:r w:rsidRPr="007F52FA">
              <w:rPr>
                <w:color w:val="000000"/>
                <w:kern w:val="0"/>
                <w:sz w:val="24"/>
              </w:rPr>
              <w:t>2</w:t>
            </w:r>
            <w:r w:rsidRPr="007F52FA">
              <w:rPr>
                <w:color w:val="000000"/>
                <w:kern w:val="0"/>
                <w:sz w:val="24"/>
              </w:rPr>
              <w:t>月</w:t>
            </w:r>
            <w:r w:rsidRPr="007F52FA">
              <w:rPr>
                <w:color w:val="000000"/>
                <w:kern w:val="0"/>
                <w:sz w:val="24"/>
              </w:rPr>
              <w:t>24</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600,057,075.73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r w:rsidRPr="007F52FA">
              <w:rPr>
                <w:color w:val="000000"/>
                <w:kern w:val="0"/>
                <w:sz w:val="24"/>
              </w:rPr>
              <w:t>×50%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w:t>
            </w:r>
            <w:r w:rsidRPr="007F52FA">
              <w:rPr>
                <w:color w:val="000000"/>
                <w:kern w:val="0"/>
                <w:sz w:val="24"/>
              </w:rPr>
              <w:lastRenderedPageBreak/>
              <w:t>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上海浦东发展银行股份有限公司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交银启通灵活配置混合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交银启通灵活配置混合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004207</w:t>
            </w:r>
          </w:p>
        </w:tc>
        <w:tc>
          <w:tcPr>
            <w:tcW w:w="3048" w:type="dxa"/>
            <w:vAlign w:val="center"/>
          </w:tcPr>
          <w:p w:rsidR="00C23B30" w:rsidRPr="000E4C40" w:rsidRDefault="00C23B30" w:rsidP="00A52A9E">
            <w:pPr>
              <w:spacing w:before="29" w:line="288" w:lineRule="auto"/>
              <w:jc w:val="left"/>
              <w:rPr>
                <w:sz w:val="24"/>
              </w:rPr>
            </w:pPr>
            <w:r w:rsidRPr="000E4C40">
              <w:rPr>
                <w:sz w:val="24"/>
              </w:rPr>
              <w:t>004208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600,055,544.50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1,531.23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985402">
        <w:trPr>
          <w:jc w:val="center"/>
        </w:trPr>
        <w:tc>
          <w:tcPr>
            <w:tcW w:w="3606"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52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985402">
        <w:trPr>
          <w:jc w:val="center"/>
        </w:trPr>
        <w:tc>
          <w:tcPr>
            <w:tcW w:w="3606" w:type="dxa"/>
            <w:vMerge/>
            <w:vAlign w:val="center"/>
          </w:tcPr>
          <w:p w:rsidR="009E549D" w:rsidRPr="007F52FA" w:rsidRDefault="009E549D" w:rsidP="007C14DF">
            <w:pPr>
              <w:adjustRightInd w:val="0"/>
              <w:spacing w:before="29" w:line="288" w:lineRule="auto"/>
              <w:ind w:left="17"/>
              <w:jc w:val="center"/>
              <w:rPr>
                <w:kern w:val="0"/>
                <w:sz w:val="24"/>
              </w:rPr>
            </w:pPr>
          </w:p>
        </w:tc>
        <w:tc>
          <w:tcPr>
            <w:tcW w:w="263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交银启通灵活配置混合</w:t>
            </w:r>
            <w:r w:rsidRPr="007F52FA">
              <w:rPr>
                <w:sz w:val="24"/>
              </w:rPr>
              <w:t>A</w:t>
            </w:r>
          </w:p>
        </w:tc>
        <w:tc>
          <w:tcPr>
            <w:tcW w:w="263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交银启通灵活配置混合</w:t>
            </w:r>
            <w:r w:rsidRPr="007F52FA">
              <w:rPr>
                <w:sz w:val="24"/>
              </w:rPr>
              <w:t>C</w:t>
            </w:r>
          </w:p>
        </w:tc>
      </w:tr>
      <w:tr w:rsidR="005F293E" w:rsidRPr="007F52FA" w:rsidTr="00985402">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5,905,911.68</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15.53</w:t>
            </w:r>
          </w:p>
        </w:tc>
      </w:tr>
      <w:tr w:rsidR="005F293E" w:rsidRPr="007F52FA" w:rsidTr="00985402">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19,865,162.17</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51.43</w:t>
            </w:r>
          </w:p>
        </w:tc>
      </w:tr>
      <w:tr w:rsidR="005F293E" w:rsidRPr="007F52FA" w:rsidTr="00985402">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0.0331</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0.0331</w:t>
            </w:r>
          </w:p>
        </w:tc>
      </w:tr>
      <w:tr w:rsidR="005F293E" w:rsidRPr="007F52FA" w:rsidTr="00985402">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623,933,845.98</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1,592.51</w:t>
            </w:r>
          </w:p>
        </w:tc>
      </w:tr>
      <w:tr w:rsidR="005F293E" w:rsidRPr="007F52FA" w:rsidTr="00985402">
        <w:trPr>
          <w:trHeight w:val="158"/>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1.0398</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1.0400</w:t>
            </w:r>
          </w:p>
        </w:tc>
      </w:tr>
    </w:tbl>
    <w:p w:rsidR="00985402" w:rsidRPr="005E666F" w:rsidRDefault="00985402" w:rsidP="00985402">
      <w:pPr>
        <w:autoSpaceDE w:val="0"/>
        <w:autoSpaceDN w:val="0"/>
        <w:adjustRightInd w:val="0"/>
        <w:spacing w:before="29" w:line="288" w:lineRule="auto"/>
        <w:jc w:val="left"/>
        <w:rPr>
          <w:rFonts w:eastAsiaTheme="minorEastAsia"/>
          <w:sz w:val="24"/>
        </w:rPr>
      </w:pPr>
      <w:r w:rsidRPr="005E666F">
        <w:rPr>
          <w:rFonts w:eastAsiaTheme="minorEastAsia" w:hint="eastAsia"/>
          <w:sz w:val="24"/>
        </w:rPr>
        <w:t>注：</w:t>
      </w:r>
      <w:r w:rsidRPr="005E666F">
        <w:rPr>
          <w:rFonts w:eastAsiaTheme="minorEastAsia"/>
          <w:sz w:val="24"/>
        </w:rPr>
        <w:t>1</w:t>
      </w:r>
      <w:r w:rsidRPr="005E666F">
        <w:rPr>
          <w:rFonts w:eastAsiaTheme="minorEastAsia" w:hint="eastAsia"/>
          <w:sz w:val="24"/>
        </w:rPr>
        <w:t>、上述基金业绩指标不包括持有人认购或交易基金的各项费用，计入费用后的实际收益水平要低于所列数字；</w:t>
      </w:r>
      <w:r w:rsidRPr="005E666F">
        <w:rPr>
          <w:rFonts w:eastAsiaTheme="minorEastAsia"/>
          <w:sz w:val="24"/>
        </w:rPr>
        <w:t xml:space="preserve"> </w:t>
      </w:r>
    </w:p>
    <w:p w:rsidR="00985402" w:rsidRDefault="00985402" w:rsidP="00985402">
      <w:pPr>
        <w:autoSpaceDE w:val="0"/>
        <w:autoSpaceDN w:val="0"/>
        <w:adjustRightInd w:val="0"/>
        <w:spacing w:before="29" w:line="288" w:lineRule="auto"/>
        <w:ind w:firstLine="480"/>
        <w:jc w:val="left"/>
        <w:rPr>
          <w:rFonts w:eastAsiaTheme="minorEastAsia"/>
          <w:color w:val="000000"/>
          <w:sz w:val="24"/>
        </w:rPr>
      </w:pPr>
      <w:r w:rsidRPr="005E666F">
        <w:rPr>
          <w:rFonts w:eastAsiaTheme="minorEastAsia"/>
          <w:sz w:val="24"/>
        </w:rPr>
        <w:t>2</w:t>
      </w:r>
      <w:r w:rsidRPr="005E666F">
        <w:rPr>
          <w:rFonts w:eastAsiaTheme="minorEastAsia" w:hint="eastAsia"/>
          <w:sz w:val="24"/>
        </w:rPr>
        <w:t>、本期已实现收益指基金本期利息收入、投资收益、其他收入（不含公允价值变动收益）扣除相关费用后的余额，本期利润为本期已实现收益加上本期公允价值变动收益。</w:t>
      </w:r>
      <w:r w:rsidRPr="005E666F">
        <w:rPr>
          <w:rFonts w:eastAsiaTheme="minorEastAsia"/>
          <w:sz w:val="24"/>
        </w:rPr>
        <w:t xml:space="preserve">  </w:t>
      </w:r>
      <w:r w:rsidRPr="00405493">
        <w:rPr>
          <w:rFonts w:eastAsiaTheme="minorEastAsia"/>
          <w:color w:val="000000"/>
          <w:sz w:val="24"/>
        </w:rPr>
        <w:t xml:space="preserve"> </w:t>
      </w:r>
    </w:p>
    <w:p w:rsidR="009238DB" w:rsidRPr="00985402"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交银启通灵活配置混合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67332">
        <w:trPr>
          <w:jc w:val="center"/>
        </w:trPr>
        <w:tc>
          <w:tcPr>
            <w:tcW w:w="1266" w:type="dxa"/>
            <w:vAlign w:val="center"/>
          </w:tcPr>
          <w:p w:rsidR="00B67332" w:rsidRDefault="005C62C5">
            <w:pPr>
              <w:jc w:val="left"/>
            </w:pPr>
            <w:r>
              <w:rPr>
                <w:color w:val="000000"/>
                <w:sz w:val="24"/>
              </w:rPr>
              <w:t>过去三个月</w:t>
            </w:r>
          </w:p>
        </w:tc>
        <w:tc>
          <w:tcPr>
            <w:tcW w:w="1267" w:type="dxa"/>
            <w:vAlign w:val="center"/>
          </w:tcPr>
          <w:p w:rsidR="00B67332" w:rsidRDefault="005C62C5">
            <w:pPr>
              <w:jc w:val="center"/>
            </w:pPr>
            <w:r>
              <w:rPr>
                <w:color w:val="000000"/>
                <w:sz w:val="24"/>
              </w:rPr>
              <w:t>3.29%</w:t>
            </w:r>
          </w:p>
        </w:tc>
        <w:tc>
          <w:tcPr>
            <w:tcW w:w="1267" w:type="dxa"/>
            <w:vAlign w:val="center"/>
          </w:tcPr>
          <w:p w:rsidR="00B67332" w:rsidRDefault="005C62C5">
            <w:pPr>
              <w:jc w:val="center"/>
            </w:pPr>
            <w:r>
              <w:rPr>
                <w:color w:val="000000"/>
                <w:sz w:val="24"/>
              </w:rPr>
              <w:t>0.20%</w:t>
            </w:r>
          </w:p>
        </w:tc>
        <w:tc>
          <w:tcPr>
            <w:tcW w:w="1267" w:type="dxa"/>
            <w:vAlign w:val="center"/>
          </w:tcPr>
          <w:p w:rsidR="00B67332" w:rsidRDefault="005C62C5">
            <w:pPr>
              <w:jc w:val="center"/>
            </w:pPr>
            <w:r>
              <w:rPr>
                <w:color w:val="000000"/>
                <w:sz w:val="24"/>
              </w:rPr>
              <w:t>2.58%</w:t>
            </w:r>
          </w:p>
        </w:tc>
        <w:tc>
          <w:tcPr>
            <w:tcW w:w="1267" w:type="dxa"/>
            <w:vAlign w:val="center"/>
          </w:tcPr>
          <w:p w:rsidR="00B67332" w:rsidRDefault="005C62C5">
            <w:pPr>
              <w:jc w:val="center"/>
            </w:pPr>
            <w:r>
              <w:rPr>
                <w:color w:val="000000"/>
                <w:sz w:val="24"/>
              </w:rPr>
              <w:t>0.32%</w:t>
            </w:r>
          </w:p>
        </w:tc>
        <w:tc>
          <w:tcPr>
            <w:tcW w:w="1267" w:type="dxa"/>
            <w:vAlign w:val="center"/>
          </w:tcPr>
          <w:p w:rsidR="00B67332" w:rsidRDefault="005C62C5">
            <w:pPr>
              <w:jc w:val="center"/>
            </w:pPr>
            <w:r>
              <w:rPr>
                <w:color w:val="000000"/>
                <w:sz w:val="24"/>
              </w:rPr>
              <w:t>0.71%</w:t>
            </w:r>
          </w:p>
        </w:tc>
        <w:tc>
          <w:tcPr>
            <w:tcW w:w="1267" w:type="dxa"/>
            <w:vAlign w:val="center"/>
          </w:tcPr>
          <w:p w:rsidR="00B67332" w:rsidRDefault="005C62C5">
            <w:pPr>
              <w:jc w:val="center"/>
            </w:pPr>
            <w:r>
              <w:rPr>
                <w:color w:val="000000"/>
                <w:sz w:val="24"/>
              </w:rPr>
              <w:t>-0.12%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交银启通灵活配置混合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67332">
        <w:trPr>
          <w:jc w:val="center"/>
        </w:trPr>
        <w:tc>
          <w:tcPr>
            <w:tcW w:w="1266" w:type="dxa"/>
            <w:vAlign w:val="center"/>
          </w:tcPr>
          <w:p w:rsidR="00B67332" w:rsidRDefault="005C62C5">
            <w:pPr>
              <w:jc w:val="left"/>
            </w:pPr>
            <w:r>
              <w:rPr>
                <w:color w:val="000000"/>
                <w:sz w:val="24"/>
              </w:rPr>
              <w:t>过去三个月</w:t>
            </w:r>
          </w:p>
        </w:tc>
        <w:tc>
          <w:tcPr>
            <w:tcW w:w="1267" w:type="dxa"/>
            <w:vAlign w:val="center"/>
          </w:tcPr>
          <w:p w:rsidR="00B67332" w:rsidRDefault="005C62C5">
            <w:pPr>
              <w:jc w:val="center"/>
            </w:pPr>
            <w:r>
              <w:rPr>
                <w:color w:val="000000"/>
                <w:sz w:val="24"/>
              </w:rPr>
              <w:t>3.30%</w:t>
            </w:r>
          </w:p>
        </w:tc>
        <w:tc>
          <w:tcPr>
            <w:tcW w:w="1267" w:type="dxa"/>
            <w:vAlign w:val="center"/>
          </w:tcPr>
          <w:p w:rsidR="00B67332" w:rsidRDefault="005C62C5">
            <w:pPr>
              <w:jc w:val="center"/>
            </w:pPr>
            <w:r>
              <w:rPr>
                <w:color w:val="000000"/>
                <w:sz w:val="24"/>
              </w:rPr>
              <w:t>0.20%</w:t>
            </w:r>
          </w:p>
        </w:tc>
        <w:tc>
          <w:tcPr>
            <w:tcW w:w="1267" w:type="dxa"/>
            <w:vAlign w:val="center"/>
          </w:tcPr>
          <w:p w:rsidR="00B67332" w:rsidRDefault="005C62C5">
            <w:pPr>
              <w:jc w:val="center"/>
            </w:pPr>
            <w:r>
              <w:rPr>
                <w:color w:val="000000"/>
                <w:sz w:val="24"/>
              </w:rPr>
              <w:t>2.58%</w:t>
            </w:r>
          </w:p>
        </w:tc>
        <w:tc>
          <w:tcPr>
            <w:tcW w:w="1267" w:type="dxa"/>
            <w:vAlign w:val="center"/>
          </w:tcPr>
          <w:p w:rsidR="00B67332" w:rsidRDefault="005C62C5">
            <w:pPr>
              <w:jc w:val="center"/>
            </w:pPr>
            <w:r>
              <w:rPr>
                <w:color w:val="000000"/>
                <w:sz w:val="24"/>
              </w:rPr>
              <w:t>0.32%</w:t>
            </w:r>
          </w:p>
        </w:tc>
        <w:tc>
          <w:tcPr>
            <w:tcW w:w="1267" w:type="dxa"/>
            <w:vAlign w:val="center"/>
          </w:tcPr>
          <w:p w:rsidR="00B67332" w:rsidRDefault="005C62C5">
            <w:pPr>
              <w:jc w:val="center"/>
            </w:pPr>
            <w:r>
              <w:rPr>
                <w:color w:val="000000"/>
                <w:sz w:val="24"/>
              </w:rPr>
              <w:t>0.72%</w:t>
            </w:r>
          </w:p>
        </w:tc>
        <w:tc>
          <w:tcPr>
            <w:tcW w:w="1267" w:type="dxa"/>
            <w:vAlign w:val="center"/>
          </w:tcPr>
          <w:p w:rsidR="00B67332" w:rsidRDefault="005C62C5">
            <w:pPr>
              <w:jc w:val="center"/>
            </w:pPr>
            <w:r>
              <w:rPr>
                <w:color w:val="000000"/>
                <w:sz w:val="24"/>
              </w:rPr>
              <w:t>-0.12%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交银施罗德启通灵活配置混合型证券投资基金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w:t>
      </w:r>
      <w:r w:rsidR="00D04410" w:rsidRPr="007F52FA">
        <w:rPr>
          <w:rFonts w:ascii="Times New Roman" w:hAnsi="Times New Roman"/>
          <w:sz w:val="24"/>
          <w:szCs w:val="24"/>
        </w:rPr>
        <w:t>年</w:t>
      </w:r>
      <w:r w:rsidR="00D04410" w:rsidRPr="007F52FA">
        <w:rPr>
          <w:rFonts w:ascii="Times New Roman" w:hAnsi="Times New Roman"/>
          <w:sz w:val="24"/>
          <w:szCs w:val="24"/>
        </w:rPr>
        <w:t>2</w:t>
      </w:r>
      <w:r w:rsidR="00D04410" w:rsidRPr="007F52FA">
        <w:rPr>
          <w:rFonts w:ascii="Times New Roman" w:hAnsi="Times New Roman"/>
          <w:sz w:val="24"/>
          <w:szCs w:val="24"/>
        </w:rPr>
        <w:t>月</w:t>
      </w:r>
      <w:r w:rsidR="00D04410" w:rsidRPr="007F52FA">
        <w:rPr>
          <w:rFonts w:ascii="Times New Roman" w:hAnsi="Times New Roman"/>
          <w:sz w:val="24"/>
          <w:szCs w:val="24"/>
        </w:rPr>
        <w:t>24</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交银启通灵活配置混合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2017</w:t>
      </w:r>
      <w:r w:rsidRPr="007F52FA">
        <w:rPr>
          <w:color w:val="000000"/>
          <w:sz w:val="24"/>
        </w:rPr>
        <w:t>年</w:t>
      </w:r>
      <w:r w:rsidRPr="007F52FA">
        <w:rPr>
          <w:color w:val="000000"/>
          <w:sz w:val="24"/>
        </w:rPr>
        <w:t>2</w:t>
      </w:r>
      <w:r w:rsidRPr="007F52FA">
        <w:rPr>
          <w:color w:val="000000"/>
          <w:sz w:val="24"/>
        </w:rPr>
        <w:t>月</w:t>
      </w:r>
      <w:r w:rsidRPr="007F52FA">
        <w:rPr>
          <w:color w:val="000000"/>
          <w:sz w:val="24"/>
        </w:rPr>
        <w:t>24</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日，本基金尚处于建仓期。</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交银启通灵活配置混合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2017</w:t>
      </w:r>
      <w:r w:rsidRPr="007F52FA">
        <w:rPr>
          <w:color w:val="000000"/>
          <w:sz w:val="24"/>
        </w:rPr>
        <w:t>年</w:t>
      </w:r>
      <w:r w:rsidRPr="007F52FA">
        <w:rPr>
          <w:color w:val="000000"/>
          <w:sz w:val="24"/>
        </w:rPr>
        <w:t>2</w:t>
      </w:r>
      <w:r w:rsidRPr="007F52FA">
        <w:rPr>
          <w:color w:val="000000"/>
          <w:sz w:val="24"/>
        </w:rPr>
        <w:t>月</w:t>
      </w:r>
      <w:r w:rsidRPr="007F52FA">
        <w:rPr>
          <w:color w:val="000000"/>
          <w:sz w:val="24"/>
        </w:rPr>
        <w:t>24</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日，本基金尚处于建仓期。</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67332">
        <w:trPr>
          <w:jc w:val="center"/>
        </w:trPr>
        <w:tc>
          <w:tcPr>
            <w:tcW w:w="946" w:type="dxa"/>
            <w:vAlign w:val="center"/>
          </w:tcPr>
          <w:p w:rsidR="00B67332" w:rsidRDefault="005C62C5">
            <w:pPr>
              <w:jc w:val="center"/>
            </w:pPr>
            <w:r>
              <w:rPr>
                <w:color w:val="000000"/>
                <w:sz w:val="24"/>
              </w:rPr>
              <w:t>李娜</w:t>
            </w:r>
          </w:p>
        </w:tc>
        <w:tc>
          <w:tcPr>
            <w:tcW w:w="924" w:type="dxa"/>
            <w:vAlign w:val="center"/>
          </w:tcPr>
          <w:p w:rsidR="00B67332" w:rsidRDefault="005C62C5">
            <w:pPr>
              <w:jc w:val="center"/>
            </w:pPr>
            <w:r>
              <w:rPr>
                <w:color w:val="000000"/>
                <w:sz w:val="24"/>
              </w:rPr>
              <w:t>交银周期回报灵活配置混合、交银新回报灵活配</w:t>
            </w:r>
            <w:r>
              <w:rPr>
                <w:color w:val="000000"/>
                <w:sz w:val="24"/>
              </w:rPr>
              <w:lastRenderedPageBreak/>
              <w:t>置混合、交银多策略回报灵活配置混合、交银卓越回报灵活配置混合、交银优选回报灵活配置混合、交银优择回报灵活配置混合、交银领先回报灵活配置混合、交银瑞鑫定期开放灵活配置混合、交银瑞景定期开放灵活</w:t>
            </w:r>
            <w:r>
              <w:rPr>
                <w:color w:val="000000"/>
                <w:sz w:val="24"/>
              </w:rPr>
              <w:lastRenderedPageBreak/>
              <w:t>配置混合、交银启通灵活配置混合、交银瑞利定期开放灵活配置混合、交银瑞安定期开放灵活配置混合的基金经理</w:t>
            </w:r>
          </w:p>
        </w:tc>
        <w:tc>
          <w:tcPr>
            <w:tcW w:w="1202" w:type="dxa"/>
            <w:vAlign w:val="center"/>
          </w:tcPr>
          <w:p w:rsidR="00B67332" w:rsidRDefault="005C62C5">
            <w:pPr>
              <w:jc w:val="center"/>
            </w:pPr>
            <w:r>
              <w:rPr>
                <w:color w:val="000000"/>
                <w:sz w:val="24"/>
              </w:rPr>
              <w:lastRenderedPageBreak/>
              <w:t>2017-03-31</w:t>
            </w:r>
          </w:p>
        </w:tc>
        <w:tc>
          <w:tcPr>
            <w:tcW w:w="1300" w:type="dxa"/>
            <w:vAlign w:val="center"/>
          </w:tcPr>
          <w:p w:rsidR="00B67332" w:rsidRDefault="005C62C5">
            <w:pPr>
              <w:jc w:val="center"/>
            </w:pPr>
            <w:r>
              <w:rPr>
                <w:color w:val="000000"/>
                <w:sz w:val="24"/>
              </w:rPr>
              <w:t>-</w:t>
            </w:r>
          </w:p>
        </w:tc>
        <w:tc>
          <w:tcPr>
            <w:tcW w:w="1245" w:type="dxa"/>
            <w:vAlign w:val="center"/>
          </w:tcPr>
          <w:p w:rsidR="00B67332" w:rsidRDefault="005C62C5">
            <w:pPr>
              <w:jc w:val="center"/>
            </w:pPr>
            <w:r>
              <w:rPr>
                <w:color w:val="000000"/>
                <w:sz w:val="24"/>
              </w:rPr>
              <w:t>7</w:t>
            </w:r>
            <w:r>
              <w:rPr>
                <w:color w:val="000000"/>
                <w:sz w:val="24"/>
              </w:rPr>
              <w:t>年</w:t>
            </w:r>
          </w:p>
        </w:tc>
        <w:tc>
          <w:tcPr>
            <w:tcW w:w="3251" w:type="dxa"/>
            <w:vAlign w:val="center"/>
          </w:tcPr>
          <w:p w:rsidR="00B67332" w:rsidRDefault="005C62C5">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B67332" w:rsidRDefault="005C62C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67332" w:rsidRDefault="005C62C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w:t>
      </w:r>
      <w:r>
        <w:rPr>
          <w:color w:val="000000"/>
          <w:sz w:val="24"/>
        </w:rPr>
        <w:lastRenderedPageBreak/>
        <w:t>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67332" w:rsidRDefault="005C62C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67332" w:rsidRDefault="005C62C5">
      <w:pPr>
        <w:spacing w:before="29" w:line="288" w:lineRule="auto"/>
        <w:ind w:firstLineChars="200" w:firstLine="480"/>
        <w:rPr>
          <w:color w:val="000000"/>
          <w:sz w:val="24"/>
        </w:rPr>
      </w:pPr>
      <w:r>
        <w:rPr>
          <w:color w:val="000000"/>
          <w:sz w:val="24"/>
        </w:rPr>
        <w:t>本报告期内，经济增长继续呈现平稳态势，</w:t>
      </w:r>
      <w:r>
        <w:rPr>
          <w:color w:val="000000"/>
          <w:sz w:val="24"/>
        </w:rPr>
        <w:t>CPI</w:t>
      </w:r>
      <w:r>
        <w:rPr>
          <w:color w:val="000000"/>
          <w:sz w:val="24"/>
        </w:rPr>
        <w:t>保持温和，货币政策保持稳健中性，银行间流动性呈现结构性分层并阶段性波动的特征，整体资金中枢明显上移。股票市场受流动性边际变化影响，呈现分化下行走势后企稳反弹，同期债券收益率上行后震荡小幅下行，其中金融防风险监管加强、流动性边际紧张、经济金融数据好于预期、美联储紧缩预期等因素成为债券市场收益率继续调整的推动力。报告期内，上证综指和创业板指分别下跌</w:t>
      </w:r>
      <w:r>
        <w:rPr>
          <w:color w:val="000000"/>
          <w:sz w:val="24"/>
        </w:rPr>
        <w:t>0.93%</w:t>
      </w:r>
      <w:r>
        <w:rPr>
          <w:color w:val="000000"/>
          <w:sz w:val="24"/>
        </w:rPr>
        <w:t>和</w:t>
      </w:r>
      <w:r>
        <w:rPr>
          <w:color w:val="000000"/>
          <w:sz w:val="24"/>
        </w:rPr>
        <w:t>4.68%</w:t>
      </w:r>
      <w:r>
        <w:rPr>
          <w:color w:val="000000"/>
          <w:sz w:val="24"/>
        </w:rPr>
        <w:t>，</w:t>
      </w:r>
      <w:r>
        <w:rPr>
          <w:color w:val="000000"/>
          <w:sz w:val="24"/>
        </w:rPr>
        <w:t>10</w:t>
      </w:r>
      <w:r>
        <w:rPr>
          <w:color w:val="000000"/>
          <w:sz w:val="24"/>
        </w:rPr>
        <w:t>年期国债收益率上行</w:t>
      </w:r>
      <w:r>
        <w:rPr>
          <w:color w:val="000000"/>
          <w:sz w:val="24"/>
        </w:rPr>
        <w:t>29bp</w:t>
      </w:r>
      <w:r>
        <w:rPr>
          <w:color w:val="000000"/>
          <w:sz w:val="24"/>
        </w:rPr>
        <w:t>至</w:t>
      </w:r>
      <w:r>
        <w:rPr>
          <w:color w:val="000000"/>
          <w:sz w:val="24"/>
        </w:rPr>
        <w:t>3.57%</w:t>
      </w:r>
      <w:r>
        <w:rPr>
          <w:color w:val="000000"/>
          <w:sz w:val="24"/>
        </w:rPr>
        <w:t>，</w:t>
      </w:r>
      <w:r>
        <w:rPr>
          <w:color w:val="000000"/>
          <w:sz w:val="24"/>
        </w:rPr>
        <w:t>10</w:t>
      </w:r>
      <w:r>
        <w:rPr>
          <w:color w:val="000000"/>
          <w:sz w:val="24"/>
        </w:rPr>
        <w:t>年期国开债收益率上行</w:t>
      </w:r>
      <w:r>
        <w:rPr>
          <w:color w:val="000000"/>
          <w:sz w:val="24"/>
        </w:rPr>
        <w:t>14bp</w:t>
      </w:r>
      <w:r>
        <w:rPr>
          <w:color w:val="000000"/>
          <w:sz w:val="24"/>
        </w:rPr>
        <w:t>至</w:t>
      </w:r>
      <w:r>
        <w:rPr>
          <w:color w:val="000000"/>
          <w:sz w:val="24"/>
        </w:rPr>
        <w:t>4.20%</w:t>
      </w:r>
      <w:r>
        <w:rPr>
          <w:color w:val="000000"/>
          <w:sz w:val="24"/>
        </w:rPr>
        <w:t>。</w:t>
      </w:r>
    </w:p>
    <w:p w:rsidR="00B67332" w:rsidRDefault="005C62C5">
      <w:pPr>
        <w:spacing w:before="29" w:line="288" w:lineRule="auto"/>
        <w:ind w:firstLineChars="200" w:firstLine="480"/>
        <w:rPr>
          <w:color w:val="000000"/>
          <w:sz w:val="24"/>
        </w:rPr>
      </w:pPr>
      <w:r>
        <w:rPr>
          <w:color w:val="000000"/>
          <w:sz w:val="24"/>
        </w:rPr>
        <w:t>策略层面，本基金重点关注短久期信用债以及同业存单的配置价值，保持组合流动性。积极关注新股及转债发行动态，进行权益和转债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展望三季度，基本面前高后低的普遍预期下，经济增长实际具备一定韧性，</w:t>
      </w:r>
      <w:r w:rsidRPr="007F52FA">
        <w:rPr>
          <w:color w:val="000000"/>
          <w:sz w:val="24"/>
        </w:rPr>
        <w:t>CPI</w:t>
      </w:r>
      <w:r w:rsidRPr="007F52FA">
        <w:rPr>
          <w:color w:val="000000"/>
          <w:sz w:val="24"/>
        </w:rPr>
        <w:t>尚不具备大幅上行的风险，基本面对债市驱动力的增强可能仍然需要等待，利率或继续处于震荡格局之中，但已具备一定配置价值。密切观察地产产业链、国际油价变动、流动性边际变化、金融防风险监管政策逐步落地、美联储缩表进程开启等因素。股票方面，力争继续保持稳健、审慎，积极关注一级市场动态。债券方面，保持流动性的前提下积极关注交易窗口，把握适中久期，同时特别重视信用风险。</w:t>
      </w:r>
      <w:r w:rsidRPr="007F52FA">
        <w:rPr>
          <w:color w:val="000000"/>
          <w:sz w:val="24"/>
        </w:rPr>
        <w:t xml:space="preserve">  </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日，交银启通</w:t>
      </w:r>
      <w:r w:rsidRPr="007F52FA">
        <w:rPr>
          <w:color w:val="000000"/>
          <w:sz w:val="24"/>
        </w:rPr>
        <w:t>A</w:t>
      </w:r>
      <w:r w:rsidRPr="007F52FA">
        <w:rPr>
          <w:color w:val="000000"/>
          <w:sz w:val="24"/>
        </w:rPr>
        <w:t>份额净值为</w:t>
      </w:r>
      <w:r w:rsidRPr="007F52FA">
        <w:rPr>
          <w:color w:val="000000"/>
          <w:sz w:val="24"/>
        </w:rPr>
        <w:t>1.0398</w:t>
      </w:r>
      <w:r w:rsidRPr="007F52FA">
        <w:rPr>
          <w:color w:val="000000"/>
          <w:sz w:val="24"/>
        </w:rPr>
        <w:t>元，本报告期份额净值增长率为</w:t>
      </w:r>
      <w:r w:rsidRPr="007F52FA">
        <w:rPr>
          <w:color w:val="000000"/>
          <w:sz w:val="24"/>
        </w:rPr>
        <w:t>3.29%</w:t>
      </w:r>
      <w:r w:rsidRPr="007F52FA">
        <w:rPr>
          <w:color w:val="000000"/>
          <w:sz w:val="24"/>
        </w:rPr>
        <w:t>，同期业绩比较基准增长率为</w:t>
      </w:r>
      <w:r w:rsidRPr="007F52FA">
        <w:rPr>
          <w:color w:val="000000"/>
          <w:sz w:val="24"/>
        </w:rPr>
        <w:t>2.58%</w:t>
      </w:r>
      <w:r w:rsidRPr="007F52FA">
        <w:rPr>
          <w:color w:val="000000"/>
          <w:sz w:val="24"/>
        </w:rPr>
        <w:t>；交银启通</w:t>
      </w:r>
      <w:r w:rsidRPr="007F52FA">
        <w:rPr>
          <w:color w:val="000000"/>
          <w:sz w:val="24"/>
        </w:rPr>
        <w:t>C</w:t>
      </w:r>
      <w:r w:rsidRPr="007F52FA">
        <w:rPr>
          <w:color w:val="000000"/>
          <w:sz w:val="24"/>
        </w:rPr>
        <w:t>份额净值为</w:t>
      </w:r>
      <w:r w:rsidRPr="007F52FA">
        <w:rPr>
          <w:color w:val="000000"/>
          <w:sz w:val="24"/>
        </w:rPr>
        <w:t>1.0400</w:t>
      </w:r>
      <w:r w:rsidRPr="007F52FA">
        <w:rPr>
          <w:color w:val="000000"/>
          <w:sz w:val="24"/>
        </w:rPr>
        <w:t>元，</w:t>
      </w:r>
      <w:r w:rsidRPr="007F52FA">
        <w:rPr>
          <w:color w:val="000000"/>
          <w:sz w:val="24"/>
        </w:rPr>
        <w:lastRenderedPageBreak/>
        <w:t>本报告期份额净值增长率为</w:t>
      </w:r>
      <w:r w:rsidRPr="007F52FA">
        <w:rPr>
          <w:color w:val="000000"/>
          <w:sz w:val="24"/>
        </w:rPr>
        <w:t>3.30%</w:t>
      </w:r>
      <w:r w:rsidRPr="007F52FA">
        <w:rPr>
          <w:color w:val="000000"/>
          <w:sz w:val="24"/>
        </w:rPr>
        <w:t>，同期业绩比较基准增长率为</w:t>
      </w:r>
      <w:r w:rsidRPr="007F52FA">
        <w:rPr>
          <w:color w:val="000000"/>
          <w:sz w:val="24"/>
        </w:rPr>
        <w:t>2.58%</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124,982,547.76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20.01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124,982,547.76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20.01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441,425,413.40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70.69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441,425,413.40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70.69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47,000,000.00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7.53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1,604,118.44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0.26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9,447,298.36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1.51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624,459,377.96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80,631,848.08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12.92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4,037,000.00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0.65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1,686,000.00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9,752,000.00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7,639.62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28,868,060.06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4.63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124,982,547.76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20.03</w:t>
            </w:r>
          </w:p>
        </w:tc>
      </w:tr>
    </w:tbl>
    <w:p w:rsidR="00953494" w:rsidRDefault="00953494" w:rsidP="001A5D39">
      <w:pPr>
        <w:jc w:val="left"/>
        <w:rPr>
          <w:rFonts w:asciiTheme="minorEastAsia" w:eastAsiaTheme="minorEastAsia" w:hAnsiTheme="minorEastAsia"/>
          <w:b/>
          <w:bCs/>
          <w:color w:val="000000" w:themeColor="text1"/>
          <w:kern w:val="0"/>
          <w:sz w:val="24"/>
        </w:rPr>
      </w:pPr>
      <w:bookmarkStart w:id="0" w:name="_GoBack"/>
    </w:p>
    <w:bookmarkEnd w:id="0"/>
    <w:p w:rsidR="001A5D39" w:rsidRPr="008A409E" w:rsidRDefault="001A5D39" w:rsidP="001A5D39">
      <w:pPr>
        <w:jc w:val="left"/>
        <w:rPr>
          <w:rFonts w:asciiTheme="minorEastAsia" w:eastAsiaTheme="minorEastAsia" w:hAnsiTheme="minorEastAsia"/>
          <w:b/>
          <w:bCs/>
          <w:color w:val="000000" w:themeColor="text1"/>
          <w:kern w:val="0"/>
          <w:sz w:val="24"/>
        </w:rPr>
      </w:pPr>
      <w:r w:rsidRPr="005E666F">
        <w:rPr>
          <w:rFonts w:eastAsiaTheme="minorEastAsia"/>
          <w:b/>
          <w:bCs/>
          <w:color w:val="000000" w:themeColor="text1"/>
          <w:kern w:val="0"/>
          <w:sz w:val="24"/>
        </w:rPr>
        <w:t>5.2.2</w:t>
      </w:r>
      <w:r w:rsidRPr="008A409E">
        <w:rPr>
          <w:rFonts w:asciiTheme="minorEastAsia" w:eastAsiaTheme="minorEastAsia" w:hAnsiTheme="minorEastAsia" w:hint="eastAsia"/>
          <w:b/>
          <w:bCs/>
          <w:color w:val="000000" w:themeColor="text1"/>
          <w:kern w:val="0"/>
          <w:sz w:val="24"/>
        </w:rPr>
        <w:t>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B67332">
        <w:trPr>
          <w:jc w:val="center"/>
        </w:trPr>
        <w:tc>
          <w:tcPr>
            <w:tcW w:w="850" w:type="dxa"/>
            <w:vAlign w:val="center"/>
          </w:tcPr>
          <w:p w:rsidR="00B67332" w:rsidRDefault="005C62C5">
            <w:pPr>
              <w:jc w:val="center"/>
            </w:pPr>
            <w:r>
              <w:rPr>
                <w:color w:val="000000"/>
                <w:sz w:val="24"/>
              </w:rPr>
              <w:t>1</w:t>
            </w:r>
          </w:p>
        </w:tc>
        <w:tc>
          <w:tcPr>
            <w:tcW w:w="1327" w:type="dxa"/>
            <w:vAlign w:val="center"/>
          </w:tcPr>
          <w:p w:rsidR="00B67332" w:rsidRDefault="005C62C5">
            <w:pPr>
              <w:jc w:val="center"/>
            </w:pPr>
            <w:r>
              <w:rPr>
                <w:color w:val="000000"/>
                <w:sz w:val="24"/>
              </w:rPr>
              <w:t>000858</w:t>
            </w:r>
          </w:p>
        </w:tc>
        <w:tc>
          <w:tcPr>
            <w:tcW w:w="1769" w:type="dxa"/>
            <w:vAlign w:val="center"/>
          </w:tcPr>
          <w:p w:rsidR="00B67332" w:rsidRDefault="005C62C5">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B67332" w:rsidRDefault="005C62C5">
            <w:pPr>
              <w:jc w:val="right"/>
            </w:pPr>
            <w:r>
              <w:rPr>
                <w:color w:val="000000"/>
                <w:sz w:val="24"/>
              </w:rPr>
              <w:t>200,000</w:t>
            </w:r>
          </w:p>
        </w:tc>
        <w:tc>
          <w:tcPr>
            <w:tcW w:w="1915" w:type="dxa"/>
            <w:vAlign w:val="center"/>
          </w:tcPr>
          <w:p w:rsidR="00B67332" w:rsidRDefault="005C62C5">
            <w:pPr>
              <w:jc w:val="right"/>
            </w:pPr>
            <w:r>
              <w:rPr>
                <w:color w:val="000000"/>
                <w:sz w:val="24"/>
              </w:rPr>
              <w:t>11,132,000.00</w:t>
            </w:r>
          </w:p>
        </w:tc>
        <w:tc>
          <w:tcPr>
            <w:tcW w:w="1680" w:type="dxa"/>
            <w:vAlign w:val="center"/>
          </w:tcPr>
          <w:p w:rsidR="00B67332" w:rsidRDefault="005C62C5">
            <w:pPr>
              <w:jc w:val="right"/>
            </w:pPr>
            <w:r>
              <w:rPr>
                <w:color w:val="000000"/>
                <w:sz w:val="24"/>
              </w:rPr>
              <w:t>1.78</w:t>
            </w:r>
          </w:p>
        </w:tc>
      </w:tr>
      <w:tr w:rsidR="00B67332">
        <w:trPr>
          <w:jc w:val="center"/>
        </w:trPr>
        <w:tc>
          <w:tcPr>
            <w:tcW w:w="850" w:type="dxa"/>
            <w:vAlign w:val="center"/>
          </w:tcPr>
          <w:p w:rsidR="00B67332" w:rsidRDefault="005C62C5">
            <w:pPr>
              <w:jc w:val="center"/>
            </w:pPr>
            <w:r>
              <w:rPr>
                <w:color w:val="000000"/>
                <w:sz w:val="24"/>
              </w:rPr>
              <w:t>2</w:t>
            </w:r>
          </w:p>
        </w:tc>
        <w:tc>
          <w:tcPr>
            <w:tcW w:w="1327" w:type="dxa"/>
            <w:vAlign w:val="center"/>
          </w:tcPr>
          <w:p w:rsidR="00B67332" w:rsidRDefault="005C62C5">
            <w:pPr>
              <w:jc w:val="center"/>
            </w:pPr>
            <w:r>
              <w:rPr>
                <w:color w:val="000000"/>
                <w:sz w:val="24"/>
              </w:rPr>
              <w:t>000423</w:t>
            </w:r>
          </w:p>
        </w:tc>
        <w:tc>
          <w:tcPr>
            <w:tcW w:w="1769" w:type="dxa"/>
            <w:vAlign w:val="center"/>
          </w:tcPr>
          <w:p w:rsidR="00B67332" w:rsidRDefault="005C62C5">
            <w:pPr>
              <w:jc w:val="center"/>
            </w:pPr>
            <w:r>
              <w:rPr>
                <w:color w:val="000000"/>
                <w:sz w:val="24"/>
              </w:rPr>
              <w:t>东阿阿胶</w:t>
            </w:r>
          </w:p>
        </w:tc>
        <w:tc>
          <w:tcPr>
            <w:tcW w:w="1327" w:type="dxa"/>
            <w:vAlign w:val="center"/>
          </w:tcPr>
          <w:p w:rsidR="00B67332" w:rsidRDefault="005C62C5">
            <w:pPr>
              <w:jc w:val="right"/>
            </w:pPr>
            <w:r>
              <w:rPr>
                <w:color w:val="000000"/>
                <w:sz w:val="24"/>
              </w:rPr>
              <w:t>150,000</w:t>
            </w:r>
          </w:p>
        </w:tc>
        <w:tc>
          <w:tcPr>
            <w:tcW w:w="1915" w:type="dxa"/>
            <w:vAlign w:val="center"/>
          </w:tcPr>
          <w:p w:rsidR="00B67332" w:rsidRDefault="005C62C5">
            <w:pPr>
              <w:jc w:val="right"/>
            </w:pPr>
            <w:r>
              <w:rPr>
                <w:color w:val="000000"/>
                <w:sz w:val="24"/>
              </w:rPr>
              <w:t>10,783,500.00</w:t>
            </w:r>
          </w:p>
        </w:tc>
        <w:tc>
          <w:tcPr>
            <w:tcW w:w="1680" w:type="dxa"/>
            <w:vAlign w:val="center"/>
          </w:tcPr>
          <w:p w:rsidR="00B67332" w:rsidRDefault="005C62C5">
            <w:pPr>
              <w:jc w:val="right"/>
            </w:pPr>
            <w:r>
              <w:rPr>
                <w:color w:val="000000"/>
                <w:sz w:val="24"/>
              </w:rPr>
              <w:t>1.73</w:t>
            </w:r>
          </w:p>
        </w:tc>
      </w:tr>
      <w:tr w:rsidR="00B67332">
        <w:trPr>
          <w:jc w:val="center"/>
        </w:trPr>
        <w:tc>
          <w:tcPr>
            <w:tcW w:w="850" w:type="dxa"/>
            <w:vAlign w:val="center"/>
          </w:tcPr>
          <w:p w:rsidR="00B67332" w:rsidRDefault="005C62C5">
            <w:pPr>
              <w:jc w:val="center"/>
            </w:pPr>
            <w:r>
              <w:rPr>
                <w:color w:val="000000"/>
                <w:sz w:val="24"/>
              </w:rPr>
              <w:t>3</w:t>
            </w:r>
          </w:p>
        </w:tc>
        <w:tc>
          <w:tcPr>
            <w:tcW w:w="1327" w:type="dxa"/>
            <w:vAlign w:val="center"/>
          </w:tcPr>
          <w:p w:rsidR="00B67332" w:rsidRDefault="005C62C5">
            <w:pPr>
              <w:jc w:val="center"/>
            </w:pPr>
            <w:r>
              <w:rPr>
                <w:color w:val="000000"/>
                <w:sz w:val="24"/>
              </w:rPr>
              <w:t>600519</w:t>
            </w:r>
          </w:p>
        </w:tc>
        <w:tc>
          <w:tcPr>
            <w:tcW w:w="1769" w:type="dxa"/>
            <w:vAlign w:val="center"/>
          </w:tcPr>
          <w:p w:rsidR="00B67332" w:rsidRDefault="005C62C5">
            <w:pPr>
              <w:jc w:val="center"/>
            </w:pPr>
            <w:r>
              <w:rPr>
                <w:color w:val="000000"/>
                <w:sz w:val="24"/>
              </w:rPr>
              <w:t>贵州茅台</w:t>
            </w:r>
          </w:p>
        </w:tc>
        <w:tc>
          <w:tcPr>
            <w:tcW w:w="1327" w:type="dxa"/>
            <w:vAlign w:val="center"/>
          </w:tcPr>
          <w:p w:rsidR="00B67332" w:rsidRDefault="005C62C5">
            <w:pPr>
              <w:jc w:val="right"/>
            </w:pPr>
            <w:r>
              <w:rPr>
                <w:color w:val="000000"/>
                <w:sz w:val="24"/>
              </w:rPr>
              <w:t>20,000</w:t>
            </w:r>
          </w:p>
        </w:tc>
        <w:tc>
          <w:tcPr>
            <w:tcW w:w="1915" w:type="dxa"/>
            <w:vAlign w:val="center"/>
          </w:tcPr>
          <w:p w:rsidR="00B67332" w:rsidRDefault="005C62C5">
            <w:pPr>
              <w:jc w:val="right"/>
            </w:pPr>
            <w:r>
              <w:rPr>
                <w:color w:val="000000"/>
                <w:sz w:val="24"/>
              </w:rPr>
              <w:t>9,437,000.00</w:t>
            </w:r>
          </w:p>
        </w:tc>
        <w:tc>
          <w:tcPr>
            <w:tcW w:w="1680" w:type="dxa"/>
            <w:vAlign w:val="center"/>
          </w:tcPr>
          <w:p w:rsidR="00B67332" w:rsidRDefault="005C62C5">
            <w:pPr>
              <w:jc w:val="right"/>
            </w:pPr>
            <w:r>
              <w:rPr>
                <w:color w:val="000000"/>
                <w:sz w:val="24"/>
              </w:rPr>
              <w:t>1.51</w:t>
            </w:r>
          </w:p>
        </w:tc>
      </w:tr>
      <w:tr w:rsidR="00B67332">
        <w:trPr>
          <w:jc w:val="center"/>
        </w:trPr>
        <w:tc>
          <w:tcPr>
            <w:tcW w:w="850" w:type="dxa"/>
            <w:vAlign w:val="center"/>
          </w:tcPr>
          <w:p w:rsidR="00B67332" w:rsidRDefault="005C62C5">
            <w:pPr>
              <w:jc w:val="center"/>
            </w:pPr>
            <w:r>
              <w:rPr>
                <w:color w:val="000000"/>
                <w:sz w:val="24"/>
              </w:rPr>
              <w:t>4</w:t>
            </w:r>
          </w:p>
        </w:tc>
        <w:tc>
          <w:tcPr>
            <w:tcW w:w="1327" w:type="dxa"/>
            <w:vAlign w:val="center"/>
          </w:tcPr>
          <w:p w:rsidR="00B67332" w:rsidRDefault="005C62C5">
            <w:pPr>
              <w:jc w:val="center"/>
            </w:pPr>
            <w:r>
              <w:rPr>
                <w:color w:val="000000"/>
                <w:sz w:val="24"/>
              </w:rPr>
              <w:t>601398</w:t>
            </w:r>
          </w:p>
        </w:tc>
        <w:tc>
          <w:tcPr>
            <w:tcW w:w="1769" w:type="dxa"/>
            <w:vAlign w:val="center"/>
          </w:tcPr>
          <w:p w:rsidR="00B67332" w:rsidRDefault="005C62C5">
            <w:pPr>
              <w:jc w:val="center"/>
            </w:pPr>
            <w:r>
              <w:rPr>
                <w:color w:val="000000"/>
                <w:sz w:val="24"/>
              </w:rPr>
              <w:t>工商银行</w:t>
            </w:r>
          </w:p>
        </w:tc>
        <w:tc>
          <w:tcPr>
            <w:tcW w:w="1327" w:type="dxa"/>
            <w:vAlign w:val="center"/>
          </w:tcPr>
          <w:p w:rsidR="00B67332" w:rsidRDefault="005C62C5">
            <w:pPr>
              <w:jc w:val="right"/>
            </w:pPr>
            <w:r>
              <w:rPr>
                <w:color w:val="000000"/>
                <w:sz w:val="24"/>
              </w:rPr>
              <w:t>1,700,000</w:t>
            </w:r>
          </w:p>
        </w:tc>
        <w:tc>
          <w:tcPr>
            <w:tcW w:w="1915" w:type="dxa"/>
            <w:vAlign w:val="center"/>
          </w:tcPr>
          <w:p w:rsidR="00B67332" w:rsidRDefault="005C62C5">
            <w:pPr>
              <w:jc w:val="right"/>
            </w:pPr>
            <w:r>
              <w:rPr>
                <w:color w:val="000000"/>
                <w:sz w:val="24"/>
              </w:rPr>
              <w:t>8,925,000.00</w:t>
            </w:r>
          </w:p>
        </w:tc>
        <w:tc>
          <w:tcPr>
            <w:tcW w:w="1680" w:type="dxa"/>
            <w:vAlign w:val="center"/>
          </w:tcPr>
          <w:p w:rsidR="00B67332" w:rsidRDefault="005C62C5">
            <w:pPr>
              <w:jc w:val="right"/>
            </w:pPr>
            <w:r>
              <w:rPr>
                <w:color w:val="000000"/>
                <w:sz w:val="24"/>
              </w:rPr>
              <w:t>1.43</w:t>
            </w:r>
          </w:p>
        </w:tc>
      </w:tr>
      <w:tr w:rsidR="00B67332">
        <w:trPr>
          <w:jc w:val="center"/>
        </w:trPr>
        <w:tc>
          <w:tcPr>
            <w:tcW w:w="850" w:type="dxa"/>
            <w:vAlign w:val="center"/>
          </w:tcPr>
          <w:p w:rsidR="00B67332" w:rsidRDefault="005C62C5">
            <w:pPr>
              <w:jc w:val="center"/>
            </w:pPr>
            <w:r>
              <w:rPr>
                <w:color w:val="000000"/>
                <w:sz w:val="24"/>
              </w:rPr>
              <w:t>5</w:t>
            </w:r>
          </w:p>
        </w:tc>
        <w:tc>
          <w:tcPr>
            <w:tcW w:w="1327" w:type="dxa"/>
            <w:vAlign w:val="center"/>
          </w:tcPr>
          <w:p w:rsidR="00B67332" w:rsidRDefault="005C62C5">
            <w:pPr>
              <w:jc w:val="center"/>
            </w:pPr>
            <w:r>
              <w:rPr>
                <w:color w:val="000000"/>
                <w:sz w:val="24"/>
              </w:rPr>
              <w:t>000651</w:t>
            </w:r>
          </w:p>
        </w:tc>
        <w:tc>
          <w:tcPr>
            <w:tcW w:w="1769" w:type="dxa"/>
            <w:vAlign w:val="center"/>
          </w:tcPr>
          <w:p w:rsidR="00B67332" w:rsidRDefault="005C62C5">
            <w:pPr>
              <w:jc w:val="center"/>
            </w:pPr>
            <w:r>
              <w:rPr>
                <w:color w:val="000000"/>
                <w:sz w:val="24"/>
              </w:rPr>
              <w:t>格力电器</w:t>
            </w:r>
          </w:p>
        </w:tc>
        <w:tc>
          <w:tcPr>
            <w:tcW w:w="1327" w:type="dxa"/>
            <w:vAlign w:val="center"/>
          </w:tcPr>
          <w:p w:rsidR="00B67332" w:rsidRDefault="005C62C5">
            <w:pPr>
              <w:jc w:val="right"/>
            </w:pPr>
            <w:r>
              <w:rPr>
                <w:color w:val="000000"/>
                <w:sz w:val="24"/>
              </w:rPr>
              <w:t>200,000</w:t>
            </w:r>
          </w:p>
        </w:tc>
        <w:tc>
          <w:tcPr>
            <w:tcW w:w="1915" w:type="dxa"/>
            <w:vAlign w:val="center"/>
          </w:tcPr>
          <w:p w:rsidR="00B67332" w:rsidRDefault="005C62C5">
            <w:pPr>
              <w:jc w:val="right"/>
            </w:pPr>
            <w:r>
              <w:rPr>
                <w:color w:val="000000"/>
                <w:sz w:val="24"/>
              </w:rPr>
              <w:t>8,234,000.00</w:t>
            </w:r>
          </w:p>
        </w:tc>
        <w:tc>
          <w:tcPr>
            <w:tcW w:w="1680" w:type="dxa"/>
            <w:vAlign w:val="center"/>
          </w:tcPr>
          <w:p w:rsidR="00B67332" w:rsidRDefault="005C62C5">
            <w:pPr>
              <w:jc w:val="right"/>
            </w:pPr>
            <w:r>
              <w:rPr>
                <w:color w:val="000000"/>
                <w:sz w:val="24"/>
              </w:rPr>
              <w:t>1.32</w:t>
            </w:r>
          </w:p>
        </w:tc>
      </w:tr>
      <w:tr w:rsidR="00B67332">
        <w:trPr>
          <w:jc w:val="center"/>
        </w:trPr>
        <w:tc>
          <w:tcPr>
            <w:tcW w:w="850" w:type="dxa"/>
            <w:vAlign w:val="center"/>
          </w:tcPr>
          <w:p w:rsidR="00B67332" w:rsidRDefault="005C62C5">
            <w:pPr>
              <w:jc w:val="center"/>
            </w:pPr>
            <w:r>
              <w:rPr>
                <w:color w:val="000000"/>
                <w:sz w:val="24"/>
              </w:rPr>
              <w:t>6</w:t>
            </w:r>
          </w:p>
        </w:tc>
        <w:tc>
          <w:tcPr>
            <w:tcW w:w="1327" w:type="dxa"/>
            <w:vAlign w:val="center"/>
          </w:tcPr>
          <w:p w:rsidR="00B67332" w:rsidRDefault="005C62C5">
            <w:pPr>
              <w:jc w:val="center"/>
            </w:pPr>
            <w:r>
              <w:rPr>
                <w:color w:val="000000"/>
                <w:sz w:val="24"/>
              </w:rPr>
              <w:t>601988</w:t>
            </w:r>
          </w:p>
        </w:tc>
        <w:tc>
          <w:tcPr>
            <w:tcW w:w="1769" w:type="dxa"/>
            <w:vAlign w:val="center"/>
          </w:tcPr>
          <w:p w:rsidR="00B67332" w:rsidRDefault="005C62C5">
            <w:pPr>
              <w:jc w:val="center"/>
            </w:pPr>
            <w:r>
              <w:rPr>
                <w:color w:val="000000"/>
                <w:sz w:val="24"/>
              </w:rPr>
              <w:t>中国银行</w:t>
            </w:r>
          </w:p>
        </w:tc>
        <w:tc>
          <w:tcPr>
            <w:tcW w:w="1327" w:type="dxa"/>
            <w:vAlign w:val="center"/>
          </w:tcPr>
          <w:p w:rsidR="00B67332" w:rsidRDefault="005C62C5">
            <w:pPr>
              <w:jc w:val="right"/>
            </w:pPr>
            <w:r>
              <w:rPr>
                <w:color w:val="000000"/>
                <w:sz w:val="24"/>
              </w:rPr>
              <w:t>2,000,000</w:t>
            </w:r>
          </w:p>
        </w:tc>
        <w:tc>
          <w:tcPr>
            <w:tcW w:w="1915" w:type="dxa"/>
            <w:vAlign w:val="center"/>
          </w:tcPr>
          <w:p w:rsidR="00B67332" w:rsidRDefault="005C62C5">
            <w:pPr>
              <w:jc w:val="right"/>
            </w:pPr>
            <w:r>
              <w:rPr>
                <w:color w:val="000000"/>
                <w:sz w:val="24"/>
              </w:rPr>
              <w:t>7,400,000.00</w:t>
            </w:r>
          </w:p>
        </w:tc>
        <w:tc>
          <w:tcPr>
            <w:tcW w:w="1680" w:type="dxa"/>
            <w:vAlign w:val="center"/>
          </w:tcPr>
          <w:p w:rsidR="00B67332" w:rsidRDefault="005C62C5">
            <w:pPr>
              <w:jc w:val="right"/>
            </w:pPr>
            <w:r>
              <w:rPr>
                <w:color w:val="000000"/>
                <w:sz w:val="24"/>
              </w:rPr>
              <w:t>1.19</w:t>
            </w:r>
          </w:p>
        </w:tc>
      </w:tr>
      <w:tr w:rsidR="00B67332">
        <w:trPr>
          <w:jc w:val="center"/>
        </w:trPr>
        <w:tc>
          <w:tcPr>
            <w:tcW w:w="850" w:type="dxa"/>
            <w:vAlign w:val="center"/>
          </w:tcPr>
          <w:p w:rsidR="00B67332" w:rsidRDefault="005C62C5">
            <w:pPr>
              <w:jc w:val="center"/>
            </w:pPr>
            <w:r>
              <w:rPr>
                <w:color w:val="000000"/>
                <w:sz w:val="24"/>
              </w:rPr>
              <w:t>7</w:t>
            </w:r>
          </w:p>
        </w:tc>
        <w:tc>
          <w:tcPr>
            <w:tcW w:w="1327" w:type="dxa"/>
            <w:vAlign w:val="center"/>
          </w:tcPr>
          <w:p w:rsidR="00B67332" w:rsidRDefault="005C62C5">
            <w:pPr>
              <w:jc w:val="center"/>
            </w:pPr>
            <w:r>
              <w:rPr>
                <w:color w:val="000000"/>
                <w:sz w:val="24"/>
              </w:rPr>
              <w:t>000921</w:t>
            </w:r>
          </w:p>
        </w:tc>
        <w:tc>
          <w:tcPr>
            <w:tcW w:w="1769" w:type="dxa"/>
            <w:vAlign w:val="center"/>
          </w:tcPr>
          <w:p w:rsidR="00B67332" w:rsidRDefault="005C62C5">
            <w:pPr>
              <w:jc w:val="center"/>
            </w:pPr>
            <w:r>
              <w:rPr>
                <w:color w:val="000000"/>
                <w:sz w:val="24"/>
              </w:rPr>
              <w:t>海信科龙</w:t>
            </w:r>
          </w:p>
        </w:tc>
        <w:tc>
          <w:tcPr>
            <w:tcW w:w="1327" w:type="dxa"/>
            <w:vAlign w:val="center"/>
          </w:tcPr>
          <w:p w:rsidR="00B67332" w:rsidRDefault="005C62C5">
            <w:pPr>
              <w:jc w:val="right"/>
            </w:pPr>
            <w:r>
              <w:rPr>
                <w:color w:val="000000"/>
                <w:sz w:val="24"/>
              </w:rPr>
              <w:t>400,000</w:t>
            </w:r>
          </w:p>
        </w:tc>
        <w:tc>
          <w:tcPr>
            <w:tcW w:w="1915" w:type="dxa"/>
            <w:vAlign w:val="center"/>
          </w:tcPr>
          <w:p w:rsidR="00B67332" w:rsidRDefault="005C62C5">
            <w:pPr>
              <w:jc w:val="right"/>
            </w:pPr>
            <w:r>
              <w:rPr>
                <w:color w:val="000000"/>
                <w:sz w:val="24"/>
              </w:rPr>
              <w:t>6,884,000.00</w:t>
            </w:r>
          </w:p>
        </w:tc>
        <w:tc>
          <w:tcPr>
            <w:tcW w:w="1680" w:type="dxa"/>
            <w:vAlign w:val="center"/>
          </w:tcPr>
          <w:p w:rsidR="00B67332" w:rsidRDefault="005C62C5">
            <w:pPr>
              <w:jc w:val="right"/>
            </w:pPr>
            <w:r>
              <w:rPr>
                <w:color w:val="000000"/>
                <w:sz w:val="24"/>
              </w:rPr>
              <w:t>1.10</w:t>
            </w:r>
          </w:p>
        </w:tc>
      </w:tr>
      <w:tr w:rsidR="00B67332">
        <w:trPr>
          <w:jc w:val="center"/>
        </w:trPr>
        <w:tc>
          <w:tcPr>
            <w:tcW w:w="850" w:type="dxa"/>
            <w:vAlign w:val="center"/>
          </w:tcPr>
          <w:p w:rsidR="00B67332" w:rsidRDefault="005C62C5">
            <w:pPr>
              <w:jc w:val="center"/>
            </w:pPr>
            <w:r>
              <w:rPr>
                <w:color w:val="000000"/>
                <w:sz w:val="24"/>
              </w:rPr>
              <w:t>8</w:t>
            </w:r>
          </w:p>
        </w:tc>
        <w:tc>
          <w:tcPr>
            <w:tcW w:w="1327" w:type="dxa"/>
            <w:vAlign w:val="center"/>
          </w:tcPr>
          <w:p w:rsidR="00B67332" w:rsidRDefault="005C62C5">
            <w:pPr>
              <w:jc w:val="center"/>
            </w:pPr>
            <w:r>
              <w:rPr>
                <w:color w:val="000000"/>
                <w:sz w:val="24"/>
              </w:rPr>
              <w:t>000001</w:t>
            </w:r>
          </w:p>
        </w:tc>
        <w:tc>
          <w:tcPr>
            <w:tcW w:w="1769" w:type="dxa"/>
            <w:vAlign w:val="center"/>
          </w:tcPr>
          <w:p w:rsidR="00B67332" w:rsidRDefault="005C62C5">
            <w:pPr>
              <w:jc w:val="center"/>
            </w:pPr>
            <w:r>
              <w:rPr>
                <w:color w:val="000000"/>
                <w:sz w:val="24"/>
              </w:rPr>
              <w:t>平安银行</w:t>
            </w:r>
          </w:p>
        </w:tc>
        <w:tc>
          <w:tcPr>
            <w:tcW w:w="1327" w:type="dxa"/>
            <w:vAlign w:val="center"/>
          </w:tcPr>
          <w:p w:rsidR="00B67332" w:rsidRDefault="005C62C5">
            <w:pPr>
              <w:jc w:val="right"/>
            </w:pPr>
            <w:r>
              <w:rPr>
                <w:color w:val="000000"/>
                <w:sz w:val="24"/>
              </w:rPr>
              <w:t>699,964</w:t>
            </w:r>
          </w:p>
        </w:tc>
        <w:tc>
          <w:tcPr>
            <w:tcW w:w="1915" w:type="dxa"/>
            <w:vAlign w:val="center"/>
          </w:tcPr>
          <w:p w:rsidR="00B67332" w:rsidRDefault="005C62C5">
            <w:pPr>
              <w:jc w:val="right"/>
            </w:pPr>
            <w:r>
              <w:rPr>
                <w:color w:val="000000"/>
                <w:sz w:val="24"/>
              </w:rPr>
              <w:t>6,572,661.96</w:t>
            </w:r>
          </w:p>
        </w:tc>
        <w:tc>
          <w:tcPr>
            <w:tcW w:w="1680" w:type="dxa"/>
            <w:vAlign w:val="center"/>
          </w:tcPr>
          <w:p w:rsidR="00B67332" w:rsidRDefault="005C62C5">
            <w:pPr>
              <w:jc w:val="right"/>
            </w:pPr>
            <w:r>
              <w:rPr>
                <w:color w:val="000000"/>
                <w:sz w:val="24"/>
              </w:rPr>
              <w:t>1.05</w:t>
            </w:r>
          </w:p>
        </w:tc>
      </w:tr>
      <w:tr w:rsidR="00B67332">
        <w:trPr>
          <w:jc w:val="center"/>
        </w:trPr>
        <w:tc>
          <w:tcPr>
            <w:tcW w:w="850" w:type="dxa"/>
            <w:vAlign w:val="center"/>
          </w:tcPr>
          <w:p w:rsidR="00B67332" w:rsidRDefault="005C62C5">
            <w:pPr>
              <w:jc w:val="center"/>
            </w:pPr>
            <w:r>
              <w:rPr>
                <w:color w:val="000000"/>
                <w:sz w:val="24"/>
              </w:rPr>
              <w:t>9</w:t>
            </w:r>
          </w:p>
        </w:tc>
        <w:tc>
          <w:tcPr>
            <w:tcW w:w="1327" w:type="dxa"/>
            <w:vAlign w:val="center"/>
          </w:tcPr>
          <w:p w:rsidR="00B67332" w:rsidRDefault="005C62C5">
            <w:pPr>
              <w:jc w:val="center"/>
            </w:pPr>
            <w:r>
              <w:rPr>
                <w:color w:val="000000"/>
                <w:sz w:val="24"/>
              </w:rPr>
              <w:t>601607</w:t>
            </w:r>
          </w:p>
        </w:tc>
        <w:tc>
          <w:tcPr>
            <w:tcW w:w="1769" w:type="dxa"/>
            <w:vAlign w:val="center"/>
          </w:tcPr>
          <w:p w:rsidR="00B67332" w:rsidRDefault="005C62C5">
            <w:pPr>
              <w:jc w:val="center"/>
            </w:pPr>
            <w:r>
              <w:rPr>
                <w:color w:val="000000"/>
                <w:sz w:val="24"/>
              </w:rPr>
              <w:t>上海医药</w:t>
            </w:r>
          </w:p>
        </w:tc>
        <w:tc>
          <w:tcPr>
            <w:tcW w:w="1327" w:type="dxa"/>
            <w:vAlign w:val="center"/>
          </w:tcPr>
          <w:p w:rsidR="00B67332" w:rsidRDefault="005C62C5">
            <w:pPr>
              <w:jc w:val="right"/>
            </w:pPr>
            <w:r>
              <w:rPr>
                <w:color w:val="000000"/>
                <w:sz w:val="24"/>
              </w:rPr>
              <w:t>200,000</w:t>
            </w:r>
          </w:p>
        </w:tc>
        <w:tc>
          <w:tcPr>
            <w:tcW w:w="1915" w:type="dxa"/>
            <w:vAlign w:val="center"/>
          </w:tcPr>
          <w:p w:rsidR="00B67332" w:rsidRDefault="005C62C5">
            <w:pPr>
              <w:jc w:val="right"/>
            </w:pPr>
            <w:r>
              <w:rPr>
                <w:color w:val="000000"/>
                <w:sz w:val="24"/>
              </w:rPr>
              <w:t>5,776,000.00</w:t>
            </w:r>
          </w:p>
        </w:tc>
        <w:tc>
          <w:tcPr>
            <w:tcW w:w="1680" w:type="dxa"/>
            <w:vAlign w:val="center"/>
          </w:tcPr>
          <w:p w:rsidR="00B67332" w:rsidRDefault="005C62C5">
            <w:pPr>
              <w:jc w:val="right"/>
            </w:pPr>
            <w:r>
              <w:rPr>
                <w:color w:val="000000"/>
                <w:sz w:val="24"/>
              </w:rPr>
              <w:t>0.93</w:t>
            </w:r>
          </w:p>
        </w:tc>
      </w:tr>
      <w:tr w:rsidR="00B67332">
        <w:trPr>
          <w:jc w:val="center"/>
        </w:trPr>
        <w:tc>
          <w:tcPr>
            <w:tcW w:w="850" w:type="dxa"/>
            <w:vAlign w:val="center"/>
          </w:tcPr>
          <w:p w:rsidR="00B67332" w:rsidRDefault="005C62C5">
            <w:pPr>
              <w:jc w:val="center"/>
            </w:pPr>
            <w:r>
              <w:rPr>
                <w:color w:val="000000"/>
                <w:sz w:val="24"/>
              </w:rPr>
              <w:lastRenderedPageBreak/>
              <w:t>10</w:t>
            </w:r>
          </w:p>
        </w:tc>
        <w:tc>
          <w:tcPr>
            <w:tcW w:w="1327" w:type="dxa"/>
            <w:vAlign w:val="center"/>
          </w:tcPr>
          <w:p w:rsidR="00B67332" w:rsidRDefault="005C62C5">
            <w:pPr>
              <w:jc w:val="center"/>
            </w:pPr>
            <w:r>
              <w:rPr>
                <w:color w:val="000000"/>
                <w:sz w:val="24"/>
              </w:rPr>
              <w:t>600062</w:t>
            </w:r>
          </w:p>
        </w:tc>
        <w:tc>
          <w:tcPr>
            <w:tcW w:w="1769" w:type="dxa"/>
            <w:vAlign w:val="center"/>
          </w:tcPr>
          <w:p w:rsidR="00B67332" w:rsidRDefault="005C62C5">
            <w:pPr>
              <w:jc w:val="center"/>
            </w:pPr>
            <w:r>
              <w:rPr>
                <w:color w:val="000000"/>
                <w:sz w:val="24"/>
              </w:rPr>
              <w:t>华润双鹤</w:t>
            </w:r>
          </w:p>
        </w:tc>
        <w:tc>
          <w:tcPr>
            <w:tcW w:w="1327" w:type="dxa"/>
            <w:vAlign w:val="center"/>
          </w:tcPr>
          <w:p w:rsidR="00B67332" w:rsidRDefault="005C62C5">
            <w:pPr>
              <w:jc w:val="right"/>
            </w:pPr>
            <w:r>
              <w:rPr>
                <w:color w:val="000000"/>
                <w:sz w:val="24"/>
              </w:rPr>
              <w:t>200,000</w:t>
            </w:r>
          </w:p>
        </w:tc>
        <w:tc>
          <w:tcPr>
            <w:tcW w:w="1915" w:type="dxa"/>
            <w:vAlign w:val="center"/>
          </w:tcPr>
          <w:p w:rsidR="00B67332" w:rsidRDefault="005C62C5">
            <w:pPr>
              <w:jc w:val="right"/>
            </w:pPr>
            <w:r>
              <w:rPr>
                <w:color w:val="000000"/>
                <w:sz w:val="24"/>
              </w:rPr>
              <w:t>5,486,000.00</w:t>
            </w:r>
          </w:p>
        </w:tc>
        <w:tc>
          <w:tcPr>
            <w:tcW w:w="1680" w:type="dxa"/>
            <w:vAlign w:val="center"/>
          </w:tcPr>
          <w:p w:rsidR="00B67332" w:rsidRDefault="005C62C5">
            <w:pPr>
              <w:jc w:val="right"/>
            </w:pPr>
            <w:r>
              <w:rPr>
                <w:color w:val="000000"/>
                <w:sz w:val="24"/>
              </w:rPr>
              <w:t>0.88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5C62C5">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39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948"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8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5C62C5" w:rsidRPr="007F52FA" w:rsidTr="005C62C5">
        <w:trPr>
          <w:jc w:val="center"/>
        </w:trPr>
        <w:tc>
          <w:tcPr>
            <w:tcW w:w="850" w:type="dxa"/>
            <w:vAlign w:val="center"/>
          </w:tcPr>
          <w:p w:rsidR="005C62C5" w:rsidRPr="007F52FA" w:rsidRDefault="005C62C5" w:rsidP="005C62C5">
            <w:pPr>
              <w:spacing w:before="29" w:line="288" w:lineRule="auto"/>
              <w:ind w:left="17"/>
              <w:jc w:val="center"/>
              <w:rPr>
                <w:color w:val="000000"/>
                <w:sz w:val="24"/>
              </w:rPr>
            </w:pPr>
            <w:r w:rsidRPr="007F52FA">
              <w:rPr>
                <w:color w:val="000000"/>
                <w:sz w:val="24"/>
              </w:rPr>
              <w:t>1</w:t>
            </w:r>
          </w:p>
        </w:tc>
        <w:tc>
          <w:tcPr>
            <w:tcW w:w="3390" w:type="dxa"/>
            <w:vAlign w:val="center"/>
          </w:tcPr>
          <w:p w:rsidR="005C62C5" w:rsidRPr="007F52FA" w:rsidRDefault="005C62C5" w:rsidP="005C62C5">
            <w:pPr>
              <w:spacing w:before="29" w:line="288" w:lineRule="auto"/>
              <w:ind w:left="17"/>
              <w:jc w:val="left"/>
              <w:rPr>
                <w:color w:val="000000"/>
                <w:sz w:val="24"/>
              </w:rPr>
            </w:pPr>
            <w:r w:rsidRPr="007F52FA">
              <w:rPr>
                <w:color w:val="000000"/>
                <w:sz w:val="24"/>
              </w:rPr>
              <w:t>国家债券</w:t>
            </w:r>
          </w:p>
        </w:tc>
        <w:tc>
          <w:tcPr>
            <w:tcW w:w="2948" w:type="dxa"/>
            <w:vAlign w:val="center"/>
          </w:tcPr>
          <w:p w:rsidR="005C62C5" w:rsidRPr="007F52FA" w:rsidRDefault="005C62C5" w:rsidP="005C62C5">
            <w:pPr>
              <w:spacing w:before="29" w:line="288" w:lineRule="auto"/>
              <w:ind w:left="17"/>
              <w:jc w:val="right"/>
              <w:rPr>
                <w:color w:val="000000"/>
                <w:sz w:val="24"/>
              </w:rPr>
            </w:pPr>
            <w:r w:rsidRPr="007F52FA">
              <w:rPr>
                <w:color w:val="000000"/>
                <w:sz w:val="24"/>
              </w:rPr>
              <w:t>21,826,800.00</w:t>
            </w:r>
          </w:p>
        </w:tc>
        <w:tc>
          <w:tcPr>
            <w:tcW w:w="1680" w:type="dxa"/>
            <w:vAlign w:val="center"/>
          </w:tcPr>
          <w:p w:rsidR="005C62C5" w:rsidRPr="007F52FA" w:rsidRDefault="005C62C5" w:rsidP="005C62C5">
            <w:pPr>
              <w:spacing w:before="29" w:line="288" w:lineRule="auto"/>
              <w:ind w:left="17"/>
              <w:jc w:val="right"/>
              <w:rPr>
                <w:color w:val="000000"/>
                <w:sz w:val="24"/>
              </w:rPr>
            </w:pPr>
            <w:r w:rsidRPr="007F52FA">
              <w:rPr>
                <w:color w:val="000000"/>
                <w:sz w:val="24"/>
              </w:rPr>
              <w:t>3.50</w:t>
            </w:r>
          </w:p>
        </w:tc>
      </w:tr>
      <w:tr w:rsidR="005C62C5" w:rsidRPr="007F52FA" w:rsidTr="005C62C5">
        <w:trPr>
          <w:jc w:val="center"/>
        </w:trPr>
        <w:tc>
          <w:tcPr>
            <w:tcW w:w="850" w:type="dxa"/>
            <w:vAlign w:val="center"/>
          </w:tcPr>
          <w:p w:rsidR="005C62C5" w:rsidRPr="007F52FA" w:rsidRDefault="005C62C5" w:rsidP="005C62C5">
            <w:pPr>
              <w:spacing w:before="29" w:line="288" w:lineRule="auto"/>
              <w:ind w:left="17"/>
              <w:jc w:val="center"/>
              <w:rPr>
                <w:color w:val="000000"/>
                <w:sz w:val="24"/>
              </w:rPr>
            </w:pPr>
            <w:r w:rsidRPr="007F52FA">
              <w:rPr>
                <w:color w:val="000000"/>
                <w:sz w:val="24"/>
              </w:rPr>
              <w:t>2</w:t>
            </w:r>
          </w:p>
        </w:tc>
        <w:tc>
          <w:tcPr>
            <w:tcW w:w="3390" w:type="dxa"/>
            <w:vAlign w:val="center"/>
          </w:tcPr>
          <w:p w:rsidR="005C62C5" w:rsidRPr="007F52FA" w:rsidRDefault="005C62C5" w:rsidP="005C62C5">
            <w:pPr>
              <w:spacing w:before="29" w:line="288" w:lineRule="auto"/>
              <w:ind w:left="17"/>
              <w:jc w:val="left"/>
              <w:rPr>
                <w:color w:val="000000"/>
                <w:sz w:val="24"/>
              </w:rPr>
            </w:pPr>
            <w:r w:rsidRPr="007F52FA">
              <w:rPr>
                <w:color w:val="000000"/>
                <w:sz w:val="24"/>
              </w:rPr>
              <w:t>央行票据</w:t>
            </w:r>
          </w:p>
        </w:tc>
        <w:tc>
          <w:tcPr>
            <w:tcW w:w="2948" w:type="dxa"/>
            <w:vAlign w:val="center"/>
          </w:tcPr>
          <w:p w:rsidR="005C62C5" w:rsidRPr="007F52FA" w:rsidRDefault="005C62C5" w:rsidP="005C62C5">
            <w:pPr>
              <w:spacing w:before="29" w:line="288" w:lineRule="auto"/>
              <w:ind w:left="17"/>
              <w:jc w:val="right"/>
              <w:rPr>
                <w:color w:val="000000"/>
                <w:sz w:val="24"/>
              </w:rPr>
            </w:pPr>
            <w:r w:rsidRPr="007F52FA">
              <w:rPr>
                <w:color w:val="000000"/>
                <w:sz w:val="24"/>
              </w:rPr>
              <w:t>-</w:t>
            </w:r>
          </w:p>
        </w:tc>
        <w:tc>
          <w:tcPr>
            <w:tcW w:w="1680" w:type="dxa"/>
            <w:vAlign w:val="center"/>
          </w:tcPr>
          <w:p w:rsidR="005C62C5" w:rsidRPr="007F52FA" w:rsidRDefault="005C62C5" w:rsidP="005C62C5">
            <w:pPr>
              <w:spacing w:before="29" w:line="288" w:lineRule="auto"/>
              <w:ind w:left="17"/>
              <w:jc w:val="right"/>
              <w:rPr>
                <w:color w:val="000000"/>
                <w:sz w:val="24"/>
              </w:rPr>
            </w:pPr>
            <w:r w:rsidRPr="007F52FA">
              <w:rPr>
                <w:color w:val="000000"/>
                <w:sz w:val="24"/>
              </w:rPr>
              <w:t>-</w:t>
            </w:r>
          </w:p>
        </w:tc>
      </w:tr>
      <w:tr w:rsidR="005C62C5" w:rsidRPr="007F52FA" w:rsidTr="005C62C5">
        <w:trPr>
          <w:jc w:val="center"/>
        </w:trPr>
        <w:tc>
          <w:tcPr>
            <w:tcW w:w="850" w:type="dxa"/>
            <w:vAlign w:val="center"/>
          </w:tcPr>
          <w:p w:rsidR="005C62C5" w:rsidRPr="007F52FA" w:rsidRDefault="005C62C5" w:rsidP="005C62C5">
            <w:pPr>
              <w:spacing w:before="29" w:line="288" w:lineRule="auto"/>
              <w:ind w:left="17"/>
              <w:jc w:val="center"/>
              <w:rPr>
                <w:color w:val="000000"/>
                <w:sz w:val="24"/>
              </w:rPr>
            </w:pPr>
            <w:r w:rsidRPr="007F52FA">
              <w:rPr>
                <w:color w:val="000000"/>
                <w:sz w:val="24"/>
              </w:rPr>
              <w:t>3</w:t>
            </w:r>
          </w:p>
        </w:tc>
        <w:tc>
          <w:tcPr>
            <w:tcW w:w="3390" w:type="dxa"/>
            <w:vAlign w:val="center"/>
          </w:tcPr>
          <w:p w:rsidR="005C62C5" w:rsidRPr="007F52FA" w:rsidRDefault="005C62C5" w:rsidP="005C62C5">
            <w:pPr>
              <w:spacing w:before="29" w:line="288" w:lineRule="auto"/>
              <w:ind w:left="17"/>
              <w:jc w:val="left"/>
              <w:rPr>
                <w:color w:val="000000"/>
                <w:sz w:val="24"/>
              </w:rPr>
            </w:pPr>
            <w:r w:rsidRPr="007F52FA">
              <w:rPr>
                <w:color w:val="000000"/>
                <w:sz w:val="24"/>
              </w:rPr>
              <w:t>金融债券</w:t>
            </w:r>
          </w:p>
        </w:tc>
        <w:tc>
          <w:tcPr>
            <w:tcW w:w="2948" w:type="dxa"/>
            <w:vAlign w:val="center"/>
          </w:tcPr>
          <w:p w:rsidR="005C62C5" w:rsidRPr="007F52FA" w:rsidRDefault="005C62C5" w:rsidP="005C62C5">
            <w:pPr>
              <w:spacing w:before="29" w:line="288" w:lineRule="auto"/>
              <w:ind w:left="17"/>
              <w:jc w:val="right"/>
              <w:rPr>
                <w:color w:val="000000"/>
                <w:sz w:val="24"/>
              </w:rPr>
            </w:pPr>
            <w:r w:rsidRPr="007F52FA">
              <w:rPr>
                <w:color w:val="000000"/>
                <w:sz w:val="24"/>
              </w:rPr>
              <w:t>21,420,150.00</w:t>
            </w:r>
          </w:p>
        </w:tc>
        <w:tc>
          <w:tcPr>
            <w:tcW w:w="1680" w:type="dxa"/>
            <w:vAlign w:val="center"/>
          </w:tcPr>
          <w:p w:rsidR="005C62C5" w:rsidRPr="007F52FA" w:rsidRDefault="005C62C5" w:rsidP="005C62C5">
            <w:pPr>
              <w:spacing w:before="29" w:line="288" w:lineRule="auto"/>
              <w:ind w:left="17"/>
              <w:jc w:val="right"/>
              <w:rPr>
                <w:color w:val="000000"/>
                <w:sz w:val="24"/>
              </w:rPr>
            </w:pPr>
            <w:r w:rsidRPr="007F52FA">
              <w:rPr>
                <w:color w:val="000000"/>
                <w:sz w:val="24"/>
              </w:rPr>
              <w:t>3.43</w:t>
            </w:r>
          </w:p>
        </w:tc>
      </w:tr>
      <w:tr w:rsidR="005C62C5" w:rsidRPr="007F52FA" w:rsidTr="005C62C5">
        <w:trPr>
          <w:jc w:val="center"/>
        </w:trPr>
        <w:tc>
          <w:tcPr>
            <w:tcW w:w="850" w:type="dxa"/>
            <w:vAlign w:val="center"/>
          </w:tcPr>
          <w:p w:rsidR="005C62C5" w:rsidRPr="007F52FA" w:rsidRDefault="005C62C5" w:rsidP="005C62C5">
            <w:pPr>
              <w:spacing w:before="29" w:line="288" w:lineRule="auto"/>
              <w:ind w:left="17"/>
              <w:jc w:val="center"/>
              <w:rPr>
                <w:color w:val="000000"/>
                <w:sz w:val="24"/>
              </w:rPr>
            </w:pPr>
          </w:p>
        </w:tc>
        <w:tc>
          <w:tcPr>
            <w:tcW w:w="3390" w:type="dxa"/>
            <w:vAlign w:val="center"/>
          </w:tcPr>
          <w:p w:rsidR="005C62C5" w:rsidRPr="007F52FA" w:rsidRDefault="005C62C5" w:rsidP="005C62C5">
            <w:pPr>
              <w:spacing w:before="29" w:line="288" w:lineRule="auto"/>
              <w:ind w:left="17"/>
              <w:jc w:val="left"/>
              <w:rPr>
                <w:color w:val="000000"/>
                <w:sz w:val="24"/>
              </w:rPr>
            </w:pPr>
            <w:r w:rsidRPr="007F52FA">
              <w:rPr>
                <w:color w:val="000000"/>
                <w:sz w:val="24"/>
              </w:rPr>
              <w:t>其中：政策性金融债</w:t>
            </w:r>
          </w:p>
        </w:tc>
        <w:tc>
          <w:tcPr>
            <w:tcW w:w="2948" w:type="dxa"/>
            <w:vAlign w:val="center"/>
          </w:tcPr>
          <w:p w:rsidR="005C62C5" w:rsidRPr="007F52FA" w:rsidRDefault="005C62C5" w:rsidP="005C62C5">
            <w:pPr>
              <w:spacing w:before="29" w:line="288" w:lineRule="auto"/>
              <w:ind w:left="17"/>
              <w:jc w:val="right"/>
              <w:rPr>
                <w:color w:val="000000"/>
                <w:sz w:val="24"/>
              </w:rPr>
            </w:pPr>
            <w:r w:rsidRPr="007F52FA">
              <w:rPr>
                <w:color w:val="000000"/>
                <w:sz w:val="24"/>
              </w:rPr>
              <w:t>9,979,000.00</w:t>
            </w:r>
          </w:p>
        </w:tc>
        <w:tc>
          <w:tcPr>
            <w:tcW w:w="1680" w:type="dxa"/>
            <w:vAlign w:val="center"/>
          </w:tcPr>
          <w:p w:rsidR="005C62C5" w:rsidRPr="007F52FA" w:rsidRDefault="005C62C5" w:rsidP="005C62C5">
            <w:pPr>
              <w:spacing w:before="29" w:line="288" w:lineRule="auto"/>
              <w:ind w:left="17"/>
              <w:jc w:val="right"/>
              <w:rPr>
                <w:color w:val="000000"/>
                <w:sz w:val="24"/>
              </w:rPr>
            </w:pPr>
            <w:r w:rsidRPr="007F52FA">
              <w:rPr>
                <w:color w:val="000000"/>
                <w:sz w:val="24"/>
              </w:rPr>
              <w:t>1.60</w:t>
            </w:r>
          </w:p>
        </w:tc>
      </w:tr>
      <w:tr w:rsidR="005C62C5" w:rsidRPr="007F52FA" w:rsidTr="005C62C5">
        <w:trPr>
          <w:jc w:val="center"/>
        </w:trPr>
        <w:tc>
          <w:tcPr>
            <w:tcW w:w="850" w:type="dxa"/>
            <w:vAlign w:val="center"/>
          </w:tcPr>
          <w:p w:rsidR="005C62C5" w:rsidRPr="007F52FA" w:rsidRDefault="005C62C5" w:rsidP="005C62C5">
            <w:pPr>
              <w:spacing w:before="29" w:line="288" w:lineRule="auto"/>
              <w:ind w:left="17"/>
              <w:jc w:val="center"/>
              <w:rPr>
                <w:color w:val="000000"/>
                <w:sz w:val="24"/>
              </w:rPr>
            </w:pPr>
            <w:r w:rsidRPr="007F52FA">
              <w:rPr>
                <w:color w:val="000000"/>
                <w:sz w:val="24"/>
              </w:rPr>
              <w:t>4</w:t>
            </w:r>
          </w:p>
        </w:tc>
        <w:tc>
          <w:tcPr>
            <w:tcW w:w="3390" w:type="dxa"/>
            <w:vAlign w:val="center"/>
          </w:tcPr>
          <w:p w:rsidR="005C62C5" w:rsidRPr="007F52FA" w:rsidRDefault="005C62C5" w:rsidP="005C62C5">
            <w:pPr>
              <w:spacing w:before="29" w:line="288" w:lineRule="auto"/>
              <w:ind w:left="17"/>
              <w:jc w:val="left"/>
              <w:rPr>
                <w:color w:val="000000"/>
                <w:sz w:val="24"/>
              </w:rPr>
            </w:pPr>
            <w:r w:rsidRPr="007F52FA">
              <w:rPr>
                <w:color w:val="000000"/>
                <w:sz w:val="24"/>
              </w:rPr>
              <w:t>企业债券</w:t>
            </w:r>
          </w:p>
        </w:tc>
        <w:tc>
          <w:tcPr>
            <w:tcW w:w="2948" w:type="dxa"/>
            <w:vAlign w:val="center"/>
          </w:tcPr>
          <w:p w:rsidR="005C62C5" w:rsidRPr="007F52FA" w:rsidRDefault="005C62C5" w:rsidP="005C62C5">
            <w:pPr>
              <w:spacing w:before="29" w:line="288" w:lineRule="auto"/>
              <w:ind w:left="17"/>
              <w:jc w:val="right"/>
              <w:rPr>
                <w:color w:val="000000"/>
                <w:sz w:val="24"/>
              </w:rPr>
            </w:pPr>
            <w:r w:rsidRPr="007F52FA">
              <w:rPr>
                <w:color w:val="000000"/>
                <w:sz w:val="24"/>
              </w:rPr>
              <w:t>85,696,000.00</w:t>
            </w:r>
          </w:p>
        </w:tc>
        <w:tc>
          <w:tcPr>
            <w:tcW w:w="1680" w:type="dxa"/>
            <w:vAlign w:val="center"/>
          </w:tcPr>
          <w:p w:rsidR="005C62C5" w:rsidRPr="007F52FA" w:rsidRDefault="005C62C5" w:rsidP="005C62C5">
            <w:pPr>
              <w:spacing w:before="29" w:line="288" w:lineRule="auto"/>
              <w:ind w:left="17"/>
              <w:jc w:val="right"/>
              <w:rPr>
                <w:color w:val="000000"/>
                <w:sz w:val="24"/>
              </w:rPr>
            </w:pPr>
            <w:r w:rsidRPr="007F52FA">
              <w:rPr>
                <w:color w:val="000000"/>
                <w:sz w:val="24"/>
              </w:rPr>
              <w:t>13.73</w:t>
            </w:r>
          </w:p>
        </w:tc>
      </w:tr>
      <w:tr w:rsidR="005C62C5" w:rsidRPr="007F52FA" w:rsidTr="005C62C5">
        <w:trPr>
          <w:jc w:val="center"/>
        </w:trPr>
        <w:tc>
          <w:tcPr>
            <w:tcW w:w="850" w:type="dxa"/>
            <w:vAlign w:val="center"/>
          </w:tcPr>
          <w:p w:rsidR="005C62C5" w:rsidRPr="007F52FA" w:rsidRDefault="005C62C5" w:rsidP="005C62C5">
            <w:pPr>
              <w:spacing w:before="29" w:line="288" w:lineRule="auto"/>
              <w:ind w:left="17"/>
              <w:jc w:val="center"/>
              <w:rPr>
                <w:color w:val="000000"/>
                <w:sz w:val="24"/>
              </w:rPr>
            </w:pPr>
            <w:r w:rsidRPr="007F52FA">
              <w:rPr>
                <w:color w:val="000000"/>
                <w:sz w:val="24"/>
              </w:rPr>
              <w:t>5</w:t>
            </w:r>
          </w:p>
        </w:tc>
        <w:tc>
          <w:tcPr>
            <w:tcW w:w="3390" w:type="dxa"/>
            <w:vAlign w:val="center"/>
          </w:tcPr>
          <w:p w:rsidR="005C62C5" w:rsidRPr="007F52FA" w:rsidRDefault="005C62C5" w:rsidP="005C62C5">
            <w:pPr>
              <w:spacing w:before="29" w:line="288" w:lineRule="auto"/>
              <w:ind w:left="17"/>
              <w:jc w:val="left"/>
              <w:rPr>
                <w:color w:val="000000"/>
                <w:sz w:val="24"/>
              </w:rPr>
            </w:pPr>
            <w:r w:rsidRPr="007F52FA">
              <w:rPr>
                <w:color w:val="000000"/>
                <w:sz w:val="24"/>
              </w:rPr>
              <w:t>企业短期融资券</w:t>
            </w:r>
          </w:p>
        </w:tc>
        <w:tc>
          <w:tcPr>
            <w:tcW w:w="2948" w:type="dxa"/>
            <w:vAlign w:val="center"/>
          </w:tcPr>
          <w:p w:rsidR="005C62C5" w:rsidRPr="007F52FA" w:rsidRDefault="005C62C5" w:rsidP="005C62C5">
            <w:pPr>
              <w:spacing w:before="29" w:line="288" w:lineRule="auto"/>
              <w:ind w:left="17"/>
              <w:jc w:val="right"/>
              <w:rPr>
                <w:color w:val="000000"/>
                <w:sz w:val="24"/>
              </w:rPr>
            </w:pPr>
            <w:r w:rsidRPr="007F52FA">
              <w:rPr>
                <w:color w:val="000000"/>
                <w:sz w:val="24"/>
              </w:rPr>
              <w:t>-</w:t>
            </w:r>
          </w:p>
        </w:tc>
        <w:tc>
          <w:tcPr>
            <w:tcW w:w="1680" w:type="dxa"/>
            <w:vAlign w:val="center"/>
          </w:tcPr>
          <w:p w:rsidR="005C62C5" w:rsidRPr="007F52FA" w:rsidRDefault="005C62C5" w:rsidP="005C62C5">
            <w:pPr>
              <w:spacing w:before="29" w:line="288" w:lineRule="auto"/>
              <w:ind w:left="17"/>
              <w:jc w:val="right"/>
              <w:rPr>
                <w:color w:val="000000"/>
                <w:sz w:val="24"/>
              </w:rPr>
            </w:pPr>
            <w:r w:rsidRPr="007F52FA">
              <w:rPr>
                <w:color w:val="000000"/>
                <w:sz w:val="24"/>
              </w:rPr>
              <w:t>-</w:t>
            </w:r>
          </w:p>
        </w:tc>
      </w:tr>
      <w:tr w:rsidR="005C62C5" w:rsidRPr="007F52FA" w:rsidTr="005C62C5">
        <w:trPr>
          <w:jc w:val="center"/>
        </w:trPr>
        <w:tc>
          <w:tcPr>
            <w:tcW w:w="850" w:type="dxa"/>
            <w:vAlign w:val="center"/>
          </w:tcPr>
          <w:p w:rsidR="005C62C5" w:rsidRPr="007F52FA" w:rsidRDefault="005C62C5" w:rsidP="005C62C5">
            <w:pPr>
              <w:spacing w:before="29" w:line="288" w:lineRule="auto"/>
              <w:ind w:left="17"/>
              <w:jc w:val="center"/>
              <w:rPr>
                <w:color w:val="000000"/>
                <w:sz w:val="24"/>
              </w:rPr>
            </w:pPr>
            <w:r w:rsidRPr="007F52FA">
              <w:rPr>
                <w:color w:val="000000"/>
                <w:sz w:val="24"/>
              </w:rPr>
              <w:t>6</w:t>
            </w:r>
          </w:p>
        </w:tc>
        <w:tc>
          <w:tcPr>
            <w:tcW w:w="3390" w:type="dxa"/>
            <w:vAlign w:val="center"/>
          </w:tcPr>
          <w:p w:rsidR="005C62C5" w:rsidRPr="007F52FA" w:rsidRDefault="005C62C5" w:rsidP="005C62C5">
            <w:pPr>
              <w:spacing w:before="29" w:line="288" w:lineRule="auto"/>
              <w:ind w:left="17"/>
              <w:jc w:val="left"/>
              <w:rPr>
                <w:color w:val="000000"/>
                <w:sz w:val="24"/>
              </w:rPr>
            </w:pPr>
            <w:r w:rsidRPr="007F52FA">
              <w:rPr>
                <w:color w:val="000000"/>
                <w:sz w:val="24"/>
              </w:rPr>
              <w:t>中期票据</w:t>
            </w:r>
          </w:p>
        </w:tc>
        <w:tc>
          <w:tcPr>
            <w:tcW w:w="2948" w:type="dxa"/>
            <w:vAlign w:val="center"/>
          </w:tcPr>
          <w:p w:rsidR="005C62C5" w:rsidRPr="007F52FA" w:rsidRDefault="005C62C5" w:rsidP="005C62C5">
            <w:pPr>
              <w:spacing w:before="29" w:line="288" w:lineRule="auto"/>
              <w:ind w:left="17"/>
              <w:jc w:val="right"/>
              <w:rPr>
                <w:color w:val="000000"/>
                <w:sz w:val="24"/>
              </w:rPr>
            </w:pPr>
            <w:r w:rsidRPr="007F52FA">
              <w:rPr>
                <w:color w:val="000000"/>
                <w:sz w:val="24"/>
              </w:rPr>
              <w:t>-</w:t>
            </w:r>
          </w:p>
        </w:tc>
        <w:tc>
          <w:tcPr>
            <w:tcW w:w="1680" w:type="dxa"/>
            <w:vAlign w:val="center"/>
          </w:tcPr>
          <w:p w:rsidR="005C62C5" w:rsidRPr="007F52FA" w:rsidRDefault="005C62C5" w:rsidP="005C62C5">
            <w:pPr>
              <w:spacing w:before="29" w:line="288" w:lineRule="auto"/>
              <w:ind w:left="17"/>
              <w:jc w:val="right"/>
              <w:rPr>
                <w:color w:val="000000"/>
                <w:sz w:val="24"/>
              </w:rPr>
            </w:pPr>
            <w:r w:rsidRPr="007F52FA">
              <w:rPr>
                <w:color w:val="000000"/>
                <w:sz w:val="24"/>
              </w:rPr>
              <w:t>-</w:t>
            </w:r>
          </w:p>
        </w:tc>
      </w:tr>
      <w:tr w:rsidR="005C62C5" w:rsidRPr="007F52FA" w:rsidTr="005C62C5">
        <w:trPr>
          <w:jc w:val="center"/>
        </w:trPr>
        <w:tc>
          <w:tcPr>
            <w:tcW w:w="850" w:type="dxa"/>
            <w:vAlign w:val="center"/>
          </w:tcPr>
          <w:p w:rsidR="005C62C5" w:rsidRPr="007F52FA" w:rsidRDefault="005C62C5" w:rsidP="005C62C5">
            <w:pPr>
              <w:spacing w:before="29" w:line="288" w:lineRule="auto"/>
              <w:ind w:left="17"/>
              <w:jc w:val="center"/>
              <w:rPr>
                <w:color w:val="000000"/>
                <w:sz w:val="24"/>
              </w:rPr>
            </w:pPr>
            <w:r w:rsidRPr="007F52FA">
              <w:rPr>
                <w:color w:val="000000"/>
                <w:sz w:val="24"/>
              </w:rPr>
              <w:t>7</w:t>
            </w:r>
          </w:p>
        </w:tc>
        <w:tc>
          <w:tcPr>
            <w:tcW w:w="3390" w:type="dxa"/>
            <w:vAlign w:val="center"/>
          </w:tcPr>
          <w:p w:rsidR="005C62C5" w:rsidRPr="007F52FA" w:rsidRDefault="005C62C5" w:rsidP="005C62C5">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rsidR="005C62C5" w:rsidRPr="007F52FA" w:rsidRDefault="005C62C5" w:rsidP="005C62C5">
            <w:pPr>
              <w:spacing w:before="29" w:line="288" w:lineRule="auto"/>
              <w:ind w:left="17"/>
              <w:jc w:val="right"/>
              <w:rPr>
                <w:color w:val="000000"/>
                <w:sz w:val="24"/>
              </w:rPr>
            </w:pPr>
            <w:r w:rsidRPr="007F52FA">
              <w:rPr>
                <w:color w:val="000000"/>
                <w:sz w:val="24"/>
              </w:rPr>
              <w:t>1,495,463.40</w:t>
            </w:r>
          </w:p>
        </w:tc>
        <w:tc>
          <w:tcPr>
            <w:tcW w:w="1680" w:type="dxa"/>
            <w:vAlign w:val="center"/>
          </w:tcPr>
          <w:p w:rsidR="005C62C5" w:rsidRPr="007F52FA" w:rsidRDefault="005C62C5" w:rsidP="005C62C5">
            <w:pPr>
              <w:spacing w:before="29" w:line="288" w:lineRule="auto"/>
              <w:ind w:left="17"/>
              <w:jc w:val="right"/>
              <w:rPr>
                <w:color w:val="000000"/>
                <w:sz w:val="24"/>
              </w:rPr>
            </w:pPr>
            <w:r w:rsidRPr="007F52FA">
              <w:rPr>
                <w:color w:val="000000"/>
                <w:sz w:val="24"/>
              </w:rPr>
              <w:t>0.24</w:t>
            </w:r>
          </w:p>
        </w:tc>
      </w:tr>
      <w:tr w:rsidR="005C62C5" w:rsidRPr="007F52FA" w:rsidTr="005C62C5">
        <w:trPr>
          <w:jc w:val="center"/>
        </w:trPr>
        <w:tc>
          <w:tcPr>
            <w:tcW w:w="850" w:type="dxa"/>
            <w:vAlign w:val="center"/>
          </w:tcPr>
          <w:p w:rsidR="005C62C5" w:rsidRPr="007F52FA" w:rsidRDefault="005C62C5" w:rsidP="005C62C5">
            <w:pPr>
              <w:spacing w:before="29" w:line="288" w:lineRule="auto"/>
              <w:ind w:left="17"/>
              <w:jc w:val="center"/>
              <w:rPr>
                <w:color w:val="000000"/>
                <w:sz w:val="24"/>
              </w:rPr>
            </w:pPr>
            <w:r>
              <w:rPr>
                <w:rFonts w:hint="eastAsia"/>
                <w:color w:val="000000"/>
                <w:sz w:val="24"/>
              </w:rPr>
              <w:t>8</w:t>
            </w:r>
          </w:p>
        </w:tc>
        <w:tc>
          <w:tcPr>
            <w:tcW w:w="3390" w:type="dxa"/>
            <w:vAlign w:val="center"/>
          </w:tcPr>
          <w:p w:rsidR="005C62C5" w:rsidRPr="007F52FA" w:rsidRDefault="005C62C5" w:rsidP="005C62C5">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rsidR="005C62C5" w:rsidRPr="007F52FA" w:rsidRDefault="005C62C5" w:rsidP="005C62C5">
            <w:pPr>
              <w:spacing w:before="29" w:line="288" w:lineRule="auto"/>
              <w:ind w:left="17"/>
              <w:jc w:val="right"/>
              <w:rPr>
                <w:color w:val="000000"/>
                <w:sz w:val="24"/>
              </w:rPr>
            </w:pPr>
            <w:r w:rsidRPr="00AF0CAB">
              <w:rPr>
                <w:rFonts w:hint="eastAsia"/>
                <w:color w:val="000000"/>
                <w:sz w:val="24"/>
              </w:rPr>
              <w:t>310,987,000.00</w:t>
            </w:r>
          </w:p>
        </w:tc>
        <w:tc>
          <w:tcPr>
            <w:tcW w:w="1680" w:type="dxa"/>
            <w:vAlign w:val="center"/>
          </w:tcPr>
          <w:p w:rsidR="005C62C5" w:rsidRPr="007F52FA" w:rsidRDefault="005C62C5" w:rsidP="005C62C5">
            <w:pPr>
              <w:spacing w:before="29" w:line="288" w:lineRule="auto"/>
              <w:ind w:left="17"/>
              <w:jc w:val="right"/>
              <w:rPr>
                <w:color w:val="000000"/>
                <w:sz w:val="24"/>
              </w:rPr>
            </w:pPr>
            <w:r w:rsidRPr="00AF0CAB">
              <w:rPr>
                <w:rFonts w:hint="eastAsia"/>
                <w:color w:val="000000"/>
                <w:sz w:val="24"/>
              </w:rPr>
              <w:t>49.84</w:t>
            </w:r>
          </w:p>
        </w:tc>
      </w:tr>
      <w:tr w:rsidR="005C62C5" w:rsidRPr="007F52FA" w:rsidTr="005C62C5">
        <w:trPr>
          <w:jc w:val="center"/>
        </w:trPr>
        <w:tc>
          <w:tcPr>
            <w:tcW w:w="850" w:type="dxa"/>
            <w:vAlign w:val="center"/>
          </w:tcPr>
          <w:p w:rsidR="005C62C5" w:rsidRPr="007F52FA" w:rsidRDefault="005C62C5" w:rsidP="005C62C5">
            <w:pPr>
              <w:spacing w:before="29" w:line="288" w:lineRule="auto"/>
              <w:ind w:left="17"/>
              <w:jc w:val="center"/>
              <w:rPr>
                <w:color w:val="000000"/>
                <w:sz w:val="24"/>
              </w:rPr>
            </w:pPr>
            <w:r w:rsidRPr="007F52FA">
              <w:rPr>
                <w:color w:val="000000"/>
                <w:sz w:val="24"/>
              </w:rPr>
              <w:t>9</w:t>
            </w:r>
          </w:p>
        </w:tc>
        <w:tc>
          <w:tcPr>
            <w:tcW w:w="3390" w:type="dxa"/>
            <w:vAlign w:val="center"/>
          </w:tcPr>
          <w:p w:rsidR="005C62C5" w:rsidRPr="007F52FA" w:rsidRDefault="005C62C5" w:rsidP="005C62C5">
            <w:pPr>
              <w:spacing w:before="29" w:line="288" w:lineRule="auto"/>
              <w:ind w:left="17"/>
              <w:jc w:val="left"/>
              <w:rPr>
                <w:color w:val="000000"/>
                <w:sz w:val="24"/>
              </w:rPr>
            </w:pPr>
            <w:r w:rsidRPr="007F52FA">
              <w:rPr>
                <w:color w:val="000000"/>
                <w:sz w:val="24"/>
              </w:rPr>
              <w:t>其他</w:t>
            </w:r>
          </w:p>
        </w:tc>
        <w:tc>
          <w:tcPr>
            <w:tcW w:w="2948" w:type="dxa"/>
            <w:vAlign w:val="center"/>
          </w:tcPr>
          <w:p w:rsidR="005C62C5" w:rsidRPr="007F52FA" w:rsidRDefault="005C62C5" w:rsidP="005C62C5">
            <w:pPr>
              <w:spacing w:before="29" w:line="288" w:lineRule="auto"/>
              <w:ind w:left="17"/>
              <w:jc w:val="right"/>
              <w:rPr>
                <w:color w:val="000000"/>
                <w:sz w:val="24"/>
              </w:rPr>
            </w:pPr>
            <w:r w:rsidRPr="007F52FA">
              <w:rPr>
                <w:color w:val="000000"/>
                <w:sz w:val="24"/>
              </w:rPr>
              <w:t>-</w:t>
            </w:r>
          </w:p>
        </w:tc>
        <w:tc>
          <w:tcPr>
            <w:tcW w:w="1680" w:type="dxa"/>
            <w:vAlign w:val="center"/>
          </w:tcPr>
          <w:p w:rsidR="005C62C5" w:rsidRPr="007F52FA" w:rsidRDefault="005C62C5" w:rsidP="005C62C5">
            <w:pPr>
              <w:spacing w:before="29" w:line="288" w:lineRule="auto"/>
              <w:ind w:left="17"/>
              <w:jc w:val="right"/>
              <w:rPr>
                <w:color w:val="000000"/>
                <w:sz w:val="24"/>
              </w:rPr>
            </w:pPr>
            <w:r w:rsidRPr="007F52FA">
              <w:rPr>
                <w:color w:val="000000"/>
                <w:sz w:val="24"/>
              </w:rPr>
              <w:t>-</w:t>
            </w:r>
          </w:p>
        </w:tc>
      </w:tr>
      <w:tr w:rsidR="005C62C5" w:rsidRPr="007F52FA" w:rsidTr="005C62C5">
        <w:trPr>
          <w:jc w:val="center"/>
        </w:trPr>
        <w:tc>
          <w:tcPr>
            <w:tcW w:w="850" w:type="dxa"/>
            <w:vAlign w:val="center"/>
          </w:tcPr>
          <w:p w:rsidR="005C62C5" w:rsidRPr="007F52FA" w:rsidRDefault="005C62C5" w:rsidP="005C62C5">
            <w:pPr>
              <w:spacing w:before="29" w:line="288" w:lineRule="auto"/>
              <w:ind w:left="17"/>
              <w:jc w:val="center"/>
              <w:rPr>
                <w:color w:val="000000"/>
                <w:sz w:val="24"/>
              </w:rPr>
            </w:pPr>
            <w:r w:rsidRPr="007F52FA">
              <w:rPr>
                <w:color w:val="000000"/>
                <w:sz w:val="24"/>
              </w:rPr>
              <w:t>10</w:t>
            </w:r>
          </w:p>
        </w:tc>
        <w:tc>
          <w:tcPr>
            <w:tcW w:w="3390" w:type="dxa"/>
            <w:vAlign w:val="center"/>
          </w:tcPr>
          <w:p w:rsidR="005C62C5" w:rsidRPr="007F52FA" w:rsidRDefault="005C62C5" w:rsidP="005C62C5">
            <w:pPr>
              <w:spacing w:before="29" w:line="288" w:lineRule="auto"/>
              <w:ind w:left="17"/>
              <w:jc w:val="left"/>
              <w:rPr>
                <w:color w:val="000000"/>
                <w:sz w:val="24"/>
              </w:rPr>
            </w:pPr>
            <w:r w:rsidRPr="007F52FA">
              <w:rPr>
                <w:color w:val="000000"/>
                <w:sz w:val="24"/>
              </w:rPr>
              <w:t>合计</w:t>
            </w:r>
          </w:p>
        </w:tc>
        <w:tc>
          <w:tcPr>
            <w:tcW w:w="2948" w:type="dxa"/>
            <w:vAlign w:val="center"/>
          </w:tcPr>
          <w:p w:rsidR="005C62C5" w:rsidRPr="007F52FA" w:rsidRDefault="005C62C5" w:rsidP="005C62C5">
            <w:pPr>
              <w:spacing w:before="29" w:line="288" w:lineRule="auto"/>
              <w:ind w:left="17"/>
              <w:jc w:val="right"/>
              <w:rPr>
                <w:color w:val="000000"/>
                <w:sz w:val="24"/>
              </w:rPr>
            </w:pPr>
            <w:r w:rsidRPr="007F52FA">
              <w:rPr>
                <w:color w:val="000000"/>
                <w:sz w:val="24"/>
              </w:rPr>
              <w:t>441,425,413.40</w:t>
            </w:r>
          </w:p>
        </w:tc>
        <w:tc>
          <w:tcPr>
            <w:tcW w:w="1680" w:type="dxa"/>
            <w:vAlign w:val="center"/>
          </w:tcPr>
          <w:p w:rsidR="005C62C5" w:rsidRPr="007F52FA" w:rsidRDefault="005C62C5" w:rsidP="005C62C5">
            <w:pPr>
              <w:spacing w:before="29" w:line="288" w:lineRule="auto"/>
              <w:ind w:left="17"/>
              <w:jc w:val="right"/>
              <w:rPr>
                <w:color w:val="000000"/>
                <w:sz w:val="24"/>
              </w:rPr>
            </w:pPr>
            <w:r w:rsidRPr="007F52FA">
              <w:rPr>
                <w:color w:val="000000"/>
                <w:sz w:val="24"/>
              </w:rPr>
              <w:t>70.75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67332">
        <w:trPr>
          <w:jc w:val="center"/>
        </w:trPr>
        <w:tc>
          <w:tcPr>
            <w:tcW w:w="1075" w:type="dxa"/>
            <w:vAlign w:val="center"/>
          </w:tcPr>
          <w:p w:rsidR="00B67332" w:rsidRDefault="005C62C5">
            <w:pPr>
              <w:jc w:val="center"/>
            </w:pPr>
            <w:r>
              <w:rPr>
                <w:color w:val="000000"/>
                <w:sz w:val="24"/>
              </w:rPr>
              <w:t>1</w:t>
            </w:r>
          </w:p>
        </w:tc>
        <w:tc>
          <w:tcPr>
            <w:tcW w:w="1533" w:type="dxa"/>
            <w:vAlign w:val="center"/>
          </w:tcPr>
          <w:p w:rsidR="00B67332" w:rsidRDefault="005C62C5">
            <w:pPr>
              <w:jc w:val="center"/>
            </w:pPr>
            <w:r>
              <w:rPr>
                <w:color w:val="000000"/>
                <w:sz w:val="24"/>
              </w:rPr>
              <w:t>111711246</w:t>
            </w:r>
          </w:p>
        </w:tc>
        <w:tc>
          <w:tcPr>
            <w:tcW w:w="1533" w:type="dxa"/>
            <w:vAlign w:val="center"/>
          </w:tcPr>
          <w:p w:rsidR="00B67332" w:rsidRDefault="005C62C5">
            <w:pPr>
              <w:jc w:val="center"/>
            </w:pPr>
            <w:r>
              <w:rPr>
                <w:color w:val="000000"/>
                <w:sz w:val="24"/>
              </w:rPr>
              <w:t>17</w:t>
            </w:r>
            <w:r>
              <w:rPr>
                <w:color w:val="000000"/>
                <w:sz w:val="24"/>
              </w:rPr>
              <w:t>平安银行</w:t>
            </w:r>
            <w:r>
              <w:rPr>
                <w:color w:val="000000"/>
                <w:sz w:val="24"/>
              </w:rPr>
              <w:t>CD246</w:t>
            </w:r>
          </w:p>
        </w:tc>
        <w:tc>
          <w:tcPr>
            <w:tcW w:w="1394" w:type="dxa"/>
            <w:vAlign w:val="center"/>
          </w:tcPr>
          <w:p w:rsidR="00B67332" w:rsidRDefault="005C62C5">
            <w:pPr>
              <w:jc w:val="right"/>
            </w:pPr>
            <w:r>
              <w:rPr>
                <w:color w:val="000000"/>
                <w:sz w:val="24"/>
              </w:rPr>
              <w:t>500,000</w:t>
            </w:r>
          </w:p>
        </w:tc>
        <w:tc>
          <w:tcPr>
            <w:tcW w:w="1944" w:type="dxa"/>
            <w:vAlign w:val="center"/>
          </w:tcPr>
          <w:p w:rsidR="00B67332" w:rsidRDefault="005C62C5">
            <w:pPr>
              <w:jc w:val="right"/>
            </w:pPr>
            <w:r>
              <w:rPr>
                <w:color w:val="000000"/>
                <w:sz w:val="24"/>
              </w:rPr>
              <w:t>48,915,000.00</w:t>
            </w:r>
          </w:p>
        </w:tc>
        <w:tc>
          <w:tcPr>
            <w:tcW w:w="1389" w:type="dxa"/>
            <w:vAlign w:val="center"/>
          </w:tcPr>
          <w:p w:rsidR="00B67332" w:rsidRDefault="005C62C5">
            <w:pPr>
              <w:jc w:val="right"/>
            </w:pPr>
            <w:r>
              <w:rPr>
                <w:color w:val="000000"/>
                <w:sz w:val="24"/>
              </w:rPr>
              <w:t>7.84</w:t>
            </w:r>
          </w:p>
        </w:tc>
      </w:tr>
      <w:tr w:rsidR="00B67332">
        <w:trPr>
          <w:jc w:val="center"/>
        </w:trPr>
        <w:tc>
          <w:tcPr>
            <w:tcW w:w="1075" w:type="dxa"/>
            <w:vAlign w:val="center"/>
          </w:tcPr>
          <w:p w:rsidR="00B67332" w:rsidRDefault="005C62C5">
            <w:pPr>
              <w:jc w:val="center"/>
            </w:pPr>
            <w:r>
              <w:rPr>
                <w:color w:val="000000"/>
                <w:sz w:val="24"/>
              </w:rPr>
              <w:t>2</w:t>
            </w:r>
          </w:p>
        </w:tc>
        <w:tc>
          <w:tcPr>
            <w:tcW w:w="1533" w:type="dxa"/>
            <w:vAlign w:val="center"/>
          </w:tcPr>
          <w:p w:rsidR="00B67332" w:rsidRDefault="005C62C5">
            <w:pPr>
              <w:jc w:val="center"/>
            </w:pPr>
            <w:r>
              <w:rPr>
                <w:color w:val="000000"/>
                <w:sz w:val="24"/>
              </w:rPr>
              <w:t>111718100</w:t>
            </w:r>
          </w:p>
        </w:tc>
        <w:tc>
          <w:tcPr>
            <w:tcW w:w="1533" w:type="dxa"/>
            <w:vAlign w:val="center"/>
          </w:tcPr>
          <w:p w:rsidR="00B67332" w:rsidRDefault="005C62C5">
            <w:pPr>
              <w:jc w:val="center"/>
            </w:pPr>
            <w:r>
              <w:rPr>
                <w:color w:val="000000"/>
                <w:sz w:val="24"/>
              </w:rPr>
              <w:t>17</w:t>
            </w:r>
            <w:r>
              <w:rPr>
                <w:color w:val="000000"/>
                <w:sz w:val="24"/>
              </w:rPr>
              <w:t>华夏银行</w:t>
            </w:r>
            <w:r>
              <w:rPr>
                <w:color w:val="000000"/>
                <w:sz w:val="24"/>
              </w:rPr>
              <w:t>CD100</w:t>
            </w:r>
          </w:p>
        </w:tc>
        <w:tc>
          <w:tcPr>
            <w:tcW w:w="1394" w:type="dxa"/>
            <w:vAlign w:val="center"/>
          </w:tcPr>
          <w:p w:rsidR="00B67332" w:rsidRDefault="005C62C5">
            <w:pPr>
              <w:jc w:val="right"/>
            </w:pPr>
            <w:r>
              <w:rPr>
                <w:color w:val="000000"/>
                <w:sz w:val="24"/>
              </w:rPr>
              <w:t>500,000</w:t>
            </w:r>
          </w:p>
        </w:tc>
        <w:tc>
          <w:tcPr>
            <w:tcW w:w="1944" w:type="dxa"/>
            <w:vAlign w:val="center"/>
          </w:tcPr>
          <w:p w:rsidR="00B67332" w:rsidRDefault="005C62C5">
            <w:pPr>
              <w:jc w:val="right"/>
            </w:pPr>
            <w:r>
              <w:rPr>
                <w:color w:val="000000"/>
                <w:sz w:val="24"/>
              </w:rPr>
              <w:t>48,895,000.00</w:t>
            </w:r>
          </w:p>
        </w:tc>
        <w:tc>
          <w:tcPr>
            <w:tcW w:w="1389" w:type="dxa"/>
            <w:vAlign w:val="center"/>
          </w:tcPr>
          <w:p w:rsidR="00B67332" w:rsidRDefault="005C62C5">
            <w:pPr>
              <w:jc w:val="right"/>
            </w:pPr>
            <w:r>
              <w:rPr>
                <w:color w:val="000000"/>
                <w:sz w:val="24"/>
              </w:rPr>
              <w:t>7.84</w:t>
            </w:r>
          </w:p>
        </w:tc>
      </w:tr>
      <w:tr w:rsidR="00B67332">
        <w:trPr>
          <w:jc w:val="center"/>
        </w:trPr>
        <w:tc>
          <w:tcPr>
            <w:tcW w:w="1075" w:type="dxa"/>
            <w:vAlign w:val="center"/>
          </w:tcPr>
          <w:p w:rsidR="00B67332" w:rsidRDefault="005C62C5">
            <w:pPr>
              <w:jc w:val="center"/>
            </w:pPr>
            <w:r>
              <w:rPr>
                <w:color w:val="000000"/>
                <w:sz w:val="24"/>
              </w:rPr>
              <w:t>3</w:t>
            </w:r>
          </w:p>
        </w:tc>
        <w:tc>
          <w:tcPr>
            <w:tcW w:w="1533" w:type="dxa"/>
            <w:vAlign w:val="center"/>
          </w:tcPr>
          <w:p w:rsidR="00B67332" w:rsidRDefault="005C62C5">
            <w:pPr>
              <w:jc w:val="center"/>
            </w:pPr>
            <w:r>
              <w:rPr>
                <w:color w:val="000000"/>
                <w:sz w:val="24"/>
              </w:rPr>
              <w:t>111621073</w:t>
            </w:r>
          </w:p>
        </w:tc>
        <w:tc>
          <w:tcPr>
            <w:tcW w:w="1533" w:type="dxa"/>
            <w:vAlign w:val="center"/>
          </w:tcPr>
          <w:p w:rsidR="00B67332" w:rsidRDefault="005C62C5">
            <w:pPr>
              <w:jc w:val="center"/>
            </w:pPr>
            <w:r>
              <w:rPr>
                <w:color w:val="000000"/>
                <w:sz w:val="24"/>
              </w:rPr>
              <w:t>16</w:t>
            </w:r>
            <w:r>
              <w:rPr>
                <w:color w:val="000000"/>
                <w:sz w:val="24"/>
              </w:rPr>
              <w:t>渤海银行</w:t>
            </w:r>
            <w:r>
              <w:rPr>
                <w:color w:val="000000"/>
                <w:sz w:val="24"/>
              </w:rPr>
              <w:t>CD073</w:t>
            </w:r>
          </w:p>
        </w:tc>
        <w:tc>
          <w:tcPr>
            <w:tcW w:w="1394" w:type="dxa"/>
            <w:vAlign w:val="center"/>
          </w:tcPr>
          <w:p w:rsidR="00B67332" w:rsidRDefault="005C62C5">
            <w:pPr>
              <w:jc w:val="right"/>
            </w:pPr>
            <w:r>
              <w:rPr>
                <w:color w:val="000000"/>
                <w:sz w:val="24"/>
              </w:rPr>
              <w:t>500,000</w:t>
            </w:r>
          </w:p>
        </w:tc>
        <w:tc>
          <w:tcPr>
            <w:tcW w:w="1944" w:type="dxa"/>
            <w:vAlign w:val="center"/>
          </w:tcPr>
          <w:p w:rsidR="00B67332" w:rsidRDefault="005C62C5">
            <w:pPr>
              <w:jc w:val="right"/>
            </w:pPr>
            <w:r>
              <w:rPr>
                <w:color w:val="000000"/>
                <w:sz w:val="24"/>
              </w:rPr>
              <w:t>48,505,000.00</w:t>
            </w:r>
          </w:p>
        </w:tc>
        <w:tc>
          <w:tcPr>
            <w:tcW w:w="1389" w:type="dxa"/>
            <w:vAlign w:val="center"/>
          </w:tcPr>
          <w:p w:rsidR="00B67332" w:rsidRDefault="005C62C5">
            <w:pPr>
              <w:jc w:val="right"/>
            </w:pPr>
            <w:r>
              <w:rPr>
                <w:color w:val="000000"/>
                <w:sz w:val="24"/>
              </w:rPr>
              <w:t>7.77</w:t>
            </w:r>
          </w:p>
        </w:tc>
      </w:tr>
      <w:tr w:rsidR="00B67332">
        <w:trPr>
          <w:jc w:val="center"/>
        </w:trPr>
        <w:tc>
          <w:tcPr>
            <w:tcW w:w="1075" w:type="dxa"/>
            <w:vAlign w:val="center"/>
          </w:tcPr>
          <w:p w:rsidR="00B67332" w:rsidRDefault="005C62C5">
            <w:pPr>
              <w:jc w:val="center"/>
            </w:pPr>
            <w:r>
              <w:rPr>
                <w:color w:val="000000"/>
                <w:sz w:val="24"/>
              </w:rPr>
              <w:t>4</w:t>
            </w:r>
          </w:p>
        </w:tc>
        <w:tc>
          <w:tcPr>
            <w:tcW w:w="1533" w:type="dxa"/>
            <w:vAlign w:val="center"/>
          </w:tcPr>
          <w:p w:rsidR="00B67332" w:rsidRDefault="005C62C5">
            <w:pPr>
              <w:jc w:val="center"/>
            </w:pPr>
            <w:r>
              <w:rPr>
                <w:color w:val="000000"/>
                <w:sz w:val="24"/>
              </w:rPr>
              <w:t>111714113</w:t>
            </w:r>
          </w:p>
        </w:tc>
        <w:tc>
          <w:tcPr>
            <w:tcW w:w="1533" w:type="dxa"/>
            <w:vAlign w:val="center"/>
          </w:tcPr>
          <w:p w:rsidR="00B67332" w:rsidRDefault="005C62C5">
            <w:pPr>
              <w:jc w:val="center"/>
            </w:pPr>
            <w:r>
              <w:rPr>
                <w:color w:val="000000"/>
                <w:sz w:val="24"/>
              </w:rPr>
              <w:t>17</w:t>
            </w:r>
            <w:r>
              <w:rPr>
                <w:color w:val="000000"/>
                <w:sz w:val="24"/>
              </w:rPr>
              <w:t>江苏银行</w:t>
            </w:r>
            <w:r>
              <w:rPr>
                <w:color w:val="000000"/>
                <w:sz w:val="24"/>
              </w:rPr>
              <w:t>CD113</w:t>
            </w:r>
          </w:p>
        </w:tc>
        <w:tc>
          <w:tcPr>
            <w:tcW w:w="1394" w:type="dxa"/>
            <w:vAlign w:val="center"/>
          </w:tcPr>
          <w:p w:rsidR="00B67332" w:rsidRDefault="005C62C5">
            <w:pPr>
              <w:jc w:val="right"/>
            </w:pPr>
            <w:r>
              <w:rPr>
                <w:color w:val="000000"/>
                <w:sz w:val="24"/>
              </w:rPr>
              <w:t>500,000</w:t>
            </w:r>
          </w:p>
        </w:tc>
        <w:tc>
          <w:tcPr>
            <w:tcW w:w="1944" w:type="dxa"/>
            <w:vAlign w:val="center"/>
          </w:tcPr>
          <w:p w:rsidR="00B67332" w:rsidRDefault="005C62C5">
            <w:pPr>
              <w:jc w:val="right"/>
            </w:pPr>
            <w:r>
              <w:rPr>
                <w:color w:val="000000"/>
                <w:sz w:val="24"/>
              </w:rPr>
              <w:t>47,790,000.00</w:t>
            </w:r>
          </w:p>
        </w:tc>
        <w:tc>
          <w:tcPr>
            <w:tcW w:w="1389" w:type="dxa"/>
            <w:vAlign w:val="center"/>
          </w:tcPr>
          <w:p w:rsidR="00B67332" w:rsidRDefault="005C62C5">
            <w:pPr>
              <w:jc w:val="right"/>
            </w:pPr>
            <w:r>
              <w:rPr>
                <w:color w:val="000000"/>
                <w:sz w:val="24"/>
              </w:rPr>
              <w:t>7.66</w:t>
            </w:r>
          </w:p>
        </w:tc>
      </w:tr>
      <w:tr w:rsidR="00B67332">
        <w:trPr>
          <w:jc w:val="center"/>
        </w:trPr>
        <w:tc>
          <w:tcPr>
            <w:tcW w:w="1075" w:type="dxa"/>
            <w:vAlign w:val="center"/>
          </w:tcPr>
          <w:p w:rsidR="00B67332" w:rsidRDefault="005C62C5">
            <w:pPr>
              <w:jc w:val="center"/>
            </w:pPr>
            <w:r>
              <w:rPr>
                <w:color w:val="000000"/>
                <w:sz w:val="24"/>
              </w:rPr>
              <w:t>5</w:t>
            </w:r>
          </w:p>
        </w:tc>
        <w:tc>
          <w:tcPr>
            <w:tcW w:w="1533" w:type="dxa"/>
            <w:vAlign w:val="center"/>
          </w:tcPr>
          <w:p w:rsidR="00B67332" w:rsidRDefault="005C62C5">
            <w:pPr>
              <w:jc w:val="center"/>
            </w:pPr>
            <w:r>
              <w:rPr>
                <w:color w:val="000000"/>
                <w:sz w:val="24"/>
              </w:rPr>
              <w:t>136256</w:t>
            </w:r>
          </w:p>
        </w:tc>
        <w:tc>
          <w:tcPr>
            <w:tcW w:w="1533" w:type="dxa"/>
            <w:vAlign w:val="center"/>
          </w:tcPr>
          <w:p w:rsidR="00B67332" w:rsidRDefault="005C62C5">
            <w:pPr>
              <w:jc w:val="center"/>
            </w:pPr>
            <w:r>
              <w:rPr>
                <w:color w:val="000000"/>
                <w:sz w:val="24"/>
              </w:rPr>
              <w:t>16</w:t>
            </w:r>
            <w:r>
              <w:rPr>
                <w:color w:val="000000"/>
                <w:sz w:val="24"/>
              </w:rPr>
              <w:t>南航</w:t>
            </w:r>
            <w:r>
              <w:rPr>
                <w:color w:val="000000"/>
                <w:sz w:val="24"/>
              </w:rPr>
              <w:t>01</w:t>
            </w:r>
          </w:p>
        </w:tc>
        <w:tc>
          <w:tcPr>
            <w:tcW w:w="1394" w:type="dxa"/>
            <w:vAlign w:val="center"/>
          </w:tcPr>
          <w:p w:rsidR="00B67332" w:rsidRDefault="005C62C5">
            <w:pPr>
              <w:jc w:val="right"/>
            </w:pPr>
            <w:r>
              <w:rPr>
                <w:color w:val="000000"/>
                <w:sz w:val="24"/>
              </w:rPr>
              <w:t>300,000</w:t>
            </w:r>
          </w:p>
        </w:tc>
        <w:tc>
          <w:tcPr>
            <w:tcW w:w="1944" w:type="dxa"/>
            <w:vAlign w:val="center"/>
          </w:tcPr>
          <w:p w:rsidR="00B67332" w:rsidRDefault="005C62C5">
            <w:pPr>
              <w:jc w:val="right"/>
            </w:pPr>
            <w:r>
              <w:rPr>
                <w:color w:val="000000"/>
                <w:sz w:val="24"/>
              </w:rPr>
              <w:t>29,331,000.00</w:t>
            </w:r>
          </w:p>
        </w:tc>
        <w:tc>
          <w:tcPr>
            <w:tcW w:w="1389" w:type="dxa"/>
            <w:vAlign w:val="center"/>
          </w:tcPr>
          <w:p w:rsidR="00B67332" w:rsidRDefault="005C62C5">
            <w:pPr>
              <w:jc w:val="right"/>
            </w:pPr>
            <w:r>
              <w:rPr>
                <w:color w:val="000000"/>
                <w:sz w:val="24"/>
              </w:rPr>
              <w:t>4.70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91,894.01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4,469,912.57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4,885,491.78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9,447,298.36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交银启通灵活配置混合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交银启通灵活配置混合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600,055,574.32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1,562.23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29.82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600,055,544.50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1,531.23</w:t>
            </w:r>
          </w:p>
        </w:tc>
      </w:tr>
    </w:tbl>
    <w:p w:rsidR="00B67332" w:rsidRDefault="005C62C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5E666F" w:rsidRDefault="00ED0E09" w:rsidP="00BE251D">
      <w:pPr>
        <w:pStyle w:val="1"/>
        <w:spacing w:beforeLines="100" w:before="312" w:afterLines="100" w:after="312" w:line="360" w:lineRule="auto"/>
        <w:jc w:val="center"/>
        <w:rPr>
          <w:rFonts w:eastAsiaTheme="minorEastAsia"/>
          <w:color w:val="000000" w:themeColor="text1"/>
          <w:kern w:val="0"/>
          <w:sz w:val="24"/>
          <w:szCs w:val="24"/>
        </w:rPr>
      </w:pPr>
      <w:r w:rsidRPr="005E666F">
        <w:rPr>
          <w:rFonts w:eastAsiaTheme="minorEastAsia"/>
          <w:color w:val="000000" w:themeColor="text1"/>
          <w:kern w:val="0"/>
          <w:sz w:val="24"/>
          <w:szCs w:val="24"/>
        </w:rPr>
        <w:t xml:space="preserve">§8 </w:t>
      </w:r>
      <w:r w:rsidRPr="005E666F">
        <w:rPr>
          <w:rFonts w:eastAsiaTheme="minorEastAsia" w:hint="eastAsia"/>
          <w:color w:val="000000" w:themeColor="text1"/>
          <w:kern w:val="0"/>
          <w:sz w:val="24"/>
          <w:szCs w:val="24"/>
        </w:rPr>
        <w:t>影响投资者决策的其他重要信息</w:t>
      </w:r>
    </w:p>
    <w:p w:rsidR="00ED0E09" w:rsidRPr="005E666F" w:rsidRDefault="00ED0E09" w:rsidP="00ED0E09">
      <w:pPr>
        <w:autoSpaceDE w:val="0"/>
        <w:autoSpaceDN w:val="0"/>
        <w:adjustRightInd w:val="0"/>
        <w:spacing w:line="360" w:lineRule="auto"/>
        <w:jc w:val="left"/>
        <w:rPr>
          <w:b/>
          <w:bCs/>
          <w:color w:val="000000"/>
          <w:kern w:val="0"/>
          <w:sz w:val="24"/>
        </w:rPr>
      </w:pPr>
      <w:r w:rsidRPr="005E666F">
        <w:rPr>
          <w:b/>
          <w:bCs/>
          <w:color w:val="000000"/>
          <w:kern w:val="0"/>
          <w:sz w:val="24"/>
        </w:rPr>
        <w:t xml:space="preserve">8.1 </w:t>
      </w:r>
      <w:r w:rsidRPr="005E666F">
        <w:rPr>
          <w:rFonts w:hint="eastAsia"/>
          <w:b/>
          <w:bCs/>
          <w:color w:val="000000"/>
          <w:kern w:val="0"/>
          <w:sz w:val="24"/>
        </w:rPr>
        <w:t>报告期内单一投资者持有基金份额比例达到或超过</w:t>
      </w:r>
      <w:r w:rsidRPr="005E666F">
        <w:rPr>
          <w:b/>
          <w:bCs/>
          <w:color w:val="000000"/>
          <w:kern w:val="0"/>
          <w:sz w:val="24"/>
        </w:rPr>
        <w:t>20%</w:t>
      </w:r>
      <w:r w:rsidRPr="005E666F">
        <w:rPr>
          <w:rFonts w:hint="eastAsia"/>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BC42CE"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5E666F" w:rsidRDefault="00ED0E09">
            <w:pPr>
              <w:autoSpaceDE w:val="0"/>
              <w:autoSpaceDN w:val="0"/>
              <w:adjustRightInd w:val="0"/>
              <w:jc w:val="center"/>
              <w:rPr>
                <w:b/>
                <w:bCs/>
                <w:color w:val="000000"/>
                <w:kern w:val="0"/>
                <w:sz w:val="24"/>
              </w:rPr>
            </w:pPr>
            <w:r w:rsidRPr="005E666F">
              <w:rPr>
                <w:rFonts w:hint="eastAsia"/>
                <w:color w:val="000000"/>
                <w:kern w:val="0"/>
                <w:sz w:val="24"/>
              </w:rPr>
              <w:lastRenderedPageBreak/>
              <w:t>投资者类别</w:t>
            </w:r>
            <w:r w:rsidRPr="005E666F">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5E666F" w:rsidRDefault="00ED0E09">
            <w:pPr>
              <w:autoSpaceDE w:val="0"/>
              <w:autoSpaceDN w:val="0"/>
              <w:adjustRightInd w:val="0"/>
              <w:jc w:val="center"/>
              <w:rPr>
                <w:b/>
                <w:bCs/>
                <w:color w:val="000000"/>
                <w:kern w:val="0"/>
                <w:sz w:val="24"/>
              </w:rPr>
            </w:pPr>
            <w:r w:rsidRPr="005E666F">
              <w:rPr>
                <w:rFonts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5E666F" w:rsidRDefault="00ED0E09">
            <w:pPr>
              <w:autoSpaceDE w:val="0"/>
              <w:autoSpaceDN w:val="0"/>
              <w:adjustRightInd w:val="0"/>
              <w:jc w:val="center"/>
              <w:rPr>
                <w:b/>
                <w:bCs/>
                <w:color w:val="000000"/>
                <w:kern w:val="0"/>
                <w:sz w:val="24"/>
              </w:rPr>
            </w:pPr>
            <w:r w:rsidRPr="005E666F">
              <w:rPr>
                <w:rFonts w:hint="eastAsia"/>
                <w:color w:val="000000"/>
                <w:kern w:val="0"/>
                <w:sz w:val="24"/>
              </w:rPr>
              <w:t>报告期末持有基金情况</w:t>
            </w:r>
          </w:p>
        </w:tc>
      </w:tr>
      <w:tr w:rsidR="00ED0E09" w:rsidRPr="00BC42CE"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5E666F" w:rsidRDefault="00ED0E09">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5E666F" w:rsidRDefault="00ED0E09">
            <w:pPr>
              <w:autoSpaceDE w:val="0"/>
              <w:autoSpaceDN w:val="0"/>
              <w:adjustRightInd w:val="0"/>
              <w:jc w:val="center"/>
              <w:rPr>
                <w:b/>
                <w:bCs/>
                <w:color w:val="000000"/>
                <w:kern w:val="0"/>
                <w:sz w:val="24"/>
              </w:rPr>
            </w:pPr>
            <w:r w:rsidRPr="005E666F">
              <w:rPr>
                <w:rFonts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5E666F" w:rsidRDefault="00ED0E09">
            <w:pPr>
              <w:autoSpaceDE w:val="0"/>
              <w:autoSpaceDN w:val="0"/>
              <w:adjustRightInd w:val="0"/>
              <w:jc w:val="center"/>
              <w:rPr>
                <w:b/>
                <w:bCs/>
                <w:color w:val="000000"/>
                <w:kern w:val="0"/>
                <w:sz w:val="24"/>
              </w:rPr>
            </w:pPr>
            <w:r w:rsidRPr="005E666F">
              <w:rPr>
                <w:rFonts w:hint="eastAsia"/>
                <w:color w:val="000000"/>
                <w:kern w:val="0"/>
                <w:sz w:val="24"/>
              </w:rPr>
              <w:t>持有基金份额比例达到或者超过</w:t>
            </w:r>
            <w:r w:rsidRPr="005E666F">
              <w:rPr>
                <w:color w:val="000000"/>
                <w:kern w:val="0"/>
                <w:sz w:val="24"/>
              </w:rPr>
              <w:t>20%</w:t>
            </w:r>
            <w:r w:rsidRPr="005E666F">
              <w:rPr>
                <w:rFonts w:hint="eastAsia"/>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5E666F" w:rsidRDefault="00ED0E09">
            <w:pPr>
              <w:widowControl/>
              <w:jc w:val="center"/>
              <w:rPr>
                <w:b/>
                <w:bCs/>
                <w:color w:val="000000"/>
                <w:kern w:val="0"/>
                <w:sz w:val="24"/>
              </w:rPr>
            </w:pPr>
            <w:r w:rsidRPr="005E666F">
              <w:rPr>
                <w:rFonts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5E666F" w:rsidRDefault="00ED0E09">
            <w:pPr>
              <w:widowControl/>
              <w:jc w:val="center"/>
              <w:rPr>
                <w:b/>
                <w:bCs/>
                <w:color w:val="000000"/>
                <w:kern w:val="0"/>
                <w:sz w:val="24"/>
              </w:rPr>
            </w:pPr>
            <w:r w:rsidRPr="005E666F">
              <w:rPr>
                <w:rFonts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5E666F" w:rsidRDefault="00ED0E09">
            <w:pPr>
              <w:widowControl/>
              <w:jc w:val="center"/>
              <w:rPr>
                <w:b/>
                <w:bCs/>
                <w:color w:val="000000"/>
                <w:kern w:val="0"/>
                <w:sz w:val="24"/>
              </w:rPr>
            </w:pPr>
            <w:r w:rsidRPr="005E666F">
              <w:rPr>
                <w:rFonts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5E666F" w:rsidRDefault="00ED0E09">
            <w:pPr>
              <w:autoSpaceDE w:val="0"/>
              <w:autoSpaceDN w:val="0"/>
              <w:adjustRightInd w:val="0"/>
              <w:jc w:val="center"/>
              <w:rPr>
                <w:b/>
                <w:bCs/>
                <w:color w:val="000000"/>
                <w:kern w:val="0"/>
                <w:sz w:val="24"/>
              </w:rPr>
            </w:pPr>
            <w:r w:rsidRPr="005E666F">
              <w:rPr>
                <w:rFonts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5E666F" w:rsidRDefault="00ED0E09">
            <w:pPr>
              <w:autoSpaceDE w:val="0"/>
              <w:autoSpaceDN w:val="0"/>
              <w:adjustRightInd w:val="0"/>
              <w:jc w:val="center"/>
              <w:rPr>
                <w:b/>
                <w:bCs/>
                <w:color w:val="000000"/>
                <w:kern w:val="0"/>
                <w:sz w:val="24"/>
              </w:rPr>
            </w:pPr>
            <w:r w:rsidRPr="005E666F">
              <w:rPr>
                <w:rFonts w:hint="eastAsia"/>
                <w:color w:val="000000"/>
                <w:kern w:val="0"/>
                <w:sz w:val="24"/>
              </w:rPr>
              <w:t>份额占比</w:t>
            </w:r>
          </w:p>
        </w:tc>
      </w:tr>
      <w:tr w:rsidR="00B67332" w:rsidRPr="00BC42CE">
        <w:tc>
          <w:tcPr>
            <w:tcW w:w="992" w:type="dxa"/>
            <w:vMerge w:val="restart"/>
          </w:tcPr>
          <w:p w:rsidR="00B67332" w:rsidRPr="005E666F" w:rsidRDefault="00B67332">
            <w:pPr>
              <w:rPr>
                <w:sz w:val="24"/>
              </w:rPr>
            </w:pPr>
          </w:p>
          <w:p w:rsidR="00B67332" w:rsidRPr="005E666F" w:rsidRDefault="005C62C5">
            <w:pPr>
              <w:rPr>
                <w:sz w:val="24"/>
              </w:rPr>
            </w:pPr>
            <w:r w:rsidRPr="005E666F">
              <w:rPr>
                <w:rFonts w:hint="eastAsia"/>
                <w:bCs/>
                <w:color w:val="000000"/>
                <w:kern w:val="0"/>
                <w:sz w:val="24"/>
              </w:rPr>
              <w:t>机构</w:t>
            </w:r>
          </w:p>
        </w:tc>
        <w:tc>
          <w:tcPr>
            <w:tcW w:w="991" w:type="dxa"/>
            <w:vAlign w:val="center"/>
          </w:tcPr>
          <w:p w:rsidR="00B67332" w:rsidRPr="005E666F" w:rsidRDefault="005C62C5">
            <w:pPr>
              <w:jc w:val="center"/>
              <w:rPr>
                <w:sz w:val="24"/>
              </w:rPr>
            </w:pPr>
            <w:r w:rsidRPr="005E666F">
              <w:rPr>
                <w:color w:val="000000"/>
                <w:kern w:val="0"/>
                <w:sz w:val="24"/>
              </w:rPr>
              <w:t>1</w:t>
            </w:r>
          </w:p>
        </w:tc>
        <w:tc>
          <w:tcPr>
            <w:tcW w:w="1843" w:type="dxa"/>
            <w:vAlign w:val="center"/>
          </w:tcPr>
          <w:p w:rsidR="00B67332" w:rsidRPr="005E666F" w:rsidRDefault="005C62C5">
            <w:pPr>
              <w:jc w:val="center"/>
              <w:rPr>
                <w:sz w:val="24"/>
              </w:rPr>
            </w:pPr>
            <w:r w:rsidRPr="005E666F">
              <w:rPr>
                <w:color w:val="000000"/>
                <w:kern w:val="0"/>
                <w:sz w:val="24"/>
              </w:rPr>
              <w:t>2017/4/1-2017/6/30</w:t>
            </w:r>
          </w:p>
        </w:tc>
        <w:tc>
          <w:tcPr>
            <w:tcW w:w="851" w:type="dxa"/>
            <w:vAlign w:val="center"/>
          </w:tcPr>
          <w:p w:rsidR="00B67332" w:rsidRPr="005E666F" w:rsidRDefault="005C62C5">
            <w:pPr>
              <w:jc w:val="center"/>
              <w:rPr>
                <w:sz w:val="24"/>
              </w:rPr>
            </w:pPr>
            <w:r w:rsidRPr="005E666F">
              <w:rPr>
                <w:color w:val="000000"/>
                <w:kern w:val="0"/>
                <w:sz w:val="24"/>
              </w:rPr>
              <w:t>600,051,000.00</w:t>
            </w:r>
          </w:p>
        </w:tc>
        <w:tc>
          <w:tcPr>
            <w:tcW w:w="850" w:type="dxa"/>
            <w:vAlign w:val="center"/>
          </w:tcPr>
          <w:p w:rsidR="00B67332" w:rsidRPr="005E666F" w:rsidRDefault="005C62C5">
            <w:pPr>
              <w:jc w:val="center"/>
              <w:rPr>
                <w:sz w:val="24"/>
              </w:rPr>
            </w:pPr>
            <w:r w:rsidRPr="005E666F">
              <w:rPr>
                <w:color w:val="000000"/>
                <w:kern w:val="0"/>
                <w:sz w:val="24"/>
              </w:rPr>
              <w:t>-</w:t>
            </w:r>
          </w:p>
        </w:tc>
        <w:tc>
          <w:tcPr>
            <w:tcW w:w="1134" w:type="dxa"/>
            <w:vAlign w:val="center"/>
          </w:tcPr>
          <w:p w:rsidR="00B67332" w:rsidRPr="005E666F" w:rsidRDefault="005C62C5">
            <w:pPr>
              <w:jc w:val="center"/>
              <w:rPr>
                <w:sz w:val="24"/>
              </w:rPr>
            </w:pPr>
            <w:r w:rsidRPr="005E666F">
              <w:rPr>
                <w:color w:val="000000"/>
                <w:kern w:val="0"/>
                <w:sz w:val="24"/>
              </w:rPr>
              <w:t>-</w:t>
            </w:r>
          </w:p>
        </w:tc>
        <w:tc>
          <w:tcPr>
            <w:tcW w:w="1419" w:type="dxa"/>
            <w:vAlign w:val="center"/>
          </w:tcPr>
          <w:p w:rsidR="00B67332" w:rsidRPr="005E666F" w:rsidRDefault="005C62C5">
            <w:pPr>
              <w:jc w:val="center"/>
              <w:rPr>
                <w:sz w:val="24"/>
              </w:rPr>
            </w:pPr>
            <w:r w:rsidRPr="005E666F">
              <w:rPr>
                <w:color w:val="000000"/>
                <w:kern w:val="0"/>
                <w:sz w:val="24"/>
              </w:rPr>
              <w:t>600,051,000.00</w:t>
            </w:r>
          </w:p>
        </w:tc>
        <w:tc>
          <w:tcPr>
            <w:tcW w:w="1130" w:type="dxa"/>
            <w:vAlign w:val="center"/>
          </w:tcPr>
          <w:p w:rsidR="00B67332" w:rsidRPr="005E666F" w:rsidRDefault="005C62C5">
            <w:pPr>
              <w:jc w:val="center"/>
              <w:rPr>
                <w:sz w:val="24"/>
              </w:rPr>
            </w:pPr>
            <w:r w:rsidRPr="005E666F">
              <w:rPr>
                <w:color w:val="000000"/>
                <w:kern w:val="0"/>
                <w:sz w:val="24"/>
              </w:rPr>
              <w:t>100.00%</w:t>
            </w:r>
          </w:p>
        </w:tc>
      </w:tr>
    </w:tbl>
    <w:p w:rsidR="00ED0E09" w:rsidRDefault="00ED0E09" w:rsidP="00ED0E09">
      <w:pPr>
        <w:autoSpaceDE w:val="0"/>
        <w:autoSpaceDN w:val="0"/>
        <w:adjustRightInd w:val="0"/>
        <w:spacing w:line="360" w:lineRule="auto"/>
        <w:jc w:val="left"/>
        <w:rPr>
          <w:rFonts w:ascii="宋体" w:hAnsi="宋体"/>
          <w:bCs/>
          <w:color w:val="000000"/>
          <w:kern w:val="0"/>
          <w:szCs w:val="21"/>
        </w:rPr>
      </w:pPr>
      <w:r w:rsidRPr="005E666F">
        <w:rPr>
          <w:rFonts w:hint="eastAsia"/>
          <w:bCs/>
          <w:color w:val="000000"/>
          <w:kern w:val="0"/>
          <w:sz w:val="24"/>
        </w:rPr>
        <w:t>注：本基金本报告期内出现单一投资者持有基金份额比例超过基金总份额</w:t>
      </w:r>
      <w:r w:rsidRPr="005E666F">
        <w:rPr>
          <w:bCs/>
          <w:color w:val="000000"/>
          <w:kern w:val="0"/>
          <w:sz w:val="24"/>
        </w:rPr>
        <w:t>20%</w:t>
      </w:r>
      <w:r w:rsidRPr="005E666F">
        <w:rPr>
          <w:rFonts w:hint="eastAsia"/>
          <w:bCs/>
          <w:color w:val="000000"/>
          <w:kern w:val="0"/>
          <w:sz w:val="24"/>
        </w:rPr>
        <w:t>的情况。如该类投资者集中赎回，可能会对本基金带来流动性冲击，从而影响基金的投资运作和收益水平。基金管理人将加强流动性管理，防范相关风险，保护持有人利益。</w:t>
      </w:r>
    </w:p>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67332" w:rsidRDefault="005C62C5">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、中国证监会准予交银施罗德启通灵活配置混合型证券投资基金募集注册的文件；</w:t>
      </w:r>
      <w:r>
        <w:rPr>
          <w:rFonts w:eastAsiaTheme="minorEastAsia"/>
          <w:color w:val="000000"/>
          <w:sz w:val="24"/>
        </w:rPr>
        <w:t xml:space="preserve"> </w:t>
      </w:r>
    </w:p>
    <w:p w:rsidR="00B67332" w:rsidRDefault="005C62C5">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、《交银施罗德启通灵活配置混合型证券投资基金基金合同》；</w:t>
      </w:r>
      <w:r>
        <w:rPr>
          <w:rFonts w:eastAsiaTheme="minorEastAsia"/>
          <w:color w:val="000000"/>
          <w:sz w:val="24"/>
        </w:rPr>
        <w:t xml:space="preserve"> </w:t>
      </w:r>
    </w:p>
    <w:p w:rsidR="00B67332" w:rsidRDefault="005C62C5">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、《交银施罗德启通灵活配置混合型证券投资基金招募说明书》；</w:t>
      </w:r>
      <w:r>
        <w:rPr>
          <w:rFonts w:eastAsiaTheme="minorEastAsia"/>
          <w:color w:val="000000"/>
          <w:sz w:val="24"/>
        </w:rPr>
        <w:t xml:space="preserve"> </w:t>
      </w:r>
    </w:p>
    <w:p w:rsidR="00B67332" w:rsidRDefault="005C62C5">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、《交银施罗德启通灵活配置混合型证券投资基金托管协议》；</w:t>
      </w:r>
      <w:r>
        <w:rPr>
          <w:rFonts w:eastAsiaTheme="minorEastAsia"/>
          <w:color w:val="000000"/>
          <w:sz w:val="24"/>
        </w:rPr>
        <w:t xml:space="preserve"> </w:t>
      </w:r>
    </w:p>
    <w:p w:rsidR="00B67332" w:rsidRDefault="005C62C5">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、关于申请募集注册交银施罗德启通灵活配置混合型证券投资基金的法律意见书；</w:t>
      </w:r>
      <w:r>
        <w:rPr>
          <w:rFonts w:eastAsiaTheme="minorEastAsia"/>
          <w:color w:val="000000"/>
          <w:sz w:val="24"/>
        </w:rPr>
        <w:t xml:space="preserve"> </w:t>
      </w:r>
    </w:p>
    <w:p w:rsidR="00B67332" w:rsidRDefault="005C62C5">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67332" w:rsidRDefault="005C62C5">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、报告期内交银施罗德启通灵活配置混合型证券投资基金在指定报刊上各项公告的原稿。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B67332" w:rsidRDefault="005C62C5">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r w:rsidRPr="007F52FA">
        <w:rPr>
          <w:rFonts w:eastAsiaTheme="minorEastAsia"/>
          <w:color w:val="000000"/>
          <w:sz w:val="24"/>
        </w:rPr>
        <w:t xml:space="preserve"> </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844" w:rsidRDefault="00442844">
      <w:r>
        <w:separator/>
      </w:r>
    </w:p>
  </w:endnote>
  <w:endnote w:type="continuationSeparator" w:id="0">
    <w:p w:rsidR="00442844" w:rsidRDefault="0044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5E666F">
      <w:rPr>
        <w:noProof/>
        <w:kern w:val="0"/>
        <w:szCs w:val="21"/>
      </w:rPr>
      <w:t>10</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5E666F">
      <w:rPr>
        <w:noProof/>
        <w:kern w:val="0"/>
        <w:szCs w:val="21"/>
      </w:rPr>
      <w:t>14</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844" w:rsidRDefault="00442844">
      <w:r>
        <w:separator/>
      </w:r>
    </w:p>
  </w:footnote>
  <w:footnote w:type="continuationSeparator" w:id="0">
    <w:p w:rsidR="00442844" w:rsidRDefault="00442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442844"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2844"/>
    <w:rsid w:val="00443C8F"/>
    <w:rsid w:val="00446733"/>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2C5"/>
    <w:rsid w:val="005C6FF7"/>
    <w:rsid w:val="005C7D00"/>
    <w:rsid w:val="005D01A4"/>
    <w:rsid w:val="005D04DC"/>
    <w:rsid w:val="005D0BAB"/>
    <w:rsid w:val="005D1893"/>
    <w:rsid w:val="005D24AA"/>
    <w:rsid w:val="005D26E9"/>
    <w:rsid w:val="005D2CAA"/>
    <w:rsid w:val="005D4CBA"/>
    <w:rsid w:val="005E01A3"/>
    <w:rsid w:val="005E0354"/>
    <w:rsid w:val="005E666F"/>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479FC"/>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3494"/>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85402"/>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32"/>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2CE"/>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29BB2E76-0A4C-4C24-8110-A66DEF4F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86681-F0D6-4F22-B937-F6CE416C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210</TotalTime>
  <Pages>1</Pages>
  <Words>1185</Words>
  <Characters>6756</Characters>
  <Application>Microsoft Office Word</Application>
  <DocSecurity>0</DocSecurity>
  <Lines>56</Lines>
  <Paragraphs>15</Paragraphs>
  <ScaleCrop>false</ScaleCrop>
  <Company>TRT. Ltd. Co.</Company>
  <LinksUpToDate>false</LinksUpToDate>
  <CharactersWithSpaces>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375</cp:revision>
  <cp:lastPrinted>2007-07-19T00:46:00Z</cp:lastPrinted>
  <dcterms:created xsi:type="dcterms:W3CDTF">2014-01-17T06:19:00Z</dcterms:created>
  <dcterms:modified xsi:type="dcterms:W3CDTF">2017-07-18T03:27:00Z</dcterms:modified>
</cp:coreProperties>
</file>