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68288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94888" w:rsidRDefault="00893D3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8288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301,584,129.02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8288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93D34" w:rsidRPr="00414345" w:rsidTr="00893D3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93D34" w:rsidRPr="00414345" w:rsidTr="00893D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3,212,284.82</w:t>
            </w:r>
          </w:p>
        </w:tc>
      </w:tr>
      <w:tr w:rsidR="00893D34" w:rsidRPr="00414345" w:rsidTr="00893D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9,106,139.52</w:t>
            </w:r>
          </w:p>
        </w:tc>
      </w:tr>
      <w:tr w:rsidR="00893D34" w:rsidRPr="00414345" w:rsidTr="00893D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893D34">
            <w:pPr>
              <w:adjustRightInd w:val="0"/>
              <w:spacing w:before="29" w:line="288" w:lineRule="auto"/>
              <w:ind w:left="17"/>
              <w:jc w:val="right"/>
              <w:rPr>
                <w:color w:val="000000"/>
                <w:sz w:val="24"/>
                <w:szCs w:val="24"/>
              </w:rPr>
            </w:pPr>
            <w:r w:rsidRPr="00414345">
              <w:rPr>
                <w:color w:val="000000"/>
                <w:sz w:val="24"/>
                <w:szCs w:val="24"/>
              </w:rPr>
              <w:t>0.026</w:t>
            </w:r>
            <w:r w:rsidR="00893D34">
              <w:rPr>
                <w:rFonts w:hint="eastAsia"/>
                <w:color w:val="000000"/>
                <w:sz w:val="24"/>
                <w:szCs w:val="24"/>
              </w:rPr>
              <w:t>0</w:t>
            </w:r>
          </w:p>
        </w:tc>
      </w:tr>
      <w:tr w:rsidR="00893D34" w:rsidRPr="00414345" w:rsidTr="00893D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314,657,583.21</w:t>
            </w:r>
          </w:p>
        </w:tc>
      </w:tr>
      <w:tr w:rsidR="00893D34" w:rsidRPr="00414345" w:rsidTr="00893D3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1.043</w:t>
            </w:r>
          </w:p>
        </w:tc>
      </w:tr>
    </w:tbl>
    <w:p w:rsidR="00494888" w:rsidRDefault="00893D3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94888">
        <w:trPr>
          <w:jc w:val="center"/>
        </w:trPr>
        <w:tc>
          <w:tcPr>
            <w:tcW w:w="1701" w:type="dxa"/>
            <w:vAlign w:val="center"/>
          </w:tcPr>
          <w:p w:rsidR="00494888" w:rsidRDefault="00893D34">
            <w:pPr>
              <w:jc w:val="left"/>
            </w:pPr>
            <w:r>
              <w:rPr>
                <w:color w:val="000000"/>
                <w:sz w:val="24"/>
                <w:szCs w:val="24"/>
              </w:rPr>
              <w:lastRenderedPageBreak/>
              <w:t>过去三个月</w:t>
            </w:r>
          </w:p>
        </w:tc>
        <w:tc>
          <w:tcPr>
            <w:tcW w:w="1045" w:type="dxa"/>
            <w:vAlign w:val="center"/>
          </w:tcPr>
          <w:p w:rsidR="00494888" w:rsidRDefault="00893D34">
            <w:pPr>
              <w:jc w:val="center"/>
            </w:pPr>
            <w:r>
              <w:rPr>
                <w:color w:val="000000"/>
                <w:sz w:val="24"/>
                <w:szCs w:val="24"/>
              </w:rPr>
              <w:t>2.66%</w:t>
            </w:r>
          </w:p>
        </w:tc>
        <w:tc>
          <w:tcPr>
            <w:tcW w:w="1344" w:type="dxa"/>
            <w:vAlign w:val="center"/>
          </w:tcPr>
          <w:p w:rsidR="00494888" w:rsidRDefault="00893D34">
            <w:pPr>
              <w:jc w:val="center"/>
            </w:pPr>
            <w:r>
              <w:rPr>
                <w:color w:val="000000"/>
                <w:sz w:val="24"/>
                <w:szCs w:val="24"/>
              </w:rPr>
              <w:t>0.80%</w:t>
            </w:r>
          </w:p>
        </w:tc>
        <w:tc>
          <w:tcPr>
            <w:tcW w:w="1194" w:type="dxa"/>
            <w:vAlign w:val="center"/>
          </w:tcPr>
          <w:p w:rsidR="00494888" w:rsidRDefault="00893D34">
            <w:pPr>
              <w:jc w:val="center"/>
            </w:pPr>
            <w:r>
              <w:rPr>
                <w:color w:val="000000"/>
                <w:sz w:val="24"/>
                <w:szCs w:val="24"/>
              </w:rPr>
              <w:t>3.75%</w:t>
            </w:r>
          </w:p>
        </w:tc>
        <w:tc>
          <w:tcPr>
            <w:tcW w:w="1492" w:type="dxa"/>
            <w:vAlign w:val="center"/>
          </w:tcPr>
          <w:p w:rsidR="00494888" w:rsidRDefault="00893D34">
            <w:pPr>
              <w:jc w:val="center"/>
            </w:pPr>
            <w:r>
              <w:rPr>
                <w:color w:val="000000"/>
                <w:sz w:val="24"/>
                <w:szCs w:val="24"/>
              </w:rPr>
              <w:t>0.38%</w:t>
            </w:r>
          </w:p>
        </w:tc>
        <w:tc>
          <w:tcPr>
            <w:tcW w:w="1194" w:type="dxa"/>
            <w:vAlign w:val="center"/>
          </w:tcPr>
          <w:p w:rsidR="00494888" w:rsidRDefault="00893D34">
            <w:pPr>
              <w:jc w:val="center"/>
            </w:pPr>
            <w:r>
              <w:rPr>
                <w:color w:val="000000"/>
                <w:sz w:val="24"/>
                <w:szCs w:val="24"/>
              </w:rPr>
              <w:t>-1.09%</w:t>
            </w:r>
          </w:p>
        </w:tc>
        <w:tc>
          <w:tcPr>
            <w:tcW w:w="898" w:type="dxa"/>
            <w:vAlign w:val="center"/>
          </w:tcPr>
          <w:p w:rsidR="00494888" w:rsidRDefault="00893D34">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68288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94888">
        <w:trPr>
          <w:jc w:val="center"/>
        </w:trPr>
        <w:tc>
          <w:tcPr>
            <w:tcW w:w="846" w:type="dxa"/>
            <w:vAlign w:val="center"/>
          </w:tcPr>
          <w:p w:rsidR="00494888" w:rsidRDefault="00893D34">
            <w:pPr>
              <w:jc w:val="center"/>
            </w:pPr>
            <w:r>
              <w:rPr>
                <w:color w:val="000000"/>
                <w:sz w:val="24"/>
                <w:szCs w:val="24"/>
              </w:rPr>
              <w:t>杨浩</w:t>
            </w:r>
          </w:p>
        </w:tc>
        <w:tc>
          <w:tcPr>
            <w:tcW w:w="845" w:type="dxa"/>
            <w:vAlign w:val="center"/>
          </w:tcPr>
          <w:p w:rsidR="00494888" w:rsidRDefault="00893D34">
            <w:pPr>
              <w:jc w:val="center"/>
            </w:pPr>
            <w:r>
              <w:rPr>
                <w:color w:val="000000"/>
                <w:sz w:val="24"/>
                <w:szCs w:val="24"/>
              </w:rPr>
              <w:t>交银定期支付双息平衡混合、</w:t>
            </w:r>
            <w:r>
              <w:rPr>
                <w:color w:val="000000"/>
                <w:sz w:val="24"/>
                <w:szCs w:val="24"/>
              </w:rPr>
              <w:lastRenderedPageBreak/>
              <w:t>交银新生活力灵活配置混合的基金经理</w:t>
            </w:r>
          </w:p>
        </w:tc>
        <w:tc>
          <w:tcPr>
            <w:tcW w:w="1549" w:type="dxa"/>
            <w:vAlign w:val="center"/>
          </w:tcPr>
          <w:p w:rsidR="00494888" w:rsidRDefault="00893D34">
            <w:pPr>
              <w:jc w:val="center"/>
            </w:pPr>
            <w:r>
              <w:rPr>
                <w:color w:val="000000"/>
                <w:sz w:val="24"/>
                <w:szCs w:val="24"/>
              </w:rPr>
              <w:lastRenderedPageBreak/>
              <w:t>2016-11-11</w:t>
            </w:r>
          </w:p>
        </w:tc>
        <w:tc>
          <w:tcPr>
            <w:tcW w:w="1548" w:type="dxa"/>
            <w:vAlign w:val="center"/>
          </w:tcPr>
          <w:p w:rsidR="00494888" w:rsidRDefault="00893D34">
            <w:pPr>
              <w:jc w:val="center"/>
            </w:pPr>
            <w:r>
              <w:rPr>
                <w:color w:val="000000"/>
                <w:sz w:val="24"/>
                <w:szCs w:val="24"/>
              </w:rPr>
              <w:t>-</w:t>
            </w:r>
          </w:p>
        </w:tc>
        <w:tc>
          <w:tcPr>
            <w:tcW w:w="1407" w:type="dxa"/>
            <w:vAlign w:val="center"/>
          </w:tcPr>
          <w:p w:rsidR="00494888" w:rsidRDefault="00893D34">
            <w:pPr>
              <w:jc w:val="center"/>
            </w:pPr>
            <w:r>
              <w:rPr>
                <w:color w:val="000000"/>
                <w:sz w:val="24"/>
                <w:szCs w:val="24"/>
              </w:rPr>
              <w:t>7</w:t>
            </w:r>
            <w:r>
              <w:rPr>
                <w:color w:val="000000"/>
                <w:sz w:val="24"/>
                <w:szCs w:val="24"/>
              </w:rPr>
              <w:t>年</w:t>
            </w:r>
          </w:p>
        </w:tc>
        <w:tc>
          <w:tcPr>
            <w:tcW w:w="2673" w:type="dxa"/>
            <w:vAlign w:val="center"/>
          </w:tcPr>
          <w:p w:rsidR="00494888" w:rsidRDefault="00893D34">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94888" w:rsidRDefault="00893D3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94888" w:rsidRDefault="00893D3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94888" w:rsidRDefault="00893D3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94888" w:rsidRDefault="00893D34">
      <w:pPr>
        <w:spacing w:before="29" w:line="288" w:lineRule="auto"/>
        <w:ind w:firstLineChars="200" w:firstLine="480"/>
        <w:rPr>
          <w:color w:val="000000"/>
          <w:sz w:val="24"/>
          <w:szCs w:val="24"/>
        </w:rPr>
      </w:pPr>
      <w:r>
        <w:rPr>
          <w:color w:val="000000"/>
          <w:sz w:val="24"/>
          <w:szCs w:val="24"/>
        </w:rPr>
        <w:t>2017</w:t>
      </w:r>
      <w:r>
        <w:rPr>
          <w:color w:val="000000"/>
          <w:sz w:val="24"/>
          <w:szCs w:val="24"/>
        </w:rPr>
        <w:t>年年初至今，宏观方面维持中性偏紧的政策，美国加息，全球流动性边际紧缩，金融去杠杆监管严厉，第二季度</w:t>
      </w:r>
      <w:r>
        <w:rPr>
          <w:color w:val="000000"/>
          <w:sz w:val="24"/>
          <w:szCs w:val="24"/>
        </w:rPr>
        <w:t>A</w:t>
      </w:r>
      <w:r>
        <w:rPr>
          <w:color w:val="000000"/>
          <w:sz w:val="24"/>
          <w:szCs w:val="24"/>
        </w:rPr>
        <w:t>股市场出现了所谓</w:t>
      </w:r>
      <w:r>
        <w:rPr>
          <w:color w:val="000000"/>
          <w:sz w:val="24"/>
          <w:szCs w:val="24"/>
        </w:rPr>
        <w:t>50-3000</w:t>
      </w:r>
      <w:r>
        <w:rPr>
          <w:color w:val="000000"/>
          <w:sz w:val="24"/>
          <w:szCs w:val="24"/>
        </w:rPr>
        <w:t>行情（上证</w:t>
      </w:r>
      <w:r>
        <w:rPr>
          <w:color w:val="000000"/>
          <w:sz w:val="24"/>
          <w:szCs w:val="24"/>
        </w:rPr>
        <w:t>50</w:t>
      </w:r>
      <w:r>
        <w:rPr>
          <w:color w:val="000000"/>
          <w:sz w:val="24"/>
          <w:szCs w:val="24"/>
        </w:rPr>
        <w:t>指数上涨近</w:t>
      </w:r>
      <w:r>
        <w:rPr>
          <w:color w:val="000000"/>
          <w:sz w:val="24"/>
          <w:szCs w:val="24"/>
        </w:rPr>
        <w:t>8%</w:t>
      </w:r>
      <w:r>
        <w:rPr>
          <w:color w:val="000000"/>
          <w:sz w:val="24"/>
          <w:szCs w:val="24"/>
        </w:rPr>
        <w:t>，而创业板综指则下跌近</w:t>
      </w:r>
      <w:r>
        <w:rPr>
          <w:color w:val="000000"/>
          <w:sz w:val="24"/>
          <w:szCs w:val="24"/>
        </w:rPr>
        <w:t>8%</w:t>
      </w:r>
      <w:r>
        <w:rPr>
          <w:color w:val="000000"/>
          <w:sz w:val="24"/>
          <w:szCs w:val="24"/>
        </w:rPr>
        <w:t>）。我们认为除了监管政策与流动性因素外，二级市场的大小股票分化也具备一定的产业背景，传统经济的龙头企业通过多年磨练铸就了惊人的护城河，在经济反弹期利润释放能力惊人，而以互联网为代表的新经济拥有比传统经济更强的马太效应，全球均呈现白马股行情，而较多中小市值公司在相对谨慎的市场环境下，战略腾挪的空间较小。</w:t>
      </w:r>
    </w:p>
    <w:p w:rsidR="00494888" w:rsidRDefault="00893D34">
      <w:pPr>
        <w:spacing w:before="29" w:line="288" w:lineRule="auto"/>
        <w:ind w:firstLineChars="200" w:firstLine="480"/>
        <w:rPr>
          <w:color w:val="000000"/>
          <w:sz w:val="24"/>
          <w:szCs w:val="24"/>
        </w:rPr>
      </w:pPr>
      <w:r>
        <w:rPr>
          <w:color w:val="000000"/>
          <w:sz w:val="24"/>
          <w:szCs w:val="24"/>
        </w:rPr>
        <w:t>本季度本基金配置较为均衡，目前位置上，我们认为蓝筹股单纯的估值修复已经接近尾声，新经济成长是我们后续的主要配置方向。</w:t>
      </w:r>
    </w:p>
    <w:p w:rsidR="00494888" w:rsidRDefault="00893D34">
      <w:pPr>
        <w:spacing w:before="29" w:line="288" w:lineRule="auto"/>
        <w:ind w:firstLineChars="200" w:firstLine="480"/>
        <w:rPr>
          <w:color w:val="000000"/>
          <w:sz w:val="24"/>
          <w:szCs w:val="24"/>
        </w:rPr>
      </w:pPr>
      <w:r>
        <w:rPr>
          <w:color w:val="000000"/>
          <w:sz w:val="24"/>
          <w:szCs w:val="24"/>
        </w:rPr>
        <w:t>（</w:t>
      </w:r>
      <w:r>
        <w:rPr>
          <w:color w:val="000000"/>
          <w:sz w:val="24"/>
          <w:szCs w:val="24"/>
        </w:rPr>
        <w:t>1</w:t>
      </w:r>
      <w:r>
        <w:rPr>
          <w:color w:val="000000"/>
          <w:sz w:val="24"/>
          <w:szCs w:val="24"/>
        </w:rPr>
        <w:t>）</w:t>
      </w:r>
      <w:r>
        <w:rPr>
          <w:color w:val="000000"/>
          <w:sz w:val="24"/>
          <w:szCs w:val="24"/>
        </w:rPr>
        <w:t>G2</w:t>
      </w:r>
      <w:r>
        <w:rPr>
          <w:color w:val="000000"/>
          <w:sz w:val="24"/>
          <w:szCs w:val="24"/>
        </w:rPr>
        <w:t>（中美两极）科技创新开始加速。我们观察到随着美国云计算商业模型的逐步成熟和对人工智能研究的持续突破，中国政府和公司也将更关注科技创新和长期新增长点。全球都势必加大对信息产业基础设施的投资，对新网络、新设备、新材料和基础软硬件相关产业形成拉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2</w:t>
      </w:r>
      <w:r w:rsidRPr="00414345">
        <w:rPr>
          <w:color w:val="000000"/>
          <w:sz w:val="24"/>
          <w:szCs w:val="24"/>
        </w:rPr>
        <w:t>）消费升级的含义深化。我们认为快速进步的传媒环境、消费金融、物流设施、制造工艺深刻影响着消费品的供求关系，消费升级实际上是消费者走向成熟的表现，更加追求性价比和个性化。我们不仅关注优选消费品本身，更关注消费品整个产业链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1.043</w:t>
      </w:r>
      <w:r w:rsidRPr="00414345">
        <w:rPr>
          <w:color w:val="000000"/>
          <w:sz w:val="24"/>
          <w:szCs w:val="24"/>
        </w:rPr>
        <w:t>元，本报告期份额净值增长率为</w:t>
      </w:r>
      <w:r w:rsidRPr="00414345">
        <w:rPr>
          <w:color w:val="000000"/>
          <w:sz w:val="24"/>
          <w:szCs w:val="24"/>
        </w:rPr>
        <w:t>2.66%</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8288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268,662,004.55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268,662,004.55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40,632,350.11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10,323,466.64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319,617,821.30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172,637,877.95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28,408,024.08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16,343,707.20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9,255,199.62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16,837,888.70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7,051,844.80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5,063,310.00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13,064,152.20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268,662,004.55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85.38</w:t>
            </w:r>
          </w:p>
        </w:tc>
      </w:tr>
    </w:tbl>
    <w:p w:rsidR="00904552" w:rsidRDefault="0090455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94888">
        <w:trPr>
          <w:jc w:val="center"/>
        </w:trPr>
        <w:tc>
          <w:tcPr>
            <w:tcW w:w="855" w:type="dxa"/>
            <w:vAlign w:val="center"/>
          </w:tcPr>
          <w:p w:rsidR="00494888" w:rsidRDefault="00893D34">
            <w:pPr>
              <w:jc w:val="center"/>
            </w:pPr>
            <w:r>
              <w:rPr>
                <w:color w:val="000000"/>
                <w:sz w:val="24"/>
                <w:szCs w:val="24"/>
              </w:rPr>
              <w:t>1</w:t>
            </w:r>
          </w:p>
        </w:tc>
        <w:tc>
          <w:tcPr>
            <w:tcW w:w="1334" w:type="dxa"/>
            <w:vAlign w:val="center"/>
          </w:tcPr>
          <w:p w:rsidR="00494888" w:rsidRDefault="00893D34">
            <w:pPr>
              <w:jc w:val="center"/>
            </w:pPr>
            <w:r>
              <w:rPr>
                <w:color w:val="000000"/>
                <w:sz w:val="24"/>
                <w:szCs w:val="24"/>
              </w:rPr>
              <w:t>002583</w:t>
            </w:r>
          </w:p>
        </w:tc>
        <w:tc>
          <w:tcPr>
            <w:tcW w:w="1777" w:type="dxa"/>
            <w:vAlign w:val="center"/>
          </w:tcPr>
          <w:p w:rsidR="00494888" w:rsidRDefault="00893D34">
            <w:pPr>
              <w:jc w:val="center"/>
            </w:pPr>
            <w:r>
              <w:rPr>
                <w:color w:val="000000"/>
                <w:sz w:val="24"/>
                <w:szCs w:val="24"/>
              </w:rPr>
              <w:t>海能达</w:t>
            </w:r>
          </w:p>
        </w:tc>
        <w:tc>
          <w:tcPr>
            <w:tcW w:w="1334" w:type="dxa"/>
            <w:vAlign w:val="center"/>
          </w:tcPr>
          <w:p w:rsidR="00494888" w:rsidRDefault="00893D34">
            <w:pPr>
              <w:jc w:val="right"/>
            </w:pPr>
            <w:r>
              <w:rPr>
                <w:color w:val="000000"/>
                <w:sz w:val="24"/>
                <w:szCs w:val="24"/>
              </w:rPr>
              <w:t>1,850,192</w:t>
            </w:r>
          </w:p>
        </w:tc>
        <w:tc>
          <w:tcPr>
            <w:tcW w:w="1924" w:type="dxa"/>
            <w:vAlign w:val="center"/>
          </w:tcPr>
          <w:p w:rsidR="00494888" w:rsidRDefault="00893D34">
            <w:pPr>
              <w:jc w:val="right"/>
            </w:pPr>
            <w:r>
              <w:rPr>
                <w:color w:val="000000"/>
                <w:sz w:val="24"/>
                <w:szCs w:val="24"/>
              </w:rPr>
              <w:t>29,769,589.28</w:t>
            </w:r>
          </w:p>
        </w:tc>
        <w:tc>
          <w:tcPr>
            <w:tcW w:w="1644" w:type="dxa"/>
            <w:vAlign w:val="center"/>
          </w:tcPr>
          <w:p w:rsidR="00494888" w:rsidRDefault="00893D34">
            <w:pPr>
              <w:jc w:val="right"/>
            </w:pPr>
            <w:r>
              <w:rPr>
                <w:color w:val="000000"/>
                <w:sz w:val="24"/>
                <w:szCs w:val="24"/>
              </w:rPr>
              <w:t>9.46</w:t>
            </w:r>
          </w:p>
        </w:tc>
      </w:tr>
      <w:tr w:rsidR="00494888">
        <w:trPr>
          <w:jc w:val="center"/>
        </w:trPr>
        <w:tc>
          <w:tcPr>
            <w:tcW w:w="855" w:type="dxa"/>
            <w:vAlign w:val="center"/>
          </w:tcPr>
          <w:p w:rsidR="00494888" w:rsidRDefault="00893D34">
            <w:pPr>
              <w:jc w:val="center"/>
            </w:pPr>
            <w:r>
              <w:rPr>
                <w:color w:val="000000"/>
                <w:sz w:val="24"/>
                <w:szCs w:val="24"/>
              </w:rPr>
              <w:t>2</w:t>
            </w:r>
          </w:p>
        </w:tc>
        <w:tc>
          <w:tcPr>
            <w:tcW w:w="1334" w:type="dxa"/>
            <w:vAlign w:val="center"/>
          </w:tcPr>
          <w:p w:rsidR="00494888" w:rsidRDefault="00893D34">
            <w:pPr>
              <w:jc w:val="center"/>
            </w:pPr>
            <w:r>
              <w:rPr>
                <w:color w:val="000000"/>
                <w:sz w:val="24"/>
                <w:szCs w:val="24"/>
              </w:rPr>
              <w:t>300308</w:t>
            </w:r>
          </w:p>
        </w:tc>
        <w:tc>
          <w:tcPr>
            <w:tcW w:w="1777" w:type="dxa"/>
            <w:vAlign w:val="center"/>
          </w:tcPr>
          <w:p w:rsidR="00494888" w:rsidRDefault="00893D34">
            <w:pPr>
              <w:jc w:val="center"/>
            </w:pPr>
            <w:r>
              <w:rPr>
                <w:color w:val="000000"/>
                <w:sz w:val="24"/>
                <w:szCs w:val="24"/>
              </w:rPr>
              <w:t>中际装备</w:t>
            </w:r>
          </w:p>
        </w:tc>
        <w:tc>
          <w:tcPr>
            <w:tcW w:w="1334" w:type="dxa"/>
            <w:vAlign w:val="center"/>
          </w:tcPr>
          <w:p w:rsidR="00494888" w:rsidRDefault="00893D34">
            <w:pPr>
              <w:jc w:val="right"/>
            </w:pPr>
            <w:r>
              <w:rPr>
                <w:color w:val="000000"/>
                <w:sz w:val="24"/>
                <w:szCs w:val="24"/>
              </w:rPr>
              <w:t>720,706</w:t>
            </w:r>
          </w:p>
        </w:tc>
        <w:tc>
          <w:tcPr>
            <w:tcW w:w="1924" w:type="dxa"/>
            <w:vAlign w:val="center"/>
          </w:tcPr>
          <w:p w:rsidR="00494888" w:rsidRDefault="00893D34">
            <w:pPr>
              <w:jc w:val="right"/>
            </w:pPr>
            <w:r>
              <w:rPr>
                <w:color w:val="000000"/>
                <w:sz w:val="24"/>
                <w:szCs w:val="24"/>
              </w:rPr>
              <w:t>29,642,637.78</w:t>
            </w:r>
          </w:p>
        </w:tc>
        <w:tc>
          <w:tcPr>
            <w:tcW w:w="1644" w:type="dxa"/>
            <w:vAlign w:val="center"/>
          </w:tcPr>
          <w:p w:rsidR="00494888" w:rsidRDefault="00893D34">
            <w:pPr>
              <w:jc w:val="right"/>
            </w:pPr>
            <w:r>
              <w:rPr>
                <w:color w:val="000000"/>
                <w:sz w:val="24"/>
                <w:szCs w:val="24"/>
              </w:rPr>
              <w:t>9.42</w:t>
            </w:r>
          </w:p>
        </w:tc>
      </w:tr>
      <w:tr w:rsidR="00494888">
        <w:trPr>
          <w:jc w:val="center"/>
        </w:trPr>
        <w:tc>
          <w:tcPr>
            <w:tcW w:w="855" w:type="dxa"/>
            <w:vAlign w:val="center"/>
          </w:tcPr>
          <w:p w:rsidR="00494888" w:rsidRDefault="00893D34">
            <w:pPr>
              <w:jc w:val="center"/>
            </w:pPr>
            <w:r>
              <w:rPr>
                <w:color w:val="000000"/>
                <w:sz w:val="24"/>
                <w:szCs w:val="24"/>
              </w:rPr>
              <w:t>3</w:t>
            </w:r>
          </w:p>
        </w:tc>
        <w:tc>
          <w:tcPr>
            <w:tcW w:w="1334" w:type="dxa"/>
            <w:vAlign w:val="center"/>
          </w:tcPr>
          <w:p w:rsidR="00494888" w:rsidRDefault="00893D34">
            <w:pPr>
              <w:jc w:val="center"/>
            </w:pPr>
            <w:r>
              <w:rPr>
                <w:color w:val="000000"/>
                <w:sz w:val="24"/>
                <w:szCs w:val="24"/>
              </w:rPr>
              <w:t>600703</w:t>
            </w:r>
          </w:p>
        </w:tc>
        <w:tc>
          <w:tcPr>
            <w:tcW w:w="1777" w:type="dxa"/>
            <w:vAlign w:val="center"/>
          </w:tcPr>
          <w:p w:rsidR="00494888" w:rsidRDefault="00893D34">
            <w:pPr>
              <w:jc w:val="center"/>
            </w:pPr>
            <w:r>
              <w:rPr>
                <w:color w:val="000000"/>
                <w:sz w:val="24"/>
                <w:szCs w:val="24"/>
              </w:rPr>
              <w:t>三安光电</w:t>
            </w:r>
          </w:p>
        </w:tc>
        <w:tc>
          <w:tcPr>
            <w:tcW w:w="1334" w:type="dxa"/>
            <w:vAlign w:val="center"/>
          </w:tcPr>
          <w:p w:rsidR="00494888" w:rsidRDefault="00893D34">
            <w:pPr>
              <w:jc w:val="right"/>
            </w:pPr>
            <w:r>
              <w:rPr>
                <w:color w:val="000000"/>
                <w:sz w:val="24"/>
                <w:szCs w:val="24"/>
              </w:rPr>
              <w:t>1,133,770</w:t>
            </w:r>
          </w:p>
        </w:tc>
        <w:tc>
          <w:tcPr>
            <w:tcW w:w="1924" w:type="dxa"/>
            <w:vAlign w:val="center"/>
          </w:tcPr>
          <w:p w:rsidR="00494888" w:rsidRDefault="00893D34">
            <w:pPr>
              <w:jc w:val="right"/>
            </w:pPr>
            <w:r>
              <w:rPr>
                <w:color w:val="000000"/>
                <w:sz w:val="24"/>
                <w:szCs w:val="24"/>
              </w:rPr>
              <w:t>22,335,269.00</w:t>
            </w:r>
          </w:p>
        </w:tc>
        <w:tc>
          <w:tcPr>
            <w:tcW w:w="1644" w:type="dxa"/>
            <w:vAlign w:val="center"/>
          </w:tcPr>
          <w:p w:rsidR="00494888" w:rsidRDefault="00893D34">
            <w:pPr>
              <w:jc w:val="right"/>
            </w:pPr>
            <w:r>
              <w:rPr>
                <w:color w:val="000000"/>
                <w:sz w:val="24"/>
                <w:szCs w:val="24"/>
              </w:rPr>
              <w:t>7.10</w:t>
            </w:r>
          </w:p>
        </w:tc>
      </w:tr>
      <w:tr w:rsidR="00494888">
        <w:trPr>
          <w:jc w:val="center"/>
        </w:trPr>
        <w:tc>
          <w:tcPr>
            <w:tcW w:w="855" w:type="dxa"/>
            <w:vAlign w:val="center"/>
          </w:tcPr>
          <w:p w:rsidR="00494888" w:rsidRDefault="00893D34">
            <w:pPr>
              <w:jc w:val="center"/>
            </w:pPr>
            <w:r>
              <w:rPr>
                <w:color w:val="000000"/>
                <w:sz w:val="24"/>
                <w:szCs w:val="24"/>
              </w:rPr>
              <w:t>4</w:t>
            </w:r>
          </w:p>
        </w:tc>
        <w:tc>
          <w:tcPr>
            <w:tcW w:w="1334" w:type="dxa"/>
            <w:vAlign w:val="center"/>
          </w:tcPr>
          <w:p w:rsidR="00494888" w:rsidRDefault="00893D34">
            <w:pPr>
              <w:jc w:val="center"/>
            </w:pPr>
            <w:r>
              <w:rPr>
                <w:color w:val="000000"/>
                <w:sz w:val="24"/>
                <w:szCs w:val="24"/>
              </w:rPr>
              <w:t>002045</w:t>
            </w:r>
          </w:p>
        </w:tc>
        <w:tc>
          <w:tcPr>
            <w:tcW w:w="1777" w:type="dxa"/>
            <w:vAlign w:val="center"/>
          </w:tcPr>
          <w:p w:rsidR="00494888" w:rsidRDefault="00893D34">
            <w:pPr>
              <w:jc w:val="center"/>
            </w:pPr>
            <w:r>
              <w:rPr>
                <w:color w:val="000000"/>
                <w:sz w:val="24"/>
                <w:szCs w:val="24"/>
              </w:rPr>
              <w:t>国光电器</w:t>
            </w:r>
          </w:p>
        </w:tc>
        <w:tc>
          <w:tcPr>
            <w:tcW w:w="1334" w:type="dxa"/>
            <w:vAlign w:val="center"/>
          </w:tcPr>
          <w:p w:rsidR="00494888" w:rsidRDefault="00893D34">
            <w:pPr>
              <w:jc w:val="right"/>
            </w:pPr>
            <w:r>
              <w:rPr>
                <w:color w:val="000000"/>
                <w:sz w:val="24"/>
                <w:szCs w:val="24"/>
              </w:rPr>
              <w:t>1,185,467</w:t>
            </w:r>
          </w:p>
        </w:tc>
        <w:tc>
          <w:tcPr>
            <w:tcW w:w="1924" w:type="dxa"/>
            <w:vAlign w:val="center"/>
          </w:tcPr>
          <w:p w:rsidR="00494888" w:rsidRDefault="00893D34">
            <w:pPr>
              <w:jc w:val="right"/>
            </w:pPr>
            <w:r>
              <w:rPr>
                <w:color w:val="000000"/>
                <w:sz w:val="24"/>
                <w:szCs w:val="24"/>
              </w:rPr>
              <w:t>18,837,070.63</w:t>
            </w:r>
          </w:p>
        </w:tc>
        <w:tc>
          <w:tcPr>
            <w:tcW w:w="1644" w:type="dxa"/>
            <w:vAlign w:val="center"/>
          </w:tcPr>
          <w:p w:rsidR="00494888" w:rsidRDefault="00893D34">
            <w:pPr>
              <w:jc w:val="right"/>
            </w:pPr>
            <w:r>
              <w:rPr>
                <w:color w:val="000000"/>
                <w:sz w:val="24"/>
                <w:szCs w:val="24"/>
              </w:rPr>
              <w:t>5.99</w:t>
            </w:r>
          </w:p>
        </w:tc>
      </w:tr>
      <w:tr w:rsidR="00494888">
        <w:trPr>
          <w:jc w:val="center"/>
        </w:trPr>
        <w:tc>
          <w:tcPr>
            <w:tcW w:w="855" w:type="dxa"/>
            <w:vAlign w:val="center"/>
          </w:tcPr>
          <w:p w:rsidR="00494888" w:rsidRDefault="00893D34">
            <w:pPr>
              <w:jc w:val="center"/>
            </w:pPr>
            <w:r>
              <w:rPr>
                <w:color w:val="000000"/>
                <w:sz w:val="24"/>
                <w:szCs w:val="24"/>
              </w:rPr>
              <w:t>5</w:t>
            </w:r>
          </w:p>
        </w:tc>
        <w:tc>
          <w:tcPr>
            <w:tcW w:w="1334" w:type="dxa"/>
            <w:vAlign w:val="center"/>
          </w:tcPr>
          <w:p w:rsidR="00494888" w:rsidRDefault="00893D34">
            <w:pPr>
              <w:jc w:val="center"/>
            </w:pPr>
            <w:r>
              <w:rPr>
                <w:color w:val="000000"/>
                <w:sz w:val="24"/>
                <w:szCs w:val="24"/>
              </w:rPr>
              <w:t>600258</w:t>
            </w:r>
          </w:p>
        </w:tc>
        <w:tc>
          <w:tcPr>
            <w:tcW w:w="1777" w:type="dxa"/>
            <w:vAlign w:val="center"/>
          </w:tcPr>
          <w:p w:rsidR="00494888" w:rsidRDefault="00893D34">
            <w:pPr>
              <w:jc w:val="center"/>
            </w:pPr>
            <w:r>
              <w:rPr>
                <w:color w:val="000000"/>
                <w:sz w:val="24"/>
                <w:szCs w:val="24"/>
              </w:rPr>
              <w:t>首旅酒店</w:t>
            </w:r>
          </w:p>
        </w:tc>
        <w:tc>
          <w:tcPr>
            <w:tcW w:w="1334" w:type="dxa"/>
            <w:vAlign w:val="center"/>
          </w:tcPr>
          <w:p w:rsidR="00494888" w:rsidRDefault="00893D34">
            <w:pPr>
              <w:jc w:val="right"/>
            </w:pPr>
            <w:r>
              <w:rPr>
                <w:color w:val="000000"/>
                <w:sz w:val="24"/>
                <w:szCs w:val="24"/>
              </w:rPr>
              <w:t>699,645</w:t>
            </w:r>
          </w:p>
        </w:tc>
        <w:tc>
          <w:tcPr>
            <w:tcW w:w="1924" w:type="dxa"/>
            <w:vAlign w:val="center"/>
          </w:tcPr>
          <w:p w:rsidR="00494888" w:rsidRDefault="00893D34">
            <w:pPr>
              <w:jc w:val="right"/>
            </w:pPr>
            <w:r>
              <w:rPr>
                <w:color w:val="000000"/>
                <w:sz w:val="24"/>
                <w:szCs w:val="24"/>
              </w:rPr>
              <w:t>16,343,707.20</w:t>
            </w:r>
          </w:p>
        </w:tc>
        <w:tc>
          <w:tcPr>
            <w:tcW w:w="1644" w:type="dxa"/>
            <w:vAlign w:val="center"/>
          </w:tcPr>
          <w:p w:rsidR="00494888" w:rsidRDefault="00893D34">
            <w:pPr>
              <w:jc w:val="right"/>
            </w:pPr>
            <w:r>
              <w:rPr>
                <w:color w:val="000000"/>
                <w:sz w:val="24"/>
                <w:szCs w:val="24"/>
              </w:rPr>
              <w:t>5.19</w:t>
            </w:r>
          </w:p>
        </w:tc>
      </w:tr>
      <w:tr w:rsidR="00494888">
        <w:trPr>
          <w:jc w:val="center"/>
        </w:trPr>
        <w:tc>
          <w:tcPr>
            <w:tcW w:w="855" w:type="dxa"/>
            <w:vAlign w:val="center"/>
          </w:tcPr>
          <w:p w:rsidR="00494888" w:rsidRDefault="00893D34">
            <w:pPr>
              <w:jc w:val="center"/>
            </w:pPr>
            <w:r>
              <w:rPr>
                <w:color w:val="000000"/>
                <w:sz w:val="24"/>
                <w:szCs w:val="24"/>
              </w:rPr>
              <w:t>6</w:t>
            </w:r>
          </w:p>
        </w:tc>
        <w:tc>
          <w:tcPr>
            <w:tcW w:w="1334" w:type="dxa"/>
            <w:vAlign w:val="center"/>
          </w:tcPr>
          <w:p w:rsidR="00494888" w:rsidRDefault="00893D34">
            <w:pPr>
              <w:jc w:val="center"/>
            </w:pPr>
            <w:r>
              <w:rPr>
                <w:color w:val="000000"/>
                <w:sz w:val="24"/>
                <w:szCs w:val="24"/>
              </w:rPr>
              <w:t>600885</w:t>
            </w:r>
          </w:p>
        </w:tc>
        <w:tc>
          <w:tcPr>
            <w:tcW w:w="1777" w:type="dxa"/>
            <w:vAlign w:val="center"/>
          </w:tcPr>
          <w:p w:rsidR="00494888" w:rsidRDefault="00893D34">
            <w:pPr>
              <w:jc w:val="center"/>
            </w:pPr>
            <w:r>
              <w:rPr>
                <w:color w:val="000000"/>
                <w:sz w:val="24"/>
                <w:szCs w:val="24"/>
              </w:rPr>
              <w:t>宏发股份</w:t>
            </w:r>
          </w:p>
        </w:tc>
        <w:tc>
          <w:tcPr>
            <w:tcW w:w="1334" w:type="dxa"/>
            <w:vAlign w:val="center"/>
          </w:tcPr>
          <w:p w:rsidR="00494888" w:rsidRDefault="00893D34">
            <w:pPr>
              <w:jc w:val="right"/>
            </w:pPr>
            <w:r>
              <w:rPr>
                <w:color w:val="000000"/>
                <w:sz w:val="24"/>
                <w:szCs w:val="24"/>
              </w:rPr>
              <w:t>369,465</w:t>
            </w:r>
          </w:p>
        </w:tc>
        <w:tc>
          <w:tcPr>
            <w:tcW w:w="1924" w:type="dxa"/>
            <w:vAlign w:val="center"/>
          </w:tcPr>
          <w:p w:rsidR="00494888" w:rsidRDefault="00893D34">
            <w:pPr>
              <w:jc w:val="right"/>
            </w:pPr>
            <w:r>
              <w:rPr>
                <w:color w:val="000000"/>
                <w:sz w:val="24"/>
                <w:szCs w:val="24"/>
              </w:rPr>
              <w:t>14,737,958.85</w:t>
            </w:r>
          </w:p>
        </w:tc>
        <w:tc>
          <w:tcPr>
            <w:tcW w:w="1644" w:type="dxa"/>
            <w:vAlign w:val="center"/>
          </w:tcPr>
          <w:p w:rsidR="00494888" w:rsidRDefault="00893D34">
            <w:pPr>
              <w:jc w:val="right"/>
            </w:pPr>
            <w:r>
              <w:rPr>
                <w:color w:val="000000"/>
                <w:sz w:val="24"/>
                <w:szCs w:val="24"/>
              </w:rPr>
              <w:t>4.68</w:t>
            </w:r>
          </w:p>
        </w:tc>
      </w:tr>
      <w:tr w:rsidR="00494888">
        <w:trPr>
          <w:jc w:val="center"/>
        </w:trPr>
        <w:tc>
          <w:tcPr>
            <w:tcW w:w="855" w:type="dxa"/>
            <w:vAlign w:val="center"/>
          </w:tcPr>
          <w:p w:rsidR="00494888" w:rsidRDefault="00893D34">
            <w:pPr>
              <w:jc w:val="center"/>
            </w:pPr>
            <w:r>
              <w:rPr>
                <w:color w:val="000000"/>
                <w:sz w:val="24"/>
                <w:szCs w:val="24"/>
              </w:rPr>
              <w:t>7</w:t>
            </w:r>
          </w:p>
        </w:tc>
        <w:tc>
          <w:tcPr>
            <w:tcW w:w="1334" w:type="dxa"/>
            <w:vAlign w:val="center"/>
          </w:tcPr>
          <w:p w:rsidR="00494888" w:rsidRDefault="00893D34">
            <w:pPr>
              <w:jc w:val="center"/>
            </w:pPr>
            <w:r>
              <w:rPr>
                <w:color w:val="000000"/>
                <w:sz w:val="24"/>
                <w:szCs w:val="24"/>
              </w:rPr>
              <w:t>002460</w:t>
            </w:r>
          </w:p>
        </w:tc>
        <w:tc>
          <w:tcPr>
            <w:tcW w:w="1777" w:type="dxa"/>
            <w:vAlign w:val="center"/>
          </w:tcPr>
          <w:p w:rsidR="00494888" w:rsidRDefault="00893D34">
            <w:pPr>
              <w:jc w:val="center"/>
            </w:pPr>
            <w:r>
              <w:rPr>
                <w:color w:val="000000"/>
                <w:sz w:val="24"/>
                <w:szCs w:val="24"/>
              </w:rPr>
              <w:t>赣锋锂业</w:t>
            </w:r>
          </w:p>
        </w:tc>
        <w:tc>
          <w:tcPr>
            <w:tcW w:w="1334" w:type="dxa"/>
            <w:vAlign w:val="center"/>
          </w:tcPr>
          <w:p w:rsidR="00494888" w:rsidRDefault="00893D34">
            <w:pPr>
              <w:jc w:val="right"/>
            </w:pPr>
            <w:r>
              <w:rPr>
                <w:color w:val="000000"/>
                <w:sz w:val="24"/>
                <w:szCs w:val="24"/>
              </w:rPr>
              <w:t>307,033</w:t>
            </w:r>
          </w:p>
        </w:tc>
        <w:tc>
          <w:tcPr>
            <w:tcW w:w="1924" w:type="dxa"/>
            <w:vAlign w:val="center"/>
          </w:tcPr>
          <w:p w:rsidR="00494888" w:rsidRDefault="00893D34">
            <w:pPr>
              <w:jc w:val="right"/>
            </w:pPr>
            <w:r>
              <w:rPr>
                <w:color w:val="000000"/>
                <w:sz w:val="24"/>
                <w:szCs w:val="24"/>
              </w:rPr>
              <w:t>14,200,276.25</w:t>
            </w:r>
          </w:p>
        </w:tc>
        <w:tc>
          <w:tcPr>
            <w:tcW w:w="1644" w:type="dxa"/>
            <w:vAlign w:val="center"/>
          </w:tcPr>
          <w:p w:rsidR="00494888" w:rsidRDefault="00893D34">
            <w:pPr>
              <w:jc w:val="right"/>
            </w:pPr>
            <w:r>
              <w:rPr>
                <w:color w:val="000000"/>
                <w:sz w:val="24"/>
                <w:szCs w:val="24"/>
              </w:rPr>
              <w:t>4.51</w:t>
            </w:r>
          </w:p>
        </w:tc>
      </w:tr>
      <w:tr w:rsidR="00494888">
        <w:trPr>
          <w:jc w:val="center"/>
        </w:trPr>
        <w:tc>
          <w:tcPr>
            <w:tcW w:w="855" w:type="dxa"/>
            <w:vAlign w:val="center"/>
          </w:tcPr>
          <w:p w:rsidR="00494888" w:rsidRDefault="00893D34">
            <w:pPr>
              <w:jc w:val="center"/>
            </w:pPr>
            <w:r>
              <w:rPr>
                <w:color w:val="000000"/>
                <w:sz w:val="24"/>
                <w:szCs w:val="24"/>
              </w:rPr>
              <w:t>8</w:t>
            </w:r>
          </w:p>
        </w:tc>
        <w:tc>
          <w:tcPr>
            <w:tcW w:w="1334" w:type="dxa"/>
            <w:vAlign w:val="center"/>
          </w:tcPr>
          <w:p w:rsidR="00494888" w:rsidRDefault="00893D34">
            <w:pPr>
              <w:jc w:val="center"/>
            </w:pPr>
            <w:r>
              <w:rPr>
                <w:color w:val="000000"/>
                <w:sz w:val="24"/>
                <w:szCs w:val="24"/>
              </w:rPr>
              <w:t>300347</w:t>
            </w:r>
          </w:p>
        </w:tc>
        <w:tc>
          <w:tcPr>
            <w:tcW w:w="1777" w:type="dxa"/>
            <w:vAlign w:val="center"/>
          </w:tcPr>
          <w:p w:rsidR="00494888" w:rsidRDefault="00893D34">
            <w:pPr>
              <w:jc w:val="center"/>
            </w:pPr>
            <w:r>
              <w:rPr>
                <w:color w:val="000000"/>
                <w:sz w:val="24"/>
                <w:szCs w:val="24"/>
              </w:rPr>
              <w:t>泰格医药</w:t>
            </w:r>
          </w:p>
        </w:tc>
        <w:tc>
          <w:tcPr>
            <w:tcW w:w="1334" w:type="dxa"/>
            <w:vAlign w:val="center"/>
          </w:tcPr>
          <w:p w:rsidR="00494888" w:rsidRDefault="00893D34">
            <w:pPr>
              <w:jc w:val="right"/>
            </w:pPr>
            <w:r>
              <w:rPr>
                <w:color w:val="000000"/>
                <w:sz w:val="24"/>
                <w:szCs w:val="24"/>
              </w:rPr>
              <w:t>539,841</w:t>
            </w:r>
          </w:p>
        </w:tc>
        <w:tc>
          <w:tcPr>
            <w:tcW w:w="1924" w:type="dxa"/>
            <w:vAlign w:val="center"/>
          </w:tcPr>
          <w:p w:rsidR="00494888" w:rsidRDefault="00893D34">
            <w:pPr>
              <w:jc w:val="right"/>
            </w:pPr>
            <w:r>
              <w:rPr>
                <w:color w:val="000000"/>
                <w:sz w:val="24"/>
                <w:szCs w:val="24"/>
              </w:rPr>
              <w:t>13,064,152.20</w:t>
            </w:r>
          </w:p>
        </w:tc>
        <w:tc>
          <w:tcPr>
            <w:tcW w:w="1644" w:type="dxa"/>
            <w:vAlign w:val="center"/>
          </w:tcPr>
          <w:p w:rsidR="00494888" w:rsidRDefault="00893D34">
            <w:pPr>
              <w:jc w:val="right"/>
            </w:pPr>
            <w:r>
              <w:rPr>
                <w:color w:val="000000"/>
                <w:sz w:val="24"/>
                <w:szCs w:val="24"/>
              </w:rPr>
              <w:t>4.15</w:t>
            </w:r>
          </w:p>
        </w:tc>
      </w:tr>
      <w:tr w:rsidR="00494888">
        <w:trPr>
          <w:jc w:val="center"/>
        </w:trPr>
        <w:tc>
          <w:tcPr>
            <w:tcW w:w="855" w:type="dxa"/>
            <w:vAlign w:val="center"/>
          </w:tcPr>
          <w:p w:rsidR="00494888" w:rsidRDefault="00893D34">
            <w:pPr>
              <w:jc w:val="center"/>
            </w:pPr>
            <w:r>
              <w:rPr>
                <w:color w:val="000000"/>
                <w:sz w:val="24"/>
                <w:szCs w:val="24"/>
              </w:rPr>
              <w:t>9</w:t>
            </w:r>
          </w:p>
        </w:tc>
        <w:tc>
          <w:tcPr>
            <w:tcW w:w="1334" w:type="dxa"/>
            <w:vAlign w:val="center"/>
          </w:tcPr>
          <w:p w:rsidR="00494888" w:rsidRDefault="00893D34">
            <w:pPr>
              <w:jc w:val="center"/>
            </w:pPr>
            <w:r>
              <w:rPr>
                <w:color w:val="000000"/>
                <w:sz w:val="24"/>
                <w:szCs w:val="24"/>
              </w:rPr>
              <w:t>002008</w:t>
            </w:r>
          </w:p>
        </w:tc>
        <w:tc>
          <w:tcPr>
            <w:tcW w:w="1777" w:type="dxa"/>
            <w:vAlign w:val="center"/>
          </w:tcPr>
          <w:p w:rsidR="00494888" w:rsidRDefault="00893D34">
            <w:pPr>
              <w:jc w:val="center"/>
            </w:pPr>
            <w:r>
              <w:rPr>
                <w:color w:val="000000"/>
                <w:sz w:val="24"/>
                <w:szCs w:val="24"/>
              </w:rPr>
              <w:t>大族激光</w:t>
            </w:r>
          </w:p>
        </w:tc>
        <w:tc>
          <w:tcPr>
            <w:tcW w:w="1334" w:type="dxa"/>
            <w:vAlign w:val="center"/>
          </w:tcPr>
          <w:p w:rsidR="00494888" w:rsidRDefault="00893D34">
            <w:pPr>
              <w:jc w:val="right"/>
            </w:pPr>
            <w:r>
              <w:rPr>
                <w:color w:val="000000"/>
                <w:sz w:val="24"/>
                <w:szCs w:val="24"/>
              </w:rPr>
              <w:t>375,700</w:t>
            </w:r>
          </w:p>
        </w:tc>
        <w:tc>
          <w:tcPr>
            <w:tcW w:w="1924" w:type="dxa"/>
            <w:vAlign w:val="center"/>
          </w:tcPr>
          <w:p w:rsidR="00494888" w:rsidRDefault="00893D34">
            <w:pPr>
              <w:jc w:val="right"/>
            </w:pPr>
            <w:r>
              <w:rPr>
                <w:color w:val="000000"/>
                <w:sz w:val="24"/>
                <w:szCs w:val="24"/>
              </w:rPr>
              <w:t>13,014,248.00</w:t>
            </w:r>
          </w:p>
        </w:tc>
        <w:tc>
          <w:tcPr>
            <w:tcW w:w="1644" w:type="dxa"/>
            <w:vAlign w:val="center"/>
          </w:tcPr>
          <w:p w:rsidR="00494888" w:rsidRDefault="00893D34">
            <w:pPr>
              <w:jc w:val="right"/>
            </w:pPr>
            <w:r>
              <w:rPr>
                <w:color w:val="000000"/>
                <w:sz w:val="24"/>
                <w:szCs w:val="24"/>
              </w:rPr>
              <w:t>4.14</w:t>
            </w:r>
          </w:p>
        </w:tc>
      </w:tr>
      <w:tr w:rsidR="00494888">
        <w:trPr>
          <w:jc w:val="center"/>
        </w:trPr>
        <w:tc>
          <w:tcPr>
            <w:tcW w:w="855" w:type="dxa"/>
            <w:vAlign w:val="center"/>
          </w:tcPr>
          <w:p w:rsidR="00494888" w:rsidRDefault="00893D34">
            <w:pPr>
              <w:jc w:val="center"/>
            </w:pPr>
            <w:r>
              <w:rPr>
                <w:color w:val="000000"/>
                <w:sz w:val="24"/>
                <w:szCs w:val="24"/>
              </w:rPr>
              <w:t>10</w:t>
            </w:r>
          </w:p>
        </w:tc>
        <w:tc>
          <w:tcPr>
            <w:tcW w:w="1334" w:type="dxa"/>
            <w:vAlign w:val="center"/>
          </w:tcPr>
          <w:p w:rsidR="00494888" w:rsidRDefault="00893D34">
            <w:pPr>
              <w:jc w:val="center"/>
            </w:pPr>
            <w:r>
              <w:rPr>
                <w:color w:val="000000"/>
                <w:sz w:val="24"/>
                <w:szCs w:val="24"/>
              </w:rPr>
              <w:t>300115</w:t>
            </w:r>
          </w:p>
        </w:tc>
        <w:tc>
          <w:tcPr>
            <w:tcW w:w="1777" w:type="dxa"/>
            <w:vAlign w:val="center"/>
          </w:tcPr>
          <w:p w:rsidR="00494888" w:rsidRDefault="00893D34">
            <w:pPr>
              <w:jc w:val="center"/>
            </w:pPr>
            <w:r>
              <w:rPr>
                <w:color w:val="000000"/>
                <w:sz w:val="24"/>
                <w:szCs w:val="24"/>
              </w:rPr>
              <w:t>长盈精密</w:t>
            </w:r>
          </w:p>
        </w:tc>
        <w:tc>
          <w:tcPr>
            <w:tcW w:w="1334" w:type="dxa"/>
            <w:vAlign w:val="center"/>
          </w:tcPr>
          <w:p w:rsidR="00494888" w:rsidRDefault="00893D34">
            <w:pPr>
              <w:jc w:val="right"/>
            </w:pPr>
            <w:r>
              <w:rPr>
                <w:color w:val="000000"/>
                <w:sz w:val="24"/>
                <w:szCs w:val="24"/>
              </w:rPr>
              <w:t>385,771</w:t>
            </w:r>
          </w:p>
        </w:tc>
        <w:tc>
          <w:tcPr>
            <w:tcW w:w="1924" w:type="dxa"/>
            <w:vAlign w:val="center"/>
          </w:tcPr>
          <w:p w:rsidR="00494888" w:rsidRDefault="00893D34">
            <w:pPr>
              <w:jc w:val="right"/>
            </w:pPr>
            <w:r>
              <w:rPr>
                <w:color w:val="000000"/>
                <w:sz w:val="24"/>
                <w:szCs w:val="24"/>
              </w:rPr>
              <w:t>11,256,797.78</w:t>
            </w:r>
          </w:p>
        </w:tc>
        <w:tc>
          <w:tcPr>
            <w:tcW w:w="1644" w:type="dxa"/>
            <w:vAlign w:val="center"/>
          </w:tcPr>
          <w:p w:rsidR="00494888" w:rsidRDefault="00893D34">
            <w:pPr>
              <w:jc w:val="right"/>
            </w:pPr>
            <w:r>
              <w:rPr>
                <w:color w:val="000000"/>
                <w:sz w:val="24"/>
                <w:szCs w:val="24"/>
              </w:rPr>
              <w:t>3.58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580,513.87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9,628,810.53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15,928.02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98,214.22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10,323,466.64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984F8C" w:rsidRPr="002D04D4" w:rsidRDefault="00984F8C" w:rsidP="002D04D4">
      <w:pPr>
        <w:pStyle w:val="1"/>
        <w:spacing w:beforeLines="100" w:before="312" w:afterLines="100" w:after="312" w:line="288" w:lineRule="auto"/>
        <w:jc w:val="center"/>
        <w:rPr>
          <w:color w:val="000000"/>
          <w:kern w:val="0"/>
          <w:sz w:val="24"/>
          <w:szCs w:val="24"/>
        </w:rPr>
      </w:pPr>
      <w:bookmarkStart w:id="0" w:name="_GoBack"/>
      <w:r w:rsidRPr="002D04D4">
        <w:rPr>
          <w:color w:val="000000"/>
          <w:kern w:val="0"/>
          <w:sz w:val="24"/>
          <w:szCs w:val="24"/>
        </w:rPr>
        <w:t xml:space="preserve">§6  </w:t>
      </w:r>
      <w:r w:rsidRPr="002D04D4">
        <w:rPr>
          <w:rFonts w:hint="eastAsia"/>
          <w:color w:val="000000"/>
          <w:kern w:val="0"/>
          <w:sz w:val="24"/>
          <w:szCs w:val="24"/>
        </w:rPr>
        <w:t>开放式基金份额变动</w:t>
      </w:r>
    </w:p>
    <w:bookmarkEnd w:id="0"/>
    <w:p w:rsidR="00984F8C" w:rsidRDefault="00984F8C" w:rsidP="00984F8C">
      <w:pPr>
        <w:autoSpaceDE w:val="0"/>
        <w:autoSpaceDN w:val="0"/>
        <w:spacing w:before="29" w:line="288" w:lineRule="auto"/>
        <w:ind w:left="15"/>
        <w:jc w:val="right"/>
        <w:rPr>
          <w:rFonts w:ascii="Calibri" w:hAnsi="Calibri" w:cs="宋体"/>
          <w:color w:val="000000"/>
          <w:sz w:val="24"/>
          <w:szCs w:val="24"/>
        </w:rPr>
      </w:pPr>
      <w:r>
        <w:rPr>
          <w:rFonts w:ascii="宋体" w:hAnsi="宋体" w:hint="eastAsia"/>
          <w:color w:val="000000"/>
          <w:sz w:val="24"/>
          <w:szCs w:val="24"/>
        </w:rPr>
        <w:t>单位：份</w:t>
      </w:r>
    </w:p>
    <w:tbl>
      <w:tblPr>
        <w:tblW w:w="0" w:type="dxa"/>
        <w:jc w:val="center"/>
        <w:tblCellMar>
          <w:left w:w="0" w:type="dxa"/>
          <w:right w:w="0" w:type="dxa"/>
        </w:tblCellMar>
        <w:tblLook w:val="04A0" w:firstRow="1" w:lastRow="0" w:firstColumn="1" w:lastColumn="0" w:noHBand="0" w:noVBand="1"/>
      </w:tblPr>
      <w:tblGrid>
        <w:gridCol w:w="4609"/>
        <w:gridCol w:w="4025"/>
      </w:tblGrid>
      <w:tr w:rsidR="00984F8C" w:rsidTr="00473CAD">
        <w:trPr>
          <w:jc w:val="center"/>
        </w:trPr>
        <w:tc>
          <w:tcPr>
            <w:tcW w:w="46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left"/>
              <w:rPr>
                <w:color w:val="000000"/>
                <w:sz w:val="24"/>
                <w:szCs w:val="24"/>
              </w:rPr>
            </w:pPr>
            <w:r>
              <w:rPr>
                <w:rFonts w:ascii="宋体" w:hAnsi="宋体" w:hint="eastAsia"/>
                <w:color w:val="000000"/>
                <w:sz w:val="24"/>
                <w:szCs w:val="24"/>
              </w:rPr>
              <w:t>报告期期初基金份额总额</w:t>
            </w:r>
          </w:p>
        </w:tc>
        <w:tc>
          <w:tcPr>
            <w:tcW w:w="40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right"/>
              <w:rPr>
                <w:color w:val="000000"/>
                <w:sz w:val="24"/>
                <w:szCs w:val="24"/>
              </w:rPr>
            </w:pPr>
            <w:r>
              <w:rPr>
                <w:color w:val="000000"/>
                <w:sz w:val="24"/>
                <w:szCs w:val="24"/>
              </w:rPr>
              <w:t>367,494,108.89</w:t>
            </w:r>
          </w:p>
        </w:tc>
      </w:tr>
      <w:tr w:rsidR="00984F8C" w:rsidTr="00473CAD">
        <w:trPr>
          <w:jc w:val="center"/>
        </w:trPr>
        <w:tc>
          <w:tcPr>
            <w:tcW w:w="46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left"/>
              <w:rPr>
                <w:color w:val="000000"/>
                <w:sz w:val="24"/>
                <w:szCs w:val="24"/>
              </w:rPr>
            </w:pPr>
            <w:r>
              <w:rPr>
                <w:rFonts w:ascii="宋体" w:hAnsi="宋体" w:hint="eastAsia"/>
                <w:color w:val="000000"/>
                <w:sz w:val="24"/>
                <w:szCs w:val="24"/>
              </w:rPr>
              <w:t>本报告期期间基金总申购份额</w:t>
            </w:r>
          </w:p>
        </w:tc>
        <w:tc>
          <w:tcPr>
            <w:tcW w:w="40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right"/>
              <w:rPr>
                <w:color w:val="000000"/>
                <w:sz w:val="24"/>
                <w:szCs w:val="24"/>
              </w:rPr>
            </w:pPr>
            <w:r>
              <w:rPr>
                <w:color w:val="000000"/>
                <w:sz w:val="24"/>
                <w:szCs w:val="24"/>
              </w:rPr>
              <w:t>6,575,677.30</w:t>
            </w:r>
          </w:p>
        </w:tc>
      </w:tr>
      <w:tr w:rsidR="00984F8C" w:rsidTr="00473CAD">
        <w:trPr>
          <w:jc w:val="center"/>
        </w:trPr>
        <w:tc>
          <w:tcPr>
            <w:tcW w:w="46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left"/>
              <w:rPr>
                <w:color w:val="000000"/>
                <w:sz w:val="24"/>
                <w:szCs w:val="24"/>
              </w:rPr>
            </w:pPr>
            <w:r>
              <w:rPr>
                <w:rFonts w:ascii="宋体" w:hAnsi="宋体" w:hint="eastAsia"/>
                <w:color w:val="000000"/>
                <w:sz w:val="24"/>
                <w:szCs w:val="24"/>
              </w:rPr>
              <w:t>减：本报告期期间基金总赎回份额</w:t>
            </w:r>
          </w:p>
        </w:tc>
        <w:tc>
          <w:tcPr>
            <w:tcW w:w="40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right"/>
              <w:rPr>
                <w:color w:val="000000"/>
                <w:sz w:val="24"/>
                <w:szCs w:val="24"/>
              </w:rPr>
            </w:pPr>
            <w:r>
              <w:rPr>
                <w:color w:val="000000"/>
                <w:sz w:val="24"/>
                <w:szCs w:val="24"/>
              </w:rPr>
              <w:t>72,485,657.17</w:t>
            </w:r>
          </w:p>
        </w:tc>
      </w:tr>
      <w:tr w:rsidR="00984F8C" w:rsidTr="00473CAD">
        <w:trPr>
          <w:jc w:val="center"/>
        </w:trPr>
        <w:tc>
          <w:tcPr>
            <w:tcW w:w="46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left"/>
              <w:rPr>
                <w:color w:val="000000"/>
                <w:sz w:val="24"/>
                <w:szCs w:val="24"/>
              </w:rPr>
            </w:pPr>
            <w:r>
              <w:rPr>
                <w:rFonts w:ascii="宋体" w:hAnsi="宋体" w:hint="eastAsia"/>
                <w:color w:val="000000"/>
                <w:sz w:val="24"/>
                <w:szCs w:val="24"/>
              </w:rPr>
              <w:t>本报告期期间基金拆分变动份额（份额减少以</w:t>
            </w:r>
            <w:r>
              <w:rPr>
                <w:color w:val="000000"/>
              </w:rPr>
              <w:t>“-”</w:t>
            </w:r>
            <w:r>
              <w:rPr>
                <w:rFonts w:ascii="宋体" w:hAnsi="宋体" w:hint="eastAsia"/>
                <w:color w:val="000000"/>
                <w:sz w:val="24"/>
                <w:szCs w:val="24"/>
              </w:rPr>
              <w:t>填列）</w:t>
            </w:r>
          </w:p>
        </w:tc>
        <w:tc>
          <w:tcPr>
            <w:tcW w:w="40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right"/>
              <w:rPr>
                <w:color w:val="000000"/>
                <w:sz w:val="24"/>
                <w:szCs w:val="24"/>
              </w:rPr>
            </w:pPr>
            <w:r>
              <w:rPr>
                <w:color w:val="000000"/>
                <w:sz w:val="24"/>
                <w:szCs w:val="24"/>
              </w:rPr>
              <w:t>-</w:t>
            </w:r>
          </w:p>
        </w:tc>
      </w:tr>
      <w:tr w:rsidR="00984F8C" w:rsidTr="00473CAD">
        <w:trPr>
          <w:jc w:val="center"/>
        </w:trPr>
        <w:tc>
          <w:tcPr>
            <w:tcW w:w="46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left"/>
              <w:rPr>
                <w:color w:val="000000"/>
                <w:sz w:val="24"/>
                <w:szCs w:val="24"/>
              </w:rPr>
            </w:pPr>
            <w:r>
              <w:rPr>
                <w:rFonts w:ascii="宋体" w:hAnsi="宋体" w:hint="eastAsia"/>
                <w:color w:val="000000"/>
                <w:sz w:val="24"/>
                <w:szCs w:val="24"/>
              </w:rPr>
              <w:t>报告期期末基金份额总额</w:t>
            </w:r>
          </w:p>
        </w:tc>
        <w:tc>
          <w:tcPr>
            <w:tcW w:w="40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4F8C" w:rsidRDefault="00984F8C" w:rsidP="00473CAD">
            <w:pPr>
              <w:autoSpaceDE w:val="0"/>
              <w:autoSpaceDN w:val="0"/>
              <w:spacing w:before="29" w:line="288" w:lineRule="auto"/>
              <w:ind w:left="17"/>
              <w:jc w:val="right"/>
              <w:rPr>
                <w:color w:val="000000"/>
                <w:sz w:val="24"/>
                <w:szCs w:val="24"/>
              </w:rPr>
            </w:pPr>
            <w:r>
              <w:rPr>
                <w:color w:val="000000"/>
                <w:sz w:val="24"/>
                <w:szCs w:val="24"/>
              </w:rPr>
              <w:t>301,584,129.02</w:t>
            </w:r>
          </w:p>
        </w:tc>
      </w:tr>
    </w:tbl>
    <w:p w:rsidR="00984F8C" w:rsidRDefault="00984F8C" w:rsidP="00984F8C">
      <w:pPr>
        <w:autoSpaceDE w:val="0"/>
        <w:autoSpaceDN w:val="0"/>
        <w:spacing w:before="29" w:line="288" w:lineRule="auto"/>
        <w:jc w:val="left"/>
        <w:rPr>
          <w:color w:val="000000"/>
          <w:sz w:val="24"/>
          <w:szCs w:val="24"/>
        </w:rPr>
      </w:pPr>
      <w:r>
        <w:rPr>
          <w:rFonts w:ascii="宋体" w:hAnsi="宋体" w:hint="eastAsia"/>
          <w:color w:val="000000"/>
          <w:sz w:val="24"/>
          <w:szCs w:val="24"/>
        </w:rPr>
        <w:t>注：</w:t>
      </w:r>
      <w:r>
        <w:rPr>
          <w:color w:val="000000"/>
          <w:sz w:val="24"/>
          <w:szCs w:val="24"/>
        </w:rPr>
        <w:t xml:space="preserve"> 1</w:t>
      </w:r>
      <w:r>
        <w:rPr>
          <w:rFonts w:ascii="宋体" w:hAnsi="宋体" w:hint="eastAsia"/>
          <w:color w:val="000000"/>
          <w:sz w:val="24"/>
          <w:szCs w:val="24"/>
        </w:rPr>
        <w:t>、如果本报告期间发生转换入、红利再投业务，则总申购份额中包含该业务；</w:t>
      </w:r>
      <w:r>
        <w:rPr>
          <w:color w:val="000000"/>
          <w:sz w:val="24"/>
          <w:szCs w:val="24"/>
        </w:rPr>
        <w:t xml:space="preserve">     </w:t>
      </w:r>
    </w:p>
    <w:p w:rsidR="00984F8C" w:rsidRDefault="00984F8C" w:rsidP="00984F8C">
      <w:pPr>
        <w:autoSpaceDE w:val="0"/>
        <w:autoSpaceDN w:val="0"/>
        <w:spacing w:before="29" w:line="288" w:lineRule="auto"/>
        <w:ind w:firstLine="600"/>
        <w:jc w:val="left"/>
        <w:rPr>
          <w:rFonts w:ascii="Calibri" w:hAnsi="Calibri" w:cs="宋体"/>
          <w:color w:val="000000"/>
          <w:sz w:val="24"/>
          <w:szCs w:val="24"/>
        </w:rPr>
      </w:pPr>
      <w:r>
        <w:rPr>
          <w:color w:val="000000"/>
          <w:sz w:val="24"/>
          <w:szCs w:val="24"/>
        </w:rPr>
        <w:t>2</w:t>
      </w:r>
      <w:r>
        <w:rPr>
          <w:rFonts w:ascii="宋体" w:hAnsi="宋体" w:hint="eastAsia"/>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82887">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8288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94888" w:rsidRDefault="00893D3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、关于申请募集注册交银施罗德新生活力灵活配置混合型证券投资基金的法律意见书；</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94888" w:rsidRDefault="00893D3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494888" w:rsidRDefault="00893D34">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BE1" w:rsidRDefault="00F12BE1" w:rsidP="00876D65">
      <w:r>
        <w:separator/>
      </w:r>
    </w:p>
  </w:endnote>
  <w:endnote w:type="continuationSeparator" w:id="0">
    <w:p w:rsidR="00F12BE1" w:rsidRDefault="00F12BE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AA27E8">
      <w:rPr>
        <w:kern w:val="0"/>
        <w:szCs w:val="21"/>
      </w:rPr>
      <w:fldChar w:fldCharType="begin"/>
    </w:r>
    <w:r>
      <w:rPr>
        <w:kern w:val="0"/>
        <w:szCs w:val="21"/>
      </w:rPr>
      <w:instrText xml:space="preserve"> PAGE </w:instrText>
    </w:r>
    <w:r w:rsidR="00AA27E8">
      <w:rPr>
        <w:kern w:val="0"/>
        <w:szCs w:val="21"/>
      </w:rPr>
      <w:fldChar w:fldCharType="separate"/>
    </w:r>
    <w:r w:rsidR="002D04D4">
      <w:rPr>
        <w:noProof/>
        <w:kern w:val="0"/>
        <w:szCs w:val="21"/>
      </w:rPr>
      <w:t>10</w:t>
    </w:r>
    <w:r w:rsidR="00AA27E8">
      <w:rPr>
        <w:kern w:val="0"/>
        <w:szCs w:val="21"/>
      </w:rPr>
      <w:fldChar w:fldCharType="end"/>
    </w:r>
    <w:r>
      <w:rPr>
        <w:rFonts w:hint="eastAsia"/>
        <w:kern w:val="0"/>
        <w:szCs w:val="21"/>
      </w:rPr>
      <w:t>页共</w:t>
    </w:r>
    <w:r w:rsidR="00AA27E8">
      <w:rPr>
        <w:kern w:val="0"/>
        <w:szCs w:val="21"/>
      </w:rPr>
      <w:fldChar w:fldCharType="begin"/>
    </w:r>
    <w:r>
      <w:rPr>
        <w:kern w:val="0"/>
        <w:szCs w:val="21"/>
      </w:rPr>
      <w:instrText xml:space="preserve"> NUMPAGES </w:instrText>
    </w:r>
    <w:r w:rsidR="00AA27E8">
      <w:rPr>
        <w:kern w:val="0"/>
        <w:szCs w:val="21"/>
      </w:rPr>
      <w:fldChar w:fldCharType="separate"/>
    </w:r>
    <w:r w:rsidR="002D04D4">
      <w:rPr>
        <w:noProof/>
        <w:kern w:val="0"/>
        <w:szCs w:val="21"/>
      </w:rPr>
      <w:t>11</w:t>
    </w:r>
    <w:r w:rsidR="00AA27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BE1" w:rsidRDefault="00F12BE1" w:rsidP="00876D65">
      <w:r>
        <w:separator/>
      </w:r>
    </w:p>
  </w:footnote>
  <w:footnote w:type="continuationSeparator" w:id="0">
    <w:p w:rsidR="00F12BE1" w:rsidRDefault="00F12BE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04D4"/>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888"/>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6E50"/>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2887"/>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3C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E6DB7"/>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3D34"/>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4552"/>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4F8C"/>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27E8"/>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2BE1"/>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77FE6"/>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551D64-475B-495D-AF0E-322EC4EB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C873-15DB-4998-B3EE-0C1D351A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11</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573</cp:revision>
  <dcterms:created xsi:type="dcterms:W3CDTF">2012-10-16T06:07:00Z</dcterms:created>
  <dcterms:modified xsi:type="dcterms:W3CDTF">2017-07-18T10:01:00Z</dcterms:modified>
</cp:coreProperties>
</file>