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proofErr w:type="gramStart"/>
      <w:r w:rsidRPr="005858C2">
        <w:rPr>
          <w:rFonts w:eastAsiaTheme="minorEastAsia"/>
          <w:b/>
          <w:sz w:val="36"/>
          <w:szCs w:val="36"/>
        </w:rPr>
        <w:t>交银施罗</w:t>
      </w:r>
      <w:proofErr w:type="gramEnd"/>
      <w:r w:rsidRPr="005858C2">
        <w:rPr>
          <w:rFonts w:eastAsiaTheme="minorEastAsia"/>
          <w:b/>
          <w:sz w:val="36"/>
          <w:szCs w:val="36"/>
        </w:rPr>
        <w:t>德卓越回报灵活配置混合型证券投资基金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EF0939">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251EB" w:rsidRDefault="0068408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251EB" w:rsidRDefault="00684082">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251EB" w:rsidRDefault="0068408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251EB" w:rsidRDefault="0068408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8251EB" w:rsidRDefault="0068408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EF0939">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交银卓越回报灵活配置混合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2</w:t>
            </w:r>
            <w:r w:rsidRPr="007F52FA">
              <w:rPr>
                <w:color w:val="000000"/>
                <w:kern w:val="0"/>
                <w:sz w:val="24"/>
              </w:rPr>
              <w:t>月</w:t>
            </w:r>
            <w:r w:rsidRPr="007F52FA">
              <w:rPr>
                <w:color w:val="000000"/>
                <w:kern w:val="0"/>
                <w:sz w:val="24"/>
              </w:rPr>
              <w:t>17</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821,501,830.74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本基金充分发挥基金管理人的研究优势，在分析和判断宏观经济周期和金融市场运行趋势的基础上，自上而下灵活调整基金大类资产配置比例，确定债券</w:t>
            </w:r>
            <w:proofErr w:type="gramStart"/>
            <w:r w:rsidRPr="007F52FA">
              <w:rPr>
                <w:color w:val="000000"/>
                <w:kern w:val="0"/>
                <w:sz w:val="24"/>
              </w:rPr>
              <w:t>组合久期和</w:t>
            </w:r>
            <w:proofErr w:type="gramEnd"/>
            <w:r w:rsidRPr="007F52FA">
              <w:rPr>
                <w:color w:val="000000"/>
                <w:kern w:val="0"/>
                <w:sz w:val="24"/>
              </w:rPr>
              <w:t>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w:t>
            </w:r>
            <w:proofErr w:type="gramStart"/>
            <w:r w:rsidRPr="007F52FA">
              <w:rPr>
                <w:color w:val="000000"/>
                <w:kern w:val="0"/>
                <w:sz w:val="24"/>
              </w:rPr>
              <w:t>债综合全价指数</w:t>
            </w:r>
            <w:proofErr w:type="gramEnd"/>
            <w:r w:rsidRPr="007F52FA">
              <w:rPr>
                <w:color w:val="000000"/>
                <w:kern w:val="0"/>
                <w:sz w:val="24"/>
              </w:rPr>
              <w:t>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交银卓越回报灵活配置混合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交银卓越回报灵活配置混合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519764</w:t>
            </w:r>
          </w:p>
        </w:tc>
        <w:tc>
          <w:tcPr>
            <w:tcW w:w="3048" w:type="dxa"/>
            <w:vAlign w:val="center"/>
          </w:tcPr>
          <w:p w:rsidR="00C23B30" w:rsidRPr="000E4C40" w:rsidRDefault="00C23B30" w:rsidP="00A52A9E">
            <w:pPr>
              <w:spacing w:before="29" w:line="288" w:lineRule="auto"/>
              <w:jc w:val="left"/>
              <w:rPr>
                <w:sz w:val="24"/>
              </w:rPr>
            </w:pPr>
            <w:r w:rsidRPr="000E4C40">
              <w:rPr>
                <w:sz w:val="24"/>
              </w:rPr>
              <w:t>519765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571,751,580.99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249,750,249.75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EF0939">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交银卓越回报灵活配置混合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交银卓越回报灵活配置混合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2,936,545.42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994,221.63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17,822,784.51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7,486,562.76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D626BF" w:rsidRPr="007F52FA" w:rsidRDefault="005F293E" w:rsidP="00D626BF">
            <w:pPr>
              <w:adjustRightInd w:val="0"/>
              <w:spacing w:before="29" w:line="288" w:lineRule="auto"/>
              <w:ind w:left="17"/>
              <w:jc w:val="right"/>
              <w:rPr>
                <w:color w:val="000000"/>
                <w:sz w:val="24"/>
              </w:rPr>
            </w:pPr>
            <w:r w:rsidRPr="007F52FA">
              <w:rPr>
                <w:color w:val="000000"/>
                <w:sz w:val="24"/>
              </w:rPr>
              <w:t>0.028</w:t>
            </w:r>
            <w:r w:rsidR="00D626BF">
              <w:rPr>
                <w:rFonts w:hint="eastAsia"/>
                <w:color w:val="000000"/>
                <w:sz w:val="24"/>
              </w:rPr>
              <w:t>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0.0300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601,828,219.31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262,542,047.31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1.051</w:t>
            </w:r>
          </w:p>
        </w:tc>
      </w:tr>
    </w:tbl>
    <w:p w:rsidR="008251EB" w:rsidRDefault="0068408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交银卓越回报灵活配置混合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251EB">
        <w:trPr>
          <w:jc w:val="center"/>
        </w:trPr>
        <w:tc>
          <w:tcPr>
            <w:tcW w:w="1266" w:type="dxa"/>
            <w:vAlign w:val="center"/>
          </w:tcPr>
          <w:p w:rsidR="008251EB" w:rsidRDefault="00684082">
            <w:pPr>
              <w:jc w:val="left"/>
            </w:pPr>
            <w:r>
              <w:rPr>
                <w:color w:val="000000"/>
                <w:sz w:val="24"/>
              </w:rPr>
              <w:lastRenderedPageBreak/>
              <w:t>过去三个月</w:t>
            </w:r>
          </w:p>
        </w:tc>
        <w:tc>
          <w:tcPr>
            <w:tcW w:w="1267" w:type="dxa"/>
            <w:vAlign w:val="center"/>
          </w:tcPr>
          <w:p w:rsidR="008251EB" w:rsidRDefault="00684082">
            <w:pPr>
              <w:jc w:val="center"/>
            </w:pPr>
            <w:r>
              <w:rPr>
                <w:color w:val="000000"/>
                <w:sz w:val="24"/>
              </w:rPr>
              <w:t>3.03%</w:t>
            </w:r>
          </w:p>
        </w:tc>
        <w:tc>
          <w:tcPr>
            <w:tcW w:w="1267" w:type="dxa"/>
            <w:vAlign w:val="center"/>
          </w:tcPr>
          <w:p w:rsidR="008251EB" w:rsidRDefault="00684082">
            <w:pPr>
              <w:jc w:val="center"/>
            </w:pPr>
            <w:r>
              <w:rPr>
                <w:color w:val="000000"/>
                <w:sz w:val="24"/>
              </w:rPr>
              <w:t>0.15%</w:t>
            </w:r>
          </w:p>
        </w:tc>
        <w:tc>
          <w:tcPr>
            <w:tcW w:w="1267" w:type="dxa"/>
            <w:vAlign w:val="center"/>
          </w:tcPr>
          <w:p w:rsidR="008251EB" w:rsidRDefault="00684082">
            <w:pPr>
              <w:jc w:val="center"/>
            </w:pPr>
            <w:r>
              <w:rPr>
                <w:color w:val="000000"/>
                <w:sz w:val="24"/>
              </w:rPr>
              <w:t>2.58%</w:t>
            </w:r>
          </w:p>
        </w:tc>
        <w:tc>
          <w:tcPr>
            <w:tcW w:w="1267" w:type="dxa"/>
            <w:vAlign w:val="center"/>
          </w:tcPr>
          <w:p w:rsidR="008251EB" w:rsidRDefault="00684082">
            <w:pPr>
              <w:jc w:val="center"/>
            </w:pPr>
            <w:r>
              <w:rPr>
                <w:color w:val="000000"/>
                <w:sz w:val="24"/>
              </w:rPr>
              <w:t>0.32%</w:t>
            </w:r>
          </w:p>
        </w:tc>
        <w:tc>
          <w:tcPr>
            <w:tcW w:w="1267" w:type="dxa"/>
            <w:vAlign w:val="center"/>
          </w:tcPr>
          <w:p w:rsidR="008251EB" w:rsidRDefault="00684082">
            <w:pPr>
              <w:jc w:val="center"/>
            </w:pPr>
            <w:r>
              <w:rPr>
                <w:color w:val="000000"/>
                <w:sz w:val="24"/>
              </w:rPr>
              <w:t>0.45%</w:t>
            </w:r>
          </w:p>
        </w:tc>
        <w:tc>
          <w:tcPr>
            <w:tcW w:w="1267" w:type="dxa"/>
            <w:vAlign w:val="center"/>
          </w:tcPr>
          <w:p w:rsidR="008251EB" w:rsidRDefault="00684082">
            <w:pPr>
              <w:jc w:val="center"/>
            </w:pPr>
            <w:r>
              <w:rPr>
                <w:color w:val="000000"/>
                <w:sz w:val="24"/>
              </w:rPr>
              <w:t>-0.17%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交银卓越回报灵活配置混合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251EB">
        <w:trPr>
          <w:jc w:val="center"/>
        </w:trPr>
        <w:tc>
          <w:tcPr>
            <w:tcW w:w="1266" w:type="dxa"/>
            <w:vAlign w:val="center"/>
          </w:tcPr>
          <w:p w:rsidR="008251EB" w:rsidRDefault="00684082">
            <w:pPr>
              <w:jc w:val="left"/>
            </w:pPr>
            <w:r>
              <w:rPr>
                <w:color w:val="000000"/>
                <w:sz w:val="24"/>
              </w:rPr>
              <w:t>过去三个月</w:t>
            </w:r>
          </w:p>
        </w:tc>
        <w:tc>
          <w:tcPr>
            <w:tcW w:w="1267" w:type="dxa"/>
            <w:vAlign w:val="center"/>
          </w:tcPr>
          <w:p w:rsidR="008251EB" w:rsidRDefault="00684082">
            <w:pPr>
              <w:jc w:val="center"/>
            </w:pPr>
            <w:r>
              <w:rPr>
                <w:color w:val="000000"/>
                <w:sz w:val="24"/>
              </w:rPr>
              <w:t>2.94%</w:t>
            </w:r>
          </w:p>
        </w:tc>
        <w:tc>
          <w:tcPr>
            <w:tcW w:w="1267" w:type="dxa"/>
            <w:vAlign w:val="center"/>
          </w:tcPr>
          <w:p w:rsidR="008251EB" w:rsidRDefault="00684082">
            <w:pPr>
              <w:jc w:val="center"/>
            </w:pPr>
            <w:r>
              <w:rPr>
                <w:color w:val="000000"/>
                <w:sz w:val="24"/>
              </w:rPr>
              <w:t>0.15%</w:t>
            </w:r>
          </w:p>
        </w:tc>
        <w:tc>
          <w:tcPr>
            <w:tcW w:w="1267" w:type="dxa"/>
            <w:vAlign w:val="center"/>
          </w:tcPr>
          <w:p w:rsidR="008251EB" w:rsidRDefault="00684082">
            <w:pPr>
              <w:jc w:val="center"/>
            </w:pPr>
            <w:r>
              <w:rPr>
                <w:color w:val="000000"/>
                <w:sz w:val="24"/>
              </w:rPr>
              <w:t>2.58%</w:t>
            </w:r>
          </w:p>
        </w:tc>
        <w:tc>
          <w:tcPr>
            <w:tcW w:w="1267" w:type="dxa"/>
            <w:vAlign w:val="center"/>
          </w:tcPr>
          <w:p w:rsidR="008251EB" w:rsidRDefault="00684082">
            <w:pPr>
              <w:jc w:val="center"/>
            </w:pPr>
            <w:r>
              <w:rPr>
                <w:color w:val="000000"/>
                <w:sz w:val="24"/>
              </w:rPr>
              <w:t>0.32%</w:t>
            </w:r>
          </w:p>
        </w:tc>
        <w:tc>
          <w:tcPr>
            <w:tcW w:w="1267" w:type="dxa"/>
            <w:vAlign w:val="center"/>
          </w:tcPr>
          <w:p w:rsidR="008251EB" w:rsidRDefault="00684082">
            <w:pPr>
              <w:jc w:val="center"/>
            </w:pPr>
            <w:r>
              <w:rPr>
                <w:color w:val="000000"/>
                <w:sz w:val="24"/>
              </w:rPr>
              <w:t>0.36%</w:t>
            </w:r>
          </w:p>
        </w:tc>
        <w:tc>
          <w:tcPr>
            <w:tcW w:w="1267" w:type="dxa"/>
            <w:vAlign w:val="center"/>
          </w:tcPr>
          <w:p w:rsidR="008251EB" w:rsidRDefault="00684082">
            <w:pPr>
              <w:jc w:val="center"/>
            </w:pPr>
            <w:r>
              <w:rPr>
                <w:color w:val="000000"/>
                <w:sz w:val="24"/>
              </w:rPr>
              <w:t>-0.17%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交银施罗德卓越回报灵活配置混合型证券投资基金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2</w:t>
      </w:r>
      <w:r w:rsidR="00D04410" w:rsidRPr="007F52FA">
        <w:rPr>
          <w:rFonts w:ascii="Times New Roman" w:hAnsi="Times New Roman"/>
          <w:sz w:val="24"/>
          <w:szCs w:val="24"/>
        </w:rPr>
        <w:t>月</w:t>
      </w:r>
      <w:r w:rsidR="00D04410" w:rsidRPr="007F52FA">
        <w:rPr>
          <w:rFonts w:ascii="Times New Roman" w:hAnsi="Times New Roman"/>
          <w:sz w:val="24"/>
          <w:szCs w:val="24"/>
        </w:rPr>
        <w:t>17</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交银卓越回报灵活配置混合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w:t>
      </w:r>
      <w:r w:rsidR="00265CFF" w:rsidRPr="00265CFF">
        <w:rPr>
          <w:rFonts w:hint="eastAsia"/>
          <w:color w:val="000000"/>
          <w:sz w:val="24"/>
        </w:rPr>
        <w:t>图示日期为</w:t>
      </w:r>
      <w:r w:rsidR="00265CFF" w:rsidRPr="00265CFF">
        <w:rPr>
          <w:rFonts w:hint="eastAsia"/>
          <w:color w:val="000000"/>
          <w:sz w:val="24"/>
        </w:rPr>
        <w:t>2016</w:t>
      </w:r>
      <w:r w:rsidR="00265CFF" w:rsidRPr="00265CFF">
        <w:rPr>
          <w:rFonts w:hint="eastAsia"/>
          <w:color w:val="000000"/>
          <w:sz w:val="24"/>
        </w:rPr>
        <w:t>年</w:t>
      </w:r>
      <w:r w:rsidR="00265CFF" w:rsidRPr="00265CFF">
        <w:rPr>
          <w:rFonts w:hint="eastAsia"/>
          <w:color w:val="000000"/>
          <w:sz w:val="24"/>
        </w:rPr>
        <w:t>2</w:t>
      </w:r>
      <w:r w:rsidR="00265CFF" w:rsidRPr="00265CFF">
        <w:rPr>
          <w:rFonts w:hint="eastAsia"/>
          <w:color w:val="000000"/>
          <w:sz w:val="24"/>
        </w:rPr>
        <w:t>月</w:t>
      </w:r>
      <w:r w:rsidR="00265CFF" w:rsidRPr="00265CFF">
        <w:rPr>
          <w:rFonts w:hint="eastAsia"/>
          <w:color w:val="000000"/>
          <w:sz w:val="24"/>
        </w:rPr>
        <w:t>17</w:t>
      </w:r>
      <w:r w:rsidR="00265CFF" w:rsidRPr="00265CFF">
        <w:rPr>
          <w:rFonts w:hint="eastAsia"/>
          <w:color w:val="000000"/>
          <w:sz w:val="24"/>
        </w:rPr>
        <w:t>日至</w:t>
      </w:r>
      <w:r w:rsidR="00265CFF" w:rsidRPr="00265CFF">
        <w:rPr>
          <w:rFonts w:hint="eastAsia"/>
          <w:color w:val="000000"/>
          <w:sz w:val="24"/>
        </w:rPr>
        <w:t>2017</w:t>
      </w:r>
      <w:r w:rsidR="00265CFF" w:rsidRPr="00265CFF">
        <w:rPr>
          <w:rFonts w:hint="eastAsia"/>
          <w:color w:val="000000"/>
          <w:sz w:val="24"/>
        </w:rPr>
        <w:t>年</w:t>
      </w:r>
      <w:r w:rsidR="00265CFF" w:rsidRPr="00265CFF">
        <w:rPr>
          <w:rFonts w:hint="eastAsia"/>
          <w:color w:val="000000"/>
          <w:sz w:val="24"/>
        </w:rPr>
        <w:t>6</w:t>
      </w:r>
      <w:r w:rsidR="00265CFF" w:rsidRPr="00265CFF">
        <w:rPr>
          <w:rFonts w:hint="eastAsia"/>
          <w:color w:val="000000"/>
          <w:sz w:val="24"/>
        </w:rPr>
        <w:t>月</w:t>
      </w:r>
      <w:r w:rsidR="00265CFF" w:rsidRPr="00265CFF">
        <w:rPr>
          <w:rFonts w:hint="eastAsia"/>
          <w:color w:val="000000"/>
          <w:sz w:val="24"/>
        </w:rPr>
        <w:t>30</w:t>
      </w:r>
      <w:r w:rsidR="00265CFF" w:rsidRPr="00265CFF">
        <w:rPr>
          <w:rFonts w:hint="eastAsia"/>
          <w:color w:val="000000"/>
          <w:sz w:val="24"/>
        </w:rPr>
        <w:t>日</w:t>
      </w:r>
      <w:r w:rsidRPr="007F52FA">
        <w:rPr>
          <w:color w:val="000000"/>
          <w:sz w:val="24"/>
        </w:rPr>
        <w:t>。本基金基金合同生效日为</w:t>
      </w:r>
      <w:r w:rsidRPr="007F52FA">
        <w:rPr>
          <w:color w:val="000000"/>
          <w:sz w:val="24"/>
        </w:rPr>
        <w:t>2016</w:t>
      </w:r>
      <w:r w:rsidRPr="007F52FA">
        <w:rPr>
          <w:color w:val="000000"/>
          <w:sz w:val="24"/>
        </w:rPr>
        <w:t>年</w:t>
      </w:r>
      <w:r w:rsidRPr="007F52FA">
        <w:rPr>
          <w:color w:val="000000"/>
          <w:sz w:val="24"/>
        </w:rPr>
        <w:t>2</w:t>
      </w:r>
      <w:r w:rsidRPr="007F52FA">
        <w:rPr>
          <w:color w:val="000000"/>
          <w:sz w:val="24"/>
        </w:rPr>
        <w:t>月</w:t>
      </w:r>
      <w:r w:rsidRPr="007F52FA">
        <w:rPr>
          <w:color w:val="000000"/>
          <w:sz w:val="24"/>
        </w:rPr>
        <w:t>17</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交银卓越回报灵活配置混合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27</w:t>
      </w:r>
      <w:r w:rsidRPr="007F52FA">
        <w:rPr>
          <w:color w:val="000000"/>
          <w:sz w:val="24"/>
        </w:rPr>
        <w:t>日起增加</w:t>
      </w:r>
      <w:r w:rsidRPr="007F52FA">
        <w:rPr>
          <w:color w:val="000000"/>
          <w:sz w:val="24"/>
        </w:rPr>
        <w:t>C</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EF093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251EB">
        <w:trPr>
          <w:jc w:val="center"/>
        </w:trPr>
        <w:tc>
          <w:tcPr>
            <w:tcW w:w="946" w:type="dxa"/>
            <w:vAlign w:val="center"/>
          </w:tcPr>
          <w:p w:rsidR="008251EB" w:rsidRDefault="00684082">
            <w:pPr>
              <w:jc w:val="center"/>
            </w:pPr>
            <w:r>
              <w:rPr>
                <w:color w:val="000000"/>
                <w:sz w:val="24"/>
              </w:rPr>
              <w:t>李娜</w:t>
            </w:r>
          </w:p>
        </w:tc>
        <w:tc>
          <w:tcPr>
            <w:tcW w:w="924" w:type="dxa"/>
            <w:vAlign w:val="center"/>
          </w:tcPr>
          <w:p w:rsidR="008251EB" w:rsidRDefault="00684082">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202" w:type="dxa"/>
            <w:vAlign w:val="center"/>
          </w:tcPr>
          <w:p w:rsidR="008251EB" w:rsidRDefault="00684082">
            <w:pPr>
              <w:jc w:val="center"/>
            </w:pPr>
            <w:r>
              <w:rPr>
                <w:color w:val="000000"/>
                <w:sz w:val="24"/>
              </w:rPr>
              <w:t>2016-02-17</w:t>
            </w:r>
          </w:p>
        </w:tc>
        <w:tc>
          <w:tcPr>
            <w:tcW w:w="1300" w:type="dxa"/>
            <w:vAlign w:val="center"/>
          </w:tcPr>
          <w:p w:rsidR="008251EB" w:rsidRDefault="00684082">
            <w:pPr>
              <w:jc w:val="center"/>
            </w:pPr>
            <w:r>
              <w:rPr>
                <w:color w:val="000000"/>
                <w:sz w:val="24"/>
              </w:rPr>
              <w:t>-</w:t>
            </w:r>
          </w:p>
        </w:tc>
        <w:tc>
          <w:tcPr>
            <w:tcW w:w="1245" w:type="dxa"/>
            <w:vAlign w:val="center"/>
          </w:tcPr>
          <w:p w:rsidR="008251EB" w:rsidRDefault="00684082">
            <w:pPr>
              <w:jc w:val="center"/>
            </w:pPr>
            <w:r>
              <w:rPr>
                <w:color w:val="000000"/>
                <w:sz w:val="24"/>
              </w:rPr>
              <w:t>7</w:t>
            </w:r>
            <w:r>
              <w:rPr>
                <w:color w:val="000000"/>
                <w:sz w:val="24"/>
              </w:rPr>
              <w:t>年</w:t>
            </w:r>
          </w:p>
        </w:tc>
        <w:tc>
          <w:tcPr>
            <w:tcW w:w="3251" w:type="dxa"/>
            <w:vAlign w:val="center"/>
          </w:tcPr>
          <w:p w:rsidR="008251EB" w:rsidRDefault="00684082">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8251EB" w:rsidRDefault="0068408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251EB" w:rsidRDefault="0068408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251EB" w:rsidRDefault="0068408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8251EB" w:rsidRDefault="00684082">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rFonts w:hint="eastAsia"/>
          <w:color w:val="000000"/>
          <w:kern w:val="0"/>
          <w:sz w:val="24"/>
        </w:rPr>
      </w:pPr>
      <w:bookmarkStart w:id="0" w:name="_GoBack"/>
      <w:bookmarkEnd w:id="0"/>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251EB" w:rsidRDefault="00684082">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保持稳健中性，银行间流动性呈现结构性分层并阶段性波动的特征，整体资金中枢明显上移。股票市场受流动性边际变化影响，呈现分化下行走势后企稳反弹，同期债券收益率上行后震荡小幅下行，其中金融防风险监管加强、流动性边际紧张、经济金融数据好于预期、美联储紧缩预期等因素成为债券市场收益率继续调整的推动力。报告期内，上证综指和创业板指分别下跌</w:t>
      </w:r>
      <w:r>
        <w:rPr>
          <w:color w:val="000000"/>
          <w:sz w:val="24"/>
        </w:rPr>
        <w:t>0.93%</w:t>
      </w:r>
      <w:r>
        <w:rPr>
          <w:color w:val="000000"/>
          <w:sz w:val="24"/>
        </w:rPr>
        <w:t>和</w:t>
      </w:r>
      <w:r>
        <w:rPr>
          <w:color w:val="000000"/>
          <w:sz w:val="24"/>
        </w:rPr>
        <w:t>4.68%</w:t>
      </w:r>
      <w:r>
        <w:rPr>
          <w:color w:val="000000"/>
          <w:sz w:val="24"/>
        </w:rPr>
        <w:t>，</w:t>
      </w:r>
      <w:r>
        <w:rPr>
          <w:color w:val="000000"/>
          <w:sz w:val="24"/>
        </w:rPr>
        <w:t>10</w:t>
      </w:r>
      <w:r>
        <w:rPr>
          <w:color w:val="000000"/>
          <w:sz w:val="24"/>
        </w:rPr>
        <w:t>年期国债收益率上行</w:t>
      </w:r>
      <w:r>
        <w:rPr>
          <w:color w:val="000000"/>
          <w:sz w:val="24"/>
        </w:rPr>
        <w:t>29bp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14bp</w:t>
      </w:r>
      <w:r>
        <w:rPr>
          <w:color w:val="000000"/>
          <w:sz w:val="24"/>
        </w:rPr>
        <w:t>至</w:t>
      </w:r>
      <w:r>
        <w:rPr>
          <w:color w:val="000000"/>
          <w:sz w:val="24"/>
        </w:rPr>
        <w:t>4.20%</w:t>
      </w:r>
      <w:r>
        <w:rPr>
          <w:color w:val="000000"/>
          <w:sz w:val="24"/>
        </w:rPr>
        <w:t>。</w:t>
      </w:r>
    </w:p>
    <w:p w:rsidR="008251EB" w:rsidRDefault="00684082">
      <w:pPr>
        <w:spacing w:before="29" w:line="288" w:lineRule="auto"/>
        <w:ind w:firstLineChars="200" w:firstLine="480"/>
        <w:rPr>
          <w:color w:val="000000"/>
          <w:sz w:val="24"/>
        </w:rPr>
      </w:pPr>
      <w:r>
        <w:rPr>
          <w:color w:val="000000"/>
          <w:sz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展望三季度，基本面前高后低的普遍预期下，经济增长实际具备一定韧性，</w:t>
      </w:r>
      <w:r w:rsidRPr="007F52FA">
        <w:rPr>
          <w:color w:val="000000"/>
          <w:sz w:val="24"/>
        </w:rPr>
        <w:t>CPI</w:t>
      </w:r>
      <w:r w:rsidRPr="007F52FA">
        <w:rPr>
          <w:color w:val="000000"/>
          <w:sz w:val="24"/>
        </w:rPr>
        <w:t>尚不具备大幅上行的风险，基本面对债市驱动力的增强可能仍然需要等待，利率或继续处于震荡格局之中，但已具备一定配置价值。密切观察地产产业链、国际油价变动、流动性边际变化、金融防风险监管政策逐步落地、美联储缩表进程开启等因素。股票方面，力争继续保持稳健、审慎，积极关注一级市场动态。债券方面，保持流动性的前提下积极关注交易窗口，把握适中久期，同时特别重视信用风险。</w:t>
      </w:r>
      <w:r w:rsidRPr="007F52FA">
        <w:rPr>
          <w:color w:val="000000"/>
          <w:sz w:val="24"/>
        </w:rPr>
        <w:t xml:space="preserve">  </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684082" w:rsidP="004C6D98">
      <w:pPr>
        <w:spacing w:before="29" w:line="288" w:lineRule="auto"/>
        <w:ind w:firstLineChars="200" w:firstLine="480"/>
        <w:rPr>
          <w:color w:val="000000"/>
          <w:sz w:val="24"/>
        </w:rPr>
      </w:pPr>
      <w:r>
        <w:rPr>
          <w:color w:val="000000"/>
          <w:sz w:val="24"/>
        </w:rPr>
        <w:t>截至</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日，交银卓越回报</w:t>
      </w:r>
      <w:r>
        <w:rPr>
          <w:color w:val="000000"/>
          <w:sz w:val="24"/>
        </w:rPr>
        <w:t>A</w:t>
      </w:r>
      <w:r>
        <w:rPr>
          <w:color w:val="000000"/>
          <w:sz w:val="24"/>
        </w:rPr>
        <w:t>份额净值为</w:t>
      </w:r>
      <w:r>
        <w:rPr>
          <w:color w:val="000000"/>
          <w:sz w:val="24"/>
        </w:rPr>
        <w:t>1.053</w:t>
      </w:r>
      <w:r>
        <w:rPr>
          <w:color w:val="000000"/>
          <w:sz w:val="24"/>
        </w:rPr>
        <w:t>元，本报告期份额净值增长率为</w:t>
      </w:r>
      <w:r>
        <w:rPr>
          <w:color w:val="000000"/>
          <w:sz w:val="24"/>
        </w:rPr>
        <w:t>3.03%</w:t>
      </w:r>
      <w:r>
        <w:rPr>
          <w:color w:val="000000"/>
          <w:sz w:val="24"/>
        </w:rPr>
        <w:t>，同期业绩比较基准增长率为</w:t>
      </w:r>
      <w:r>
        <w:rPr>
          <w:color w:val="000000"/>
          <w:sz w:val="24"/>
        </w:rPr>
        <w:t>2.58%</w:t>
      </w:r>
      <w:r w:rsidR="00323F25" w:rsidRPr="007F52FA">
        <w:rPr>
          <w:color w:val="000000"/>
          <w:sz w:val="24"/>
        </w:rPr>
        <w:t>；交银卓越回报</w:t>
      </w:r>
      <w:r w:rsidR="00323F25" w:rsidRPr="007F52FA">
        <w:rPr>
          <w:color w:val="000000"/>
          <w:sz w:val="24"/>
        </w:rPr>
        <w:t>C</w:t>
      </w:r>
      <w:r w:rsidR="00323F25" w:rsidRPr="007F52FA">
        <w:rPr>
          <w:color w:val="000000"/>
          <w:sz w:val="24"/>
        </w:rPr>
        <w:t>份额净值为</w:t>
      </w:r>
      <w:r w:rsidR="00323F25" w:rsidRPr="007F52FA">
        <w:rPr>
          <w:color w:val="000000"/>
          <w:sz w:val="24"/>
        </w:rPr>
        <w:t>1.051</w:t>
      </w:r>
      <w:r w:rsidR="00323F25" w:rsidRPr="007F52FA">
        <w:rPr>
          <w:color w:val="000000"/>
          <w:sz w:val="24"/>
        </w:rPr>
        <w:t>元，本报告期份额净值增长率为</w:t>
      </w:r>
      <w:r w:rsidR="00323F25" w:rsidRPr="007F52FA">
        <w:rPr>
          <w:color w:val="000000"/>
          <w:sz w:val="24"/>
        </w:rPr>
        <w:t>2.94%</w:t>
      </w:r>
      <w:r w:rsidR="00323F25" w:rsidRPr="007F52FA">
        <w:rPr>
          <w:color w:val="000000"/>
          <w:sz w:val="24"/>
        </w:rPr>
        <w:t>，同期业绩比较基准增长率为</w:t>
      </w:r>
      <w:r w:rsidR="00323F25" w:rsidRPr="007F52FA">
        <w:rPr>
          <w:color w:val="000000"/>
          <w:sz w:val="24"/>
        </w:rPr>
        <w:t>2.58%</w:t>
      </w:r>
      <w:r w:rsidR="00323F25"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EF0939">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124,509,612.05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14.39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124,509,612.05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14.39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717,962,227.10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82.96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717,962,227.10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82.96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2,550,701.05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0.29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10,428,859.79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1.21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865,451,399.99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81,926,073.59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9.48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4,037,000.00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1,685,898.84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3,976,000.00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684082" w:rsidP="007C14DF">
            <w:pPr>
              <w:spacing w:before="29" w:line="288" w:lineRule="auto"/>
              <w:jc w:val="right"/>
              <w:rPr>
                <w:sz w:val="24"/>
              </w:rPr>
            </w:pPr>
            <w:r w:rsidRPr="00684082">
              <w:rPr>
                <w:sz w:val="24"/>
              </w:rPr>
              <w:t>7</w:t>
            </w:r>
            <w:r>
              <w:rPr>
                <w:rFonts w:hint="eastAsia"/>
                <w:sz w:val="24"/>
              </w:rPr>
              <w:t>,</w:t>
            </w:r>
            <w:r w:rsidRPr="00684082">
              <w:rPr>
                <w:sz w:val="24"/>
              </w:rPr>
              <w:t>639.62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684082" w:rsidP="00684082">
            <w:pPr>
              <w:spacing w:before="29" w:line="288" w:lineRule="auto"/>
              <w:jc w:val="right"/>
              <w:rPr>
                <w:sz w:val="24"/>
              </w:rPr>
            </w:pPr>
            <w:r w:rsidRPr="00684082">
              <w:rPr>
                <w:sz w:val="24"/>
              </w:rPr>
              <w:t>0.00</w:t>
            </w:r>
            <w:r w:rsidR="005F458B"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32,877,000.00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3.80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124,509,612.05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14.40</w:t>
            </w:r>
          </w:p>
        </w:tc>
      </w:tr>
    </w:tbl>
    <w:p w:rsidR="000D0C42" w:rsidRDefault="000D0C42"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8251EB">
        <w:trPr>
          <w:jc w:val="center"/>
        </w:trPr>
        <w:tc>
          <w:tcPr>
            <w:tcW w:w="850" w:type="dxa"/>
            <w:vAlign w:val="center"/>
          </w:tcPr>
          <w:p w:rsidR="008251EB" w:rsidRDefault="00684082">
            <w:pPr>
              <w:jc w:val="center"/>
            </w:pPr>
            <w:r>
              <w:rPr>
                <w:color w:val="000000"/>
                <w:sz w:val="24"/>
              </w:rPr>
              <w:t>1</w:t>
            </w:r>
          </w:p>
        </w:tc>
        <w:tc>
          <w:tcPr>
            <w:tcW w:w="1327" w:type="dxa"/>
            <w:vAlign w:val="center"/>
          </w:tcPr>
          <w:p w:rsidR="008251EB" w:rsidRDefault="00684082">
            <w:pPr>
              <w:jc w:val="center"/>
            </w:pPr>
            <w:r>
              <w:rPr>
                <w:color w:val="000000"/>
                <w:sz w:val="24"/>
              </w:rPr>
              <w:t>000858</w:t>
            </w:r>
          </w:p>
        </w:tc>
        <w:tc>
          <w:tcPr>
            <w:tcW w:w="1769" w:type="dxa"/>
            <w:vAlign w:val="center"/>
          </w:tcPr>
          <w:p w:rsidR="008251EB" w:rsidRDefault="0068408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8251EB" w:rsidRDefault="00684082">
            <w:pPr>
              <w:jc w:val="right"/>
            </w:pPr>
            <w:r>
              <w:rPr>
                <w:color w:val="000000"/>
                <w:sz w:val="24"/>
              </w:rPr>
              <w:t>200,000</w:t>
            </w:r>
          </w:p>
        </w:tc>
        <w:tc>
          <w:tcPr>
            <w:tcW w:w="1915" w:type="dxa"/>
            <w:vAlign w:val="center"/>
          </w:tcPr>
          <w:p w:rsidR="008251EB" w:rsidRDefault="00684082">
            <w:pPr>
              <w:jc w:val="right"/>
            </w:pPr>
            <w:r>
              <w:rPr>
                <w:color w:val="000000"/>
                <w:sz w:val="24"/>
              </w:rPr>
              <w:t>11,132,000.00</w:t>
            </w:r>
          </w:p>
        </w:tc>
        <w:tc>
          <w:tcPr>
            <w:tcW w:w="1680" w:type="dxa"/>
            <w:vAlign w:val="center"/>
          </w:tcPr>
          <w:p w:rsidR="008251EB" w:rsidRDefault="00684082">
            <w:pPr>
              <w:jc w:val="right"/>
            </w:pPr>
            <w:r>
              <w:rPr>
                <w:color w:val="000000"/>
                <w:sz w:val="24"/>
              </w:rPr>
              <w:t>1.29</w:t>
            </w:r>
          </w:p>
        </w:tc>
      </w:tr>
      <w:tr w:rsidR="008251EB">
        <w:trPr>
          <w:jc w:val="center"/>
        </w:trPr>
        <w:tc>
          <w:tcPr>
            <w:tcW w:w="850" w:type="dxa"/>
            <w:vAlign w:val="center"/>
          </w:tcPr>
          <w:p w:rsidR="008251EB" w:rsidRDefault="00684082">
            <w:pPr>
              <w:jc w:val="center"/>
            </w:pPr>
            <w:r>
              <w:rPr>
                <w:color w:val="000000"/>
                <w:sz w:val="24"/>
              </w:rPr>
              <w:t>2</w:t>
            </w:r>
          </w:p>
        </w:tc>
        <w:tc>
          <w:tcPr>
            <w:tcW w:w="1327" w:type="dxa"/>
            <w:vAlign w:val="center"/>
          </w:tcPr>
          <w:p w:rsidR="008251EB" w:rsidRDefault="00684082">
            <w:pPr>
              <w:jc w:val="center"/>
            </w:pPr>
            <w:r>
              <w:rPr>
                <w:color w:val="000000"/>
                <w:sz w:val="24"/>
              </w:rPr>
              <w:t>601398</w:t>
            </w:r>
          </w:p>
        </w:tc>
        <w:tc>
          <w:tcPr>
            <w:tcW w:w="1769" w:type="dxa"/>
            <w:vAlign w:val="center"/>
          </w:tcPr>
          <w:p w:rsidR="008251EB" w:rsidRDefault="00684082">
            <w:pPr>
              <w:jc w:val="center"/>
            </w:pPr>
            <w:r>
              <w:rPr>
                <w:color w:val="000000"/>
                <w:sz w:val="24"/>
              </w:rPr>
              <w:t>工商银行</w:t>
            </w:r>
          </w:p>
        </w:tc>
        <w:tc>
          <w:tcPr>
            <w:tcW w:w="1327" w:type="dxa"/>
            <w:vAlign w:val="center"/>
          </w:tcPr>
          <w:p w:rsidR="008251EB" w:rsidRDefault="00684082">
            <w:pPr>
              <w:jc w:val="right"/>
            </w:pPr>
            <w:r>
              <w:rPr>
                <w:color w:val="000000"/>
                <w:sz w:val="24"/>
              </w:rPr>
              <w:t>1,800,000</w:t>
            </w:r>
          </w:p>
        </w:tc>
        <w:tc>
          <w:tcPr>
            <w:tcW w:w="1915" w:type="dxa"/>
            <w:vAlign w:val="center"/>
          </w:tcPr>
          <w:p w:rsidR="008251EB" w:rsidRDefault="00684082">
            <w:pPr>
              <w:jc w:val="right"/>
            </w:pPr>
            <w:r>
              <w:rPr>
                <w:color w:val="000000"/>
                <w:sz w:val="24"/>
              </w:rPr>
              <w:t>9,450,000.00</w:t>
            </w:r>
          </w:p>
        </w:tc>
        <w:tc>
          <w:tcPr>
            <w:tcW w:w="1680" w:type="dxa"/>
            <w:vAlign w:val="center"/>
          </w:tcPr>
          <w:p w:rsidR="008251EB" w:rsidRDefault="00684082">
            <w:pPr>
              <w:jc w:val="right"/>
            </w:pPr>
            <w:r>
              <w:rPr>
                <w:color w:val="000000"/>
                <w:sz w:val="24"/>
              </w:rPr>
              <w:t>1.09</w:t>
            </w:r>
          </w:p>
        </w:tc>
      </w:tr>
      <w:tr w:rsidR="008251EB">
        <w:trPr>
          <w:jc w:val="center"/>
        </w:trPr>
        <w:tc>
          <w:tcPr>
            <w:tcW w:w="850" w:type="dxa"/>
            <w:vAlign w:val="center"/>
          </w:tcPr>
          <w:p w:rsidR="008251EB" w:rsidRDefault="00684082">
            <w:pPr>
              <w:jc w:val="center"/>
            </w:pPr>
            <w:r>
              <w:rPr>
                <w:color w:val="000000"/>
                <w:sz w:val="24"/>
              </w:rPr>
              <w:t>3</w:t>
            </w:r>
          </w:p>
        </w:tc>
        <w:tc>
          <w:tcPr>
            <w:tcW w:w="1327" w:type="dxa"/>
            <w:vAlign w:val="center"/>
          </w:tcPr>
          <w:p w:rsidR="008251EB" w:rsidRDefault="00684082">
            <w:pPr>
              <w:jc w:val="center"/>
            </w:pPr>
            <w:r>
              <w:rPr>
                <w:color w:val="000000"/>
                <w:sz w:val="24"/>
              </w:rPr>
              <w:t>000423</w:t>
            </w:r>
          </w:p>
        </w:tc>
        <w:tc>
          <w:tcPr>
            <w:tcW w:w="1769" w:type="dxa"/>
            <w:vAlign w:val="center"/>
          </w:tcPr>
          <w:p w:rsidR="008251EB" w:rsidRDefault="00684082">
            <w:pPr>
              <w:jc w:val="center"/>
            </w:pPr>
            <w:r>
              <w:rPr>
                <w:color w:val="000000"/>
                <w:sz w:val="24"/>
              </w:rPr>
              <w:t>东阿阿胶</w:t>
            </w:r>
          </w:p>
        </w:tc>
        <w:tc>
          <w:tcPr>
            <w:tcW w:w="1327" w:type="dxa"/>
            <w:vAlign w:val="center"/>
          </w:tcPr>
          <w:p w:rsidR="008251EB" w:rsidRDefault="00684082">
            <w:pPr>
              <w:jc w:val="right"/>
            </w:pPr>
            <w:r>
              <w:rPr>
                <w:color w:val="000000"/>
                <w:sz w:val="24"/>
              </w:rPr>
              <w:t>120,000</w:t>
            </w:r>
          </w:p>
        </w:tc>
        <w:tc>
          <w:tcPr>
            <w:tcW w:w="1915" w:type="dxa"/>
            <w:vAlign w:val="center"/>
          </w:tcPr>
          <w:p w:rsidR="008251EB" w:rsidRDefault="00684082">
            <w:pPr>
              <w:jc w:val="right"/>
            </w:pPr>
            <w:r>
              <w:rPr>
                <w:color w:val="000000"/>
                <w:sz w:val="24"/>
              </w:rPr>
              <w:t>8,626,800.00</w:t>
            </w:r>
          </w:p>
        </w:tc>
        <w:tc>
          <w:tcPr>
            <w:tcW w:w="1680" w:type="dxa"/>
            <w:vAlign w:val="center"/>
          </w:tcPr>
          <w:p w:rsidR="008251EB" w:rsidRDefault="00684082">
            <w:pPr>
              <w:jc w:val="right"/>
            </w:pPr>
            <w:r>
              <w:rPr>
                <w:color w:val="000000"/>
                <w:sz w:val="24"/>
              </w:rPr>
              <w:t>1.00</w:t>
            </w:r>
          </w:p>
        </w:tc>
      </w:tr>
      <w:tr w:rsidR="008251EB">
        <w:trPr>
          <w:jc w:val="center"/>
        </w:trPr>
        <w:tc>
          <w:tcPr>
            <w:tcW w:w="850" w:type="dxa"/>
            <w:vAlign w:val="center"/>
          </w:tcPr>
          <w:p w:rsidR="008251EB" w:rsidRDefault="00684082">
            <w:pPr>
              <w:jc w:val="center"/>
            </w:pPr>
            <w:r>
              <w:rPr>
                <w:color w:val="000000"/>
                <w:sz w:val="24"/>
              </w:rPr>
              <w:t>4</w:t>
            </w:r>
          </w:p>
        </w:tc>
        <w:tc>
          <w:tcPr>
            <w:tcW w:w="1327" w:type="dxa"/>
            <w:vAlign w:val="center"/>
          </w:tcPr>
          <w:p w:rsidR="008251EB" w:rsidRDefault="00684082">
            <w:pPr>
              <w:jc w:val="center"/>
            </w:pPr>
            <w:r>
              <w:rPr>
                <w:color w:val="000000"/>
                <w:sz w:val="24"/>
              </w:rPr>
              <w:t>000001</w:t>
            </w:r>
          </w:p>
        </w:tc>
        <w:tc>
          <w:tcPr>
            <w:tcW w:w="1769" w:type="dxa"/>
            <w:vAlign w:val="center"/>
          </w:tcPr>
          <w:p w:rsidR="008251EB" w:rsidRDefault="00684082">
            <w:pPr>
              <w:jc w:val="center"/>
            </w:pPr>
            <w:r>
              <w:rPr>
                <w:color w:val="000000"/>
                <w:sz w:val="24"/>
              </w:rPr>
              <w:t>平安银行</w:t>
            </w:r>
          </w:p>
        </w:tc>
        <w:tc>
          <w:tcPr>
            <w:tcW w:w="1327" w:type="dxa"/>
            <w:vAlign w:val="center"/>
          </w:tcPr>
          <w:p w:rsidR="008251EB" w:rsidRDefault="00684082">
            <w:pPr>
              <w:jc w:val="right"/>
            </w:pPr>
            <w:r>
              <w:rPr>
                <w:color w:val="000000"/>
                <w:sz w:val="24"/>
              </w:rPr>
              <w:t>900,000</w:t>
            </w:r>
          </w:p>
        </w:tc>
        <w:tc>
          <w:tcPr>
            <w:tcW w:w="1915" w:type="dxa"/>
            <w:vAlign w:val="center"/>
          </w:tcPr>
          <w:p w:rsidR="008251EB" w:rsidRDefault="00684082">
            <w:pPr>
              <w:jc w:val="right"/>
            </w:pPr>
            <w:r>
              <w:rPr>
                <w:color w:val="000000"/>
                <w:sz w:val="24"/>
              </w:rPr>
              <w:t>8,451,000.00</w:t>
            </w:r>
          </w:p>
        </w:tc>
        <w:tc>
          <w:tcPr>
            <w:tcW w:w="1680" w:type="dxa"/>
            <w:vAlign w:val="center"/>
          </w:tcPr>
          <w:p w:rsidR="008251EB" w:rsidRDefault="00684082">
            <w:pPr>
              <w:jc w:val="right"/>
            </w:pPr>
            <w:r>
              <w:rPr>
                <w:color w:val="000000"/>
                <w:sz w:val="24"/>
              </w:rPr>
              <w:t>0.98</w:t>
            </w:r>
          </w:p>
        </w:tc>
      </w:tr>
      <w:tr w:rsidR="008251EB">
        <w:trPr>
          <w:jc w:val="center"/>
        </w:trPr>
        <w:tc>
          <w:tcPr>
            <w:tcW w:w="850" w:type="dxa"/>
            <w:vAlign w:val="center"/>
          </w:tcPr>
          <w:p w:rsidR="008251EB" w:rsidRDefault="00684082">
            <w:pPr>
              <w:jc w:val="center"/>
            </w:pPr>
            <w:r>
              <w:rPr>
                <w:color w:val="000000"/>
                <w:sz w:val="24"/>
              </w:rPr>
              <w:t>5</w:t>
            </w:r>
          </w:p>
        </w:tc>
        <w:tc>
          <w:tcPr>
            <w:tcW w:w="1327" w:type="dxa"/>
            <w:vAlign w:val="center"/>
          </w:tcPr>
          <w:p w:rsidR="008251EB" w:rsidRDefault="00684082">
            <w:pPr>
              <w:jc w:val="center"/>
            </w:pPr>
            <w:r>
              <w:rPr>
                <w:color w:val="000000"/>
                <w:sz w:val="24"/>
              </w:rPr>
              <w:t>000651</w:t>
            </w:r>
          </w:p>
        </w:tc>
        <w:tc>
          <w:tcPr>
            <w:tcW w:w="1769" w:type="dxa"/>
            <w:vAlign w:val="center"/>
          </w:tcPr>
          <w:p w:rsidR="008251EB" w:rsidRDefault="00684082">
            <w:pPr>
              <w:jc w:val="center"/>
            </w:pPr>
            <w:r>
              <w:rPr>
                <w:color w:val="000000"/>
                <w:sz w:val="24"/>
              </w:rPr>
              <w:t>格力电器</w:t>
            </w:r>
          </w:p>
        </w:tc>
        <w:tc>
          <w:tcPr>
            <w:tcW w:w="1327" w:type="dxa"/>
            <w:vAlign w:val="center"/>
          </w:tcPr>
          <w:p w:rsidR="008251EB" w:rsidRDefault="00684082">
            <w:pPr>
              <w:jc w:val="right"/>
            </w:pPr>
            <w:r>
              <w:rPr>
                <w:color w:val="000000"/>
                <w:sz w:val="24"/>
              </w:rPr>
              <w:t>200,000</w:t>
            </w:r>
          </w:p>
        </w:tc>
        <w:tc>
          <w:tcPr>
            <w:tcW w:w="1915" w:type="dxa"/>
            <w:vAlign w:val="center"/>
          </w:tcPr>
          <w:p w:rsidR="008251EB" w:rsidRDefault="00684082">
            <w:pPr>
              <w:jc w:val="right"/>
            </w:pPr>
            <w:r>
              <w:rPr>
                <w:color w:val="000000"/>
                <w:sz w:val="24"/>
              </w:rPr>
              <w:t>8,234,000.00</w:t>
            </w:r>
          </w:p>
        </w:tc>
        <w:tc>
          <w:tcPr>
            <w:tcW w:w="1680" w:type="dxa"/>
            <w:vAlign w:val="center"/>
          </w:tcPr>
          <w:p w:rsidR="008251EB" w:rsidRDefault="00684082">
            <w:pPr>
              <w:jc w:val="right"/>
            </w:pPr>
            <w:r>
              <w:rPr>
                <w:color w:val="000000"/>
                <w:sz w:val="24"/>
              </w:rPr>
              <w:t>0.95</w:t>
            </w:r>
          </w:p>
        </w:tc>
      </w:tr>
      <w:tr w:rsidR="008251EB">
        <w:trPr>
          <w:jc w:val="center"/>
        </w:trPr>
        <w:tc>
          <w:tcPr>
            <w:tcW w:w="850" w:type="dxa"/>
            <w:vAlign w:val="center"/>
          </w:tcPr>
          <w:p w:rsidR="008251EB" w:rsidRDefault="00684082">
            <w:pPr>
              <w:jc w:val="center"/>
            </w:pPr>
            <w:r>
              <w:rPr>
                <w:color w:val="000000"/>
                <w:sz w:val="24"/>
              </w:rPr>
              <w:t>6</w:t>
            </w:r>
          </w:p>
        </w:tc>
        <w:tc>
          <w:tcPr>
            <w:tcW w:w="1327" w:type="dxa"/>
            <w:vAlign w:val="center"/>
          </w:tcPr>
          <w:p w:rsidR="008251EB" w:rsidRDefault="00684082">
            <w:pPr>
              <w:jc w:val="center"/>
            </w:pPr>
            <w:r>
              <w:rPr>
                <w:color w:val="000000"/>
                <w:sz w:val="24"/>
              </w:rPr>
              <w:t>600887</w:t>
            </w:r>
          </w:p>
        </w:tc>
        <w:tc>
          <w:tcPr>
            <w:tcW w:w="1769" w:type="dxa"/>
            <w:vAlign w:val="center"/>
          </w:tcPr>
          <w:p w:rsidR="008251EB" w:rsidRDefault="00684082">
            <w:pPr>
              <w:jc w:val="center"/>
            </w:pPr>
            <w:r>
              <w:rPr>
                <w:color w:val="000000"/>
                <w:sz w:val="24"/>
              </w:rPr>
              <w:t>伊利股份</w:t>
            </w:r>
          </w:p>
        </w:tc>
        <w:tc>
          <w:tcPr>
            <w:tcW w:w="1327" w:type="dxa"/>
            <w:vAlign w:val="center"/>
          </w:tcPr>
          <w:p w:rsidR="008251EB" w:rsidRDefault="00684082">
            <w:pPr>
              <w:jc w:val="right"/>
            </w:pPr>
            <w:r>
              <w:rPr>
                <w:color w:val="000000"/>
                <w:sz w:val="24"/>
              </w:rPr>
              <w:t>350,000</w:t>
            </w:r>
          </w:p>
        </w:tc>
        <w:tc>
          <w:tcPr>
            <w:tcW w:w="1915" w:type="dxa"/>
            <w:vAlign w:val="center"/>
          </w:tcPr>
          <w:p w:rsidR="008251EB" w:rsidRDefault="00684082">
            <w:pPr>
              <w:jc w:val="right"/>
            </w:pPr>
            <w:r>
              <w:rPr>
                <w:color w:val="000000"/>
                <w:sz w:val="24"/>
              </w:rPr>
              <w:t>7,556,500.00</w:t>
            </w:r>
          </w:p>
        </w:tc>
        <w:tc>
          <w:tcPr>
            <w:tcW w:w="1680" w:type="dxa"/>
            <w:vAlign w:val="center"/>
          </w:tcPr>
          <w:p w:rsidR="008251EB" w:rsidRDefault="00684082">
            <w:pPr>
              <w:jc w:val="right"/>
            </w:pPr>
            <w:r>
              <w:rPr>
                <w:color w:val="000000"/>
                <w:sz w:val="24"/>
              </w:rPr>
              <w:t>0.87</w:t>
            </w:r>
          </w:p>
        </w:tc>
      </w:tr>
      <w:tr w:rsidR="008251EB">
        <w:trPr>
          <w:jc w:val="center"/>
        </w:trPr>
        <w:tc>
          <w:tcPr>
            <w:tcW w:w="850" w:type="dxa"/>
            <w:vAlign w:val="center"/>
          </w:tcPr>
          <w:p w:rsidR="008251EB" w:rsidRDefault="00684082">
            <w:pPr>
              <w:jc w:val="center"/>
            </w:pPr>
            <w:r>
              <w:rPr>
                <w:color w:val="000000"/>
                <w:sz w:val="24"/>
              </w:rPr>
              <w:t>7</w:t>
            </w:r>
          </w:p>
        </w:tc>
        <w:tc>
          <w:tcPr>
            <w:tcW w:w="1327" w:type="dxa"/>
            <w:vAlign w:val="center"/>
          </w:tcPr>
          <w:p w:rsidR="008251EB" w:rsidRDefault="00684082">
            <w:pPr>
              <w:jc w:val="center"/>
            </w:pPr>
            <w:r>
              <w:rPr>
                <w:color w:val="000000"/>
                <w:sz w:val="24"/>
              </w:rPr>
              <w:t>600519</w:t>
            </w:r>
          </w:p>
        </w:tc>
        <w:tc>
          <w:tcPr>
            <w:tcW w:w="1769" w:type="dxa"/>
            <w:vAlign w:val="center"/>
          </w:tcPr>
          <w:p w:rsidR="008251EB" w:rsidRDefault="00684082">
            <w:pPr>
              <w:jc w:val="center"/>
            </w:pPr>
            <w:r>
              <w:rPr>
                <w:color w:val="000000"/>
                <w:sz w:val="24"/>
              </w:rPr>
              <w:t>贵州茅台</w:t>
            </w:r>
          </w:p>
        </w:tc>
        <w:tc>
          <w:tcPr>
            <w:tcW w:w="1327" w:type="dxa"/>
            <w:vAlign w:val="center"/>
          </w:tcPr>
          <w:p w:rsidR="008251EB" w:rsidRDefault="00684082">
            <w:pPr>
              <w:jc w:val="right"/>
            </w:pPr>
            <w:r>
              <w:rPr>
                <w:color w:val="000000"/>
                <w:sz w:val="24"/>
              </w:rPr>
              <w:t>15,000</w:t>
            </w:r>
          </w:p>
        </w:tc>
        <w:tc>
          <w:tcPr>
            <w:tcW w:w="1915" w:type="dxa"/>
            <w:vAlign w:val="center"/>
          </w:tcPr>
          <w:p w:rsidR="008251EB" w:rsidRDefault="00684082">
            <w:pPr>
              <w:jc w:val="right"/>
            </w:pPr>
            <w:r>
              <w:rPr>
                <w:color w:val="000000"/>
                <w:sz w:val="24"/>
              </w:rPr>
              <w:t>7,077,750.00</w:t>
            </w:r>
          </w:p>
        </w:tc>
        <w:tc>
          <w:tcPr>
            <w:tcW w:w="1680" w:type="dxa"/>
            <w:vAlign w:val="center"/>
          </w:tcPr>
          <w:p w:rsidR="008251EB" w:rsidRDefault="00684082">
            <w:pPr>
              <w:jc w:val="right"/>
            </w:pPr>
            <w:r>
              <w:rPr>
                <w:color w:val="000000"/>
                <w:sz w:val="24"/>
              </w:rPr>
              <w:t>0.82</w:t>
            </w:r>
          </w:p>
        </w:tc>
      </w:tr>
      <w:tr w:rsidR="008251EB">
        <w:trPr>
          <w:jc w:val="center"/>
        </w:trPr>
        <w:tc>
          <w:tcPr>
            <w:tcW w:w="850" w:type="dxa"/>
            <w:vAlign w:val="center"/>
          </w:tcPr>
          <w:p w:rsidR="008251EB" w:rsidRDefault="00684082">
            <w:pPr>
              <w:jc w:val="center"/>
            </w:pPr>
            <w:r>
              <w:rPr>
                <w:color w:val="000000"/>
                <w:sz w:val="24"/>
              </w:rPr>
              <w:t>8</w:t>
            </w:r>
          </w:p>
        </w:tc>
        <w:tc>
          <w:tcPr>
            <w:tcW w:w="1327" w:type="dxa"/>
            <w:vAlign w:val="center"/>
          </w:tcPr>
          <w:p w:rsidR="008251EB" w:rsidRDefault="00684082">
            <w:pPr>
              <w:jc w:val="center"/>
            </w:pPr>
            <w:r>
              <w:rPr>
                <w:color w:val="000000"/>
                <w:sz w:val="24"/>
              </w:rPr>
              <w:t>000921</w:t>
            </w:r>
          </w:p>
        </w:tc>
        <w:tc>
          <w:tcPr>
            <w:tcW w:w="1769" w:type="dxa"/>
            <w:vAlign w:val="center"/>
          </w:tcPr>
          <w:p w:rsidR="008251EB" w:rsidRDefault="00684082">
            <w:pPr>
              <w:jc w:val="center"/>
            </w:pPr>
            <w:r>
              <w:rPr>
                <w:color w:val="000000"/>
                <w:sz w:val="24"/>
              </w:rPr>
              <w:t>海信科龙</w:t>
            </w:r>
          </w:p>
        </w:tc>
        <w:tc>
          <w:tcPr>
            <w:tcW w:w="1327" w:type="dxa"/>
            <w:vAlign w:val="center"/>
          </w:tcPr>
          <w:p w:rsidR="008251EB" w:rsidRDefault="00684082">
            <w:pPr>
              <w:jc w:val="right"/>
            </w:pPr>
            <w:r>
              <w:rPr>
                <w:color w:val="000000"/>
                <w:sz w:val="24"/>
              </w:rPr>
              <w:t>400,000</w:t>
            </w:r>
          </w:p>
        </w:tc>
        <w:tc>
          <w:tcPr>
            <w:tcW w:w="1915" w:type="dxa"/>
            <w:vAlign w:val="center"/>
          </w:tcPr>
          <w:p w:rsidR="008251EB" w:rsidRDefault="00684082">
            <w:pPr>
              <w:jc w:val="right"/>
            </w:pPr>
            <w:r>
              <w:rPr>
                <w:color w:val="000000"/>
                <w:sz w:val="24"/>
              </w:rPr>
              <w:t>6,884,000.00</w:t>
            </w:r>
          </w:p>
        </w:tc>
        <w:tc>
          <w:tcPr>
            <w:tcW w:w="1680" w:type="dxa"/>
            <w:vAlign w:val="center"/>
          </w:tcPr>
          <w:p w:rsidR="008251EB" w:rsidRDefault="00684082">
            <w:pPr>
              <w:jc w:val="right"/>
            </w:pPr>
            <w:r>
              <w:rPr>
                <w:color w:val="000000"/>
                <w:sz w:val="24"/>
              </w:rPr>
              <w:t>0.80</w:t>
            </w:r>
          </w:p>
        </w:tc>
      </w:tr>
      <w:tr w:rsidR="008251EB">
        <w:trPr>
          <w:jc w:val="center"/>
        </w:trPr>
        <w:tc>
          <w:tcPr>
            <w:tcW w:w="850" w:type="dxa"/>
            <w:vAlign w:val="center"/>
          </w:tcPr>
          <w:p w:rsidR="008251EB" w:rsidRDefault="00684082">
            <w:pPr>
              <w:jc w:val="center"/>
            </w:pPr>
            <w:r>
              <w:rPr>
                <w:color w:val="000000"/>
                <w:sz w:val="24"/>
              </w:rPr>
              <w:t>9</w:t>
            </w:r>
          </w:p>
        </w:tc>
        <w:tc>
          <w:tcPr>
            <w:tcW w:w="1327" w:type="dxa"/>
            <w:vAlign w:val="center"/>
          </w:tcPr>
          <w:p w:rsidR="008251EB" w:rsidRDefault="00684082">
            <w:pPr>
              <w:jc w:val="center"/>
            </w:pPr>
            <w:r>
              <w:rPr>
                <w:color w:val="000000"/>
                <w:sz w:val="24"/>
              </w:rPr>
              <w:t>601318</w:t>
            </w:r>
          </w:p>
        </w:tc>
        <w:tc>
          <w:tcPr>
            <w:tcW w:w="1769" w:type="dxa"/>
            <w:vAlign w:val="center"/>
          </w:tcPr>
          <w:p w:rsidR="008251EB" w:rsidRDefault="00684082">
            <w:pPr>
              <w:jc w:val="center"/>
            </w:pPr>
            <w:r>
              <w:rPr>
                <w:color w:val="000000"/>
                <w:sz w:val="24"/>
              </w:rPr>
              <w:t>中国平安</w:t>
            </w:r>
          </w:p>
        </w:tc>
        <w:tc>
          <w:tcPr>
            <w:tcW w:w="1327" w:type="dxa"/>
            <w:vAlign w:val="center"/>
          </w:tcPr>
          <w:p w:rsidR="008251EB" w:rsidRDefault="00684082">
            <w:pPr>
              <w:jc w:val="right"/>
            </w:pPr>
            <w:r>
              <w:rPr>
                <w:color w:val="000000"/>
                <w:sz w:val="24"/>
              </w:rPr>
              <w:t>100,000</w:t>
            </w:r>
          </w:p>
        </w:tc>
        <w:tc>
          <w:tcPr>
            <w:tcW w:w="1915" w:type="dxa"/>
            <w:vAlign w:val="center"/>
          </w:tcPr>
          <w:p w:rsidR="008251EB" w:rsidRDefault="00684082">
            <w:pPr>
              <w:jc w:val="right"/>
            </w:pPr>
            <w:r>
              <w:rPr>
                <w:color w:val="000000"/>
                <w:sz w:val="24"/>
              </w:rPr>
              <w:t>4,961,000.00</w:t>
            </w:r>
          </w:p>
        </w:tc>
        <w:tc>
          <w:tcPr>
            <w:tcW w:w="1680" w:type="dxa"/>
            <w:vAlign w:val="center"/>
          </w:tcPr>
          <w:p w:rsidR="008251EB" w:rsidRDefault="00684082">
            <w:pPr>
              <w:jc w:val="right"/>
            </w:pPr>
            <w:r>
              <w:rPr>
                <w:color w:val="000000"/>
                <w:sz w:val="24"/>
              </w:rPr>
              <w:t>0.57</w:t>
            </w:r>
          </w:p>
        </w:tc>
      </w:tr>
      <w:tr w:rsidR="008251EB">
        <w:trPr>
          <w:jc w:val="center"/>
        </w:trPr>
        <w:tc>
          <w:tcPr>
            <w:tcW w:w="850" w:type="dxa"/>
            <w:vAlign w:val="center"/>
          </w:tcPr>
          <w:p w:rsidR="008251EB" w:rsidRDefault="00684082">
            <w:pPr>
              <w:jc w:val="center"/>
            </w:pPr>
            <w:r>
              <w:rPr>
                <w:color w:val="000000"/>
                <w:sz w:val="24"/>
              </w:rPr>
              <w:t>10</w:t>
            </w:r>
          </w:p>
        </w:tc>
        <w:tc>
          <w:tcPr>
            <w:tcW w:w="1327" w:type="dxa"/>
            <w:vAlign w:val="center"/>
          </w:tcPr>
          <w:p w:rsidR="008251EB" w:rsidRDefault="00684082">
            <w:pPr>
              <w:jc w:val="center"/>
            </w:pPr>
            <w:r>
              <w:rPr>
                <w:color w:val="000000"/>
                <w:sz w:val="24"/>
              </w:rPr>
              <w:t>600056</w:t>
            </w:r>
          </w:p>
        </w:tc>
        <w:tc>
          <w:tcPr>
            <w:tcW w:w="1769" w:type="dxa"/>
            <w:vAlign w:val="center"/>
          </w:tcPr>
          <w:p w:rsidR="008251EB" w:rsidRDefault="00684082">
            <w:pPr>
              <w:jc w:val="center"/>
            </w:pPr>
            <w:r>
              <w:rPr>
                <w:color w:val="000000"/>
                <w:sz w:val="24"/>
              </w:rPr>
              <w:t>中国医药</w:t>
            </w:r>
          </w:p>
        </w:tc>
        <w:tc>
          <w:tcPr>
            <w:tcW w:w="1327" w:type="dxa"/>
            <w:vAlign w:val="center"/>
          </w:tcPr>
          <w:p w:rsidR="008251EB" w:rsidRDefault="00684082">
            <w:pPr>
              <w:jc w:val="right"/>
            </w:pPr>
            <w:r>
              <w:rPr>
                <w:color w:val="000000"/>
                <w:sz w:val="24"/>
              </w:rPr>
              <w:t>190,000</w:t>
            </w:r>
          </w:p>
        </w:tc>
        <w:tc>
          <w:tcPr>
            <w:tcW w:w="1915" w:type="dxa"/>
            <w:vAlign w:val="center"/>
          </w:tcPr>
          <w:p w:rsidR="008251EB" w:rsidRDefault="00684082">
            <w:pPr>
              <w:jc w:val="right"/>
            </w:pPr>
            <w:r>
              <w:rPr>
                <w:color w:val="000000"/>
                <w:sz w:val="24"/>
              </w:rPr>
              <w:t>4,930,500.00</w:t>
            </w:r>
          </w:p>
        </w:tc>
        <w:tc>
          <w:tcPr>
            <w:tcW w:w="1680" w:type="dxa"/>
            <w:vAlign w:val="center"/>
          </w:tcPr>
          <w:p w:rsidR="008251EB" w:rsidRDefault="00684082">
            <w:pPr>
              <w:jc w:val="right"/>
            </w:pPr>
            <w:r>
              <w:rPr>
                <w:color w:val="000000"/>
                <w:sz w:val="24"/>
              </w:rPr>
              <w:t>0.57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14C14">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39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948"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8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014C14" w:rsidRPr="007F52FA" w:rsidTr="00014C14">
        <w:trPr>
          <w:jc w:val="center"/>
        </w:trPr>
        <w:tc>
          <w:tcPr>
            <w:tcW w:w="850" w:type="dxa"/>
            <w:vAlign w:val="center"/>
          </w:tcPr>
          <w:p w:rsidR="00014C14" w:rsidRDefault="00014C14" w:rsidP="00014C14">
            <w:pPr>
              <w:spacing w:before="29" w:line="288" w:lineRule="auto"/>
              <w:ind w:left="17"/>
              <w:jc w:val="center"/>
              <w:rPr>
                <w:color w:val="000000"/>
                <w:sz w:val="24"/>
              </w:rPr>
            </w:pPr>
            <w:r>
              <w:rPr>
                <w:color w:val="000000"/>
                <w:sz w:val="24"/>
              </w:rPr>
              <w:t>1</w:t>
            </w:r>
          </w:p>
        </w:tc>
        <w:tc>
          <w:tcPr>
            <w:tcW w:w="3390" w:type="dxa"/>
            <w:vAlign w:val="center"/>
          </w:tcPr>
          <w:p w:rsidR="00014C14" w:rsidRDefault="00014C14" w:rsidP="00014C14">
            <w:pPr>
              <w:spacing w:before="29" w:line="288" w:lineRule="auto"/>
              <w:ind w:left="17"/>
              <w:jc w:val="left"/>
              <w:rPr>
                <w:color w:val="000000"/>
                <w:sz w:val="24"/>
              </w:rPr>
            </w:pPr>
            <w:r>
              <w:rPr>
                <w:rFonts w:ascii="宋体" w:hAnsi="宋体" w:hint="eastAsia"/>
                <w:color w:val="000000"/>
                <w:sz w:val="24"/>
              </w:rPr>
              <w:t>国家债券</w:t>
            </w:r>
          </w:p>
        </w:tc>
        <w:tc>
          <w:tcPr>
            <w:tcW w:w="2948" w:type="dxa"/>
            <w:vAlign w:val="center"/>
          </w:tcPr>
          <w:p w:rsidR="00014C14" w:rsidRDefault="00014C14" w:rsidP="00014C14">
            <w:pPr>
              <w:spacing w:before="29" w:line="288" w:lineRule="auto"/>
              <w:ind w:left="17"/>
              <w:jc w:val="right"/>
              <w:rPr>
                <w:color w:val="000000"/>
                <w:sz w:val="24"/>
              </w:rPr>
            </w:pPr>
            <w:r>
              <w:rPr>
                <w:color w:val="000000"/>
                <w:sz w:val="24"/>
              </w:rPr>
              <w:t>49,697,000.00</w:t>
            </w:r>
          </w:p>
        </w:tc>
        <w:tc>
          <w:tcPr>
            <w:tcW w:w="1680" w:type="dxa"/>
            <w:vAlign w:val="center"/>
          </w:tcPr>
          <w:p w:rsidR="00014C14" w:rsidRDefault="00014C14" w:rsidP="00014C14">
            <w:pPr>
              <w:spacing w:before="29" w:line="288" w:lineRule="auto"/>
              <w:ind w:left="17"/>
              <w:jc w:val="right"/>
              <w:rPr>
                <w:color w:val="000000"/>
                <w:sz w:val="24"/>
              </w:rPr>
            </w:pPr>
            <w:r>
              <w:rPr>
                <w:color w:val="000000"/>
                <w:sz w:val="24"/>
              </w:rPr>
              <w:t>5.75</w:t>
            </w:r>
          </w:p>
        </w:tc>
      </w:tr>
      <w:tr w:rsidR="00014C14" w:rsidRPr="007F52FA" w:rsidTr="00014C14">
        <w:trPr>
          <w:jc w:val="center"/>
        </w:trPr>
        <w:tc>
          <w:tcPr>
            <w:tcW w:w="850" w:type="dxa"/>
            <w:vAlign w:val="center"/>
          </w:tcPr>
          <w:p w:rsidR="00014C14" w:rsidRDefault="00014C14" w:rsidP="00014C14">
            <w:pPr>
              <w:spacing w:before="29" w:line="288" w:lineRule="auto"/>
              <w:ind w:left="17"/>
              <w:jc w:val="center"/>
              <w:rPr>
                <w:color w:val="000000"/>
                <w:sz w:val="24"/>
              </w:rPr>
            </w:pPr>
            <w:r>
              <w:rPr>
                <w:color w:val="000000"/>
                <w:sz w:val="24"/>
              </w:rPr>
              <w:t>2</w:t>
            </w:r>
          </w:p>
        </w:tc>
        <w:tc>
          <w:tcPr>
            <w:tcW w:w="3390" w:type="dxa"/>
            <w:vAlign w:val="center"/>
          </w:tcPr>
          <w:p w:rsidR="00014C14" w:rsidRDefault="00014C14" w:rsidP="00014C14">
            <w:pPr>
              <w:spacing w:before="29" w:line="288" w:lineRule="auto"/>
              <w:ind w:left="17"/>
              <w:jc w:val="left"/>
              <w:rPr>
                <w:color w:val="000000"/>
                <w:sz w:val="24"/>
              </w:rPr>
            </w:pPr>
            <w:r>
              <w:rPr>
                <w:rFonts w:ascii="宋体" w:hAnsi="宋体" w:hint="eastAsia"/>
                <w:color w:val="000000"/>
                <w:sz w:val="24"/>
              </w:rPr>
              <w:t>央行票据</w:t>
            </w:r>
          </w:p>
        </w:tc>
        <w:tc>
          <w:tcPr>
            <w:tcW w:w="2948" w:type="dxa"/>
            <w:vAlign w:val="center"/>
          </w:tcPr>
          <w:p w:rsidR="00014C14" w:rsidRDefault="00014C14" w:rsidP="00014C14">
            <w:pPr>
              <w:spacing w:before="29" w:line="288" w:lineRule="auto"/>
              <w:ind w:left="17"/>
              <w:jc w:val="right"/>
              <w:rPr>
                <w:color w:val="000000"/>
                <w:sz w:val="24"/>
              </w:rPr>
            </w:pPr>
            <w:r>
              <w:rPr>
                <w:color w:val="000000"/>
                <w:sz w:val="24"/>
              </w:rPr>
              <w:t>-</w:t>
            </w:r>
          </w:p>
        </w:tc>
        <w:tc>
          <w:tcPr>
            <w:tcW w:w="1680" w:type="dxa"/>
            <w:vAlign w:val="center"/>
          </w:tcPr>
          <w:p w:rsidR="00014C14" w:rsidRDefault="00014C14" w:rsidP="00014C14">
            <w:pPr>
              <w:spacing w:before="29" w:line="288" w:lineRule="auto"/>
              <w:ind w:left="17"/>
              <w:jc w:val="right"/>
              <w:rPr>
                <w:color w:val="000000"/>
                <w:sz w:val="24"/>
              </w:rPr>
            </w:pPr>
            <w:r>
              <w:rPr>
                <w:color w:val="000000"/>
                <w:sz w:val="24"/>
              </w:rPr>
              <w:t>-</w:t>
            </w:r>
          </w:p>
        </w:tc>
      </w:tr>
      <w:tr w:rsidR="00014C14" w:rsidRPr="007F52FA" w:rsidTr="00014C14">
        <w:trPr>
          <w:jc w:val="center"/>
        </w:trPr>
        <w:tc>
          <w:tcPr>
            <w:tcW w:w="850" w:type="dxa"/>
            <w:vAlign w:val="center"/>
          </w:tcPr>
          <w:p w:rsidR="00014C14" w:rsidRDefault="00014C14" w:rsidP="00014C14">
            <w:pPr>
              <w:spacing w:before="29" w:line="288" w:lineRule="auto"/>
              <w:ind w:left="17"/>
              <w:jc w:val="center"/>
              <w:rPr>
                <w:color w:val="000000"/>
                <w:sz w:val="24"/>
              </w:rPr>
            </w:pPr>
            <w:r>
              <w:rPr>
                <w:color w:val="000000"/>
                <w:sz w:val="24"/>
              </w:rPr>
              <w:t>3</w:t>
            </w:r>
          </w:p>
        </w:tc>
        <w:tc>
          <w:tcPr>
            <w:tcW w:w="3390" w:type="dxa"/>
            <w:vAlign w:val="center"/>
          </w:tcPr>
          <w:p w:rsidR="00014C14" w:rsidRDefault="00014C14" w:rsidP="00014C14">
            <w:pPr>
              <w:spacing w:before="29" w:line="288" w:lineRule="auto"/>
              <w:ind w:left="17"/>
              <w:jc w:val="left"/>
              <w:rPr>
                <w:color w:val="000000"/>
                <w:sz w:val="24"/>
              </w:rPr>
            </w:pPr>
            <w:r>
              <w:rPr>
                <w:rFonts w:ascii="宋体" w:hAnsi="宋体" w:hint="eastAsia"/>
                <w:color w:val="000000"/>
                <w:sz w:val="24"/>
              </w:rPr>
              <w:t>金融债券</w:t>
            </w:r>
          </w:p>
        </w:tc>
        <w:tc>
          <w:tcPr>
            <w:tcW w:w="2948" w:type="dxa"/>
            <w:vAlign w:val="center"/>
          </w:tcPr>
          <w:p w:rsidR="00014C14" w:rsidRDefault="00014C14" w:rsidP="00014C14">
            <w:pPr>
              <w:spacing w:before="29" w:line="288" w:lineRule="auto"/>
              <w:ind w:left="17"/>
              <w:jc w:val="right"/>
              <w:rPr>
                <w:color w:val="000000"/>
                <w:sz w:val="24"/>
              </w:rPr>
            </w:pPr>
            <w:r>
              <w:rPr>
                <w:color w:val="000000"/>
                <w:sz w:val="24"/>
              </w:rPr>
              <w:t>-</w:t>
            </w:r>
          </w:p>
        </w:tc>
        <w:tc>
          <w:tcPr>
            <w:tcW w:w="1680" w:type="dxa"/>
            <w:vAlign w:val="center"/>
          </w:tcPr>
          <w:p w:rsidR="00014C14" w:rsidRDefault="00014C14" w:rsidP="00014C14">
            <w:pPr>
              <w:spacing w:before="29" w:line="288" w:lineRule="auto"/>
              <w:ind w:left="17"/>
              <w:jc w:val="right"/>
              <w:rPr>
                <w:color w:val="000000"/>
                <w:sz w:val="24"/>
              </w:rPr>
            </w:pPr>
            <w:r>
              <w:rPr>
                <w:color w:val="000000"/>
                <w:sz w:val="24"/>
              </w:rPr>
              <w:t>-</w:t>
            </w:r>
          </w:p>
        </w:tc>
      </w:tr>
      <w:tr w:rsidR="00014C14" w:rsidRPr="007F52FA" w:rsidTr="00014C14">
        <w:trPr>
          <w:jc w:val="center"/>
        </w:trPr>
        <w:tc>
          <w:tcPr>
            <w:tcW w:w="850" w:type="dxa"/>
            <w:vAlign w:val="center"/>
          </w:tcPr>
          <w:p w:rsidR="00014C14" w:rsidRDefault="00014C14" w:rsidP="00014C14">
            <w:pPr>
              <w:spacing w:before="29" w:line="288" w:lineRule="auto"/>
              <w:ind w:left="17"/>
              <w:jc w:val="center"/>
              <w:rPr>
                <w:color w:val="000000"/>
                <w:sz w:val="24"/>
              </w:rPr>
            </w:pPr>
          </w:p>
        </w:tc>
        <w:tc>
          <w:tcPr>
            <w:tcW w:w="3390" w:type="dxa"/>
            <w:vAlign w:val="center"/>
          </w:tcPr>
          <w:p w:rsidR="00014C14" w:rsidRDefault="00014C14" w:rsidP="00014C14">
            <w:pPr>
              <w:spacing w:before="29" w:line="288" w:lineRule="auto"/>
              <w:ind w:left="17"/>
              <w:jc w:val="left"/>
              <w:rPr>
                <w:color w:val="000000"/>
                <w:sz w:val="24"/>
              </w:rPr>
            </w:pPr>
            <w:r>
              <w:rPr>
                <w:rFonts w:ascii="宋体" w:hAnsi="宋体" w:hint="eastAsia"/>
                <w:color w:val="000000"/>
                <w:sz w:val="24"/>
              </w:rPr>
              <w:t>其中：政策性金融债</w:t>
            </w:r>
          </w:p>
        </w:tc>
        <w:tc>
          <w:tcPr>
            <w:tcW w:w="2948" w:type="dxa"/>
            <w:vAlign w:val="center"/>
          </w:tcPr>
          <w:p w:rsidR="00014C14" w:rsidRDefault="00014C14" w:rsidP="00014C14">
            <w:pPr>
              <w:spacing w:before="29" w:line="288" w:lineRule="auto"/>
              <w:ind w:left="17"/>
              <w:jc w:val="right"/>
              <w:rPr>
                <w:color w:val="000000"/>
                <w:sz w:val="24"/>
              </w:rPr>
            </w:pPr>
            <w:r>
              <w:rPr>
                <w:color w:val="000000"/>
                <w:sz w:val="24"/>
              </w:rPr>
              <w:t>-</w:t>
            </w:r>
          </w:p>
        </w:tc>
        <w:tc>
          <w:tcPr>
            <w:tcW w:w="1680" w:type="dxa"/>
            <w:vAlign w:val="center"/>
          </w:tcPr>
          <w:p w:rsidR="00014C14" w:rsidRDefault="00014C14" w:rsidP="00014C14">
            <w:pPr>
              <w:spacing w:before="29" w:line="288" w:lineRule="auto"/>
              <w:ind w:left="17"/>
              <w:jc w:val="right"/>
              <w:rPr>
                <w:color w:val="000000"/>
                <w:sz w:val="24"/>
              </w:rPr>
            </w:pPr>
            <w:r>
              <w:rPr>
                <w:color w:val="000000"/>
                <w:sz w:val="24"/>
              </w:rPr>
              <w:t>-</w:t>
            </w:r>
          </w:p>
        </w:tc>
      </w:tr>
      <w:tr w:rsidR="00014C14" w:rsidRPr="007F52FA" w:rsidTr="00014C14">
        <w:trPr>
          <w:jc w:val="center"/>
        </w:trPr>
        <w:tc>
          <w:tcPr>
            <w:tcW w:w="850" w:type="dxa"/>
            <w:vAlign w:val="center"/>
          </w:tcPr>
          <w:p w:rsidR="00014C14" w:rsidRDefault="00014C14" w:rsidP="00014C14">
            <w:pPr>
              <w:spacing w:before="29" w:line="288" w:lineRule="auto"/>
              <w:ind w:left="17"/>
              <w:jc w:val="center"/>
              <w:rPr>
                <w:color w:val="000000"/>
                <w:sz w:val="24"/>
              </w:rPr>
            </w:pPr>
            <w:r>
              <w:rPr>
                <w:color w:val="000000"/>
                <w:sz w:val="24"/>
              </w:rPr>
              <w:t>4</w:t>
            </w:r>
          </w:p>
        </w:tc>
        <w:tc>
          <w:tcPr>
            <w:tcW w:w="3390" w:type="dxa"/>
            <w:vAlign w:val="center"/>
          </w:tcPr>
          <w:p w:rsidR="00014C14" w:rsidRDefault="00014C14" w:rsidP="00014C14">
            <w:pPr>
              <w:spacing w:before="29" w:line="288" w:lineRule="auto"/>
              <w:ind w:left="17"/>
              <w:jc w:val="left"/>
              <w:rPr>
                <w:color w:val="000000"/>
                <w:sz w:val="24"/>
              </w:rPr>
            </w:pPr>
            <w:r>
              <w:rPr>
                <w:rFonts w:ascii="宋体" w:hAnsi="宋体" w:hint="eastAsia"/>
                <w:color w:val="000000"/>
                <w:sz w:val="24"/>
              </w:rPr>
              <w:t>企业债券</w:t>
            </w:r>
          </w:p>
        </w:tc>
        <w:tc>
          <w:tcPr>
            <w:tcW w:w="2948" w:type="dxa"/>
            <w:vAlign w:val="center"/>
          </w:tcPr>
          <w:p w:rsidR="00014C14" w:rsidRDefault="00014C14" w:rsidP="00014C14">
            <w:pPr>
              <w:spacing w:before="29" w:line="288" w:lineRule="auto"/>
              <w:ind w:left="17"/>
              <w:jc w:val="right"/>
              <w:rPr>
                <w:color w:val="000000"/>
                <w:sz w:val="24"/>
              </w:rPr>
            </w:pPr>
            <w:r>
              <w:rPr>
                <w:color w:val="000000"/>
                <w:sz w:val="24"/>
              </w:rPr>
              <w:t>36,063,287.80</w:t>
            </w:r>
          </w:p>
        </w:tc>
        <w:tc>
          <w:tcPr>
            <w:tcW w:w="1680" w:type="dxa"/>
            <w:vAlign w:val="center"/>
          </w:tcPr>
          <w:p w:rsidR="00014C14" w:rsidRDefault="00014C14" w:rsidP="00014C14">
            <w:pPr>
              <w:spacing w:before="29" w:line="288" w:lineRule="auto"/>
              <w:ind w:left="17"/>
              <w:jc w:val="right"/>
              <w:rPr>
                <w:color w:val="000000"/>
                <w:sz w:val="24"/>
              </w:rPr>
            </w:pPr>
            <w:r>
              <w:rPr>
                <w:color w:val="000000"/>
                <w:sz w:val="24"/>
              </w:rPr>
              <w:t>4.17</w:t>
            </w:r>
          </w:p>
        </w:tc>
      </w:tr>
      <w:tr w:rsidR="00014C14" w:rsidRPr="007F52FA" w:rsidTr="00014C14">
        <w:trPr>
          <w:jc w:val="center"/>
        </w:trPr>
        <w:tc>
          <w:tcPr>
            <w:tcW w:w="850" w:type="dxa"/>
            <w:vAlign w:val="center"/>
          </w:tcPr>
          <w:p w:rsidR="00014C14" w:rsidRDefault="00014C14" w:rsidP="00014C14">
            <w:pPr>
              <w:spacing w:before="29" w:line="288" w:lineRule="auto"/>
              <w:ind w:left="17"/>
              <w:jc w:val="center"/>
              <w:rPr>
                <w:color w:val="000000"/>
                <w:sz w:val="24"/>
              </w:rPr>
            </w:pPr>
            <w:r>
              <w:rPr>
                <w:color w:val="000000"/>
                <w:sz w:val="24"/>
              </w:rPr>
              <w:t>5</w:t>
            </w:r>
          </w:p>
        </w:tc>
        <w:tc>
          <w:tcPr>
            <w:tcW w:w="3390" w:type="dxa"/>
            <w:vAlign w:val="center"/>
          </w:tcPr>
          <w:p w:rsidR="00014C14" w:rsidRDefault="00014C14" w:rsidP="00014C14">
            <w:pPr>
              <w:spacing w:before="29" w:line="288" w:lineRule="auto"/>
              <w:ind w:left="17"/>
              <w:jc w:val="left"/>
              <w:rPr>
                <w:color w:val="000000"/>
                <w:sz w:val="24"/>
              </w:rPr>
            </w:pPr>
            <w:r>
              <w:rPr>
                <w:rFonts w:ascii="宋体" w:hAnsi="宋体" w:hint="eastAsia"/>
                <w:color w:val="000000"/>
                <w:sz w:val="24"/>
              </w:rPr>
              <w:t>企业短期融资券</w:t>
            </w:r>
          </w:p>
        </w:tc>
        <w:tc>
          <w:tcPr>
            <w:tcW w:w="2948" w:type="dxa"/>
            <w:vAlign w:val="center"/>
          </w:tcPr>
          <w:p w:rsidR="00014C14" w:rsidRDefault="00014C14" w:rsidP="00014C14">
            <w:pPr>
              <w:spacing w:before="29" w:line="288" w:lineRule="auto"/>
              <w:ind w:left="17"/>
              <w:jc w:val="right"/>
              <w:rPr>
                <w:color w:val="000000"/>
                <w:sz w:val="24"/>
              </w:rPr>
            </w:pPr>
            <w:r>
              <w:rPr>
                <w:color w:val="000000"/>
                <w:sz w:val="24"/>
              </w:rPr>
              <w:t>250,477,000.00</w:t>
            </w:r>
          </w:p>
        </w:tc>
        <w:tc>
          <w:tcPr>
            <w:tcW w:w="1680" w:type="dxa"/>
            <w:vAlign w:val="center"/>
          </w:tcPr>
          <w:p w:rsidR="00014C14" w:rsidRDefault="00014C14" w:rsidP="00014C14">
            <w:pPr>
              <w:spacing w:before="29" w:line="288" w:lineRule="auto"/>
              <w:ind w:left="17"/>
              <w:jc w:val="right"/>
              <w:rPr>
                <w:color w:val="000000"/>
                <w:sz w:val="24"/>
              </w:rPr>
            </w:pPr>
            <w:r>
              <w:rPr>
                <w:color w:val="000000"/>
                <w:sz w:val="24"/>
              </w:rPr>
              <w:t>28.98</w:t>
            </w:r>
          </w:p>
        </w:tc>
      </w:tr>
      <w:tr w:rsidR="00014C14" w:rsidRPr="007F52FA" w:rsidTr="00014C14">
        <w:trPr>
          <w:jc w:val="center"/>
        </w:trPr>
        <w:tc>
          <w:tcPr>
            <w:tcW w:w="850" w:type="dxa"/>
            <w:vAlign w:val="center"/>
          </w:tcPr>
          <w:p w:rsidR="00014C14" w:rsidRDefault="00014C14" w:rsidP="00014C14">
            <w:pPr>
              <w:spacing w:before="29" w:line="288" w:lineRule="auto"/>
              <w:ind w:left="17"/>
              <w:jc w:val="center"/>
              <w:rPr>
                <w:color w:val="000000"/>
                <w:sz w:val="24"/>
              </w:rPr>
            </w:pPr>
            <w:r>
              <w:rPr>
                <w:color w:val="000000"/>
                <w:sz w:val="24"/>
              </w:rPr>
              <w:t>6</w:t>
            </w:r>
          </w:p>
        </w:tc>
        <w:tc>
          <w:tcPr>
            <w:tcW w:w="3390" w:type="dxa"/>
            <w:vAlign w:val="center"/>
          </w:tcPr>
          <w:p w:rsidR="00014C14" w:rsidRDefault="00014C14" w:rsidP="00014C14">
            <w:pPr>
              <w:spacing w:before="29" w:line="288" w:lineRule="auto"/>
              <w:ind w:left="17"/>
              <w:jc w:val="left"/>
              <w:rPr>
                <w:color w:val="000000"/>
                <w:sz w:val="24"/>
              </w:rPr>
            </w:pPr>
            <w:r>
              <w:rPr>
                <w:rFonts w:ascii="宋体" w:hAnsi="宋体" w:hint="eastAsia"/>
                <w:color w:val="000000"/>
                <w:sz w:val="24"/>
              </w:rPr>
              <w:t>中期票据</w:t>
            </w:r>
          </w:p>
        </w:tc>
        <w:tc>
          <w:tcPr>
            <w:tcW w:w="2948" w:type="dxa"/>
            <w:vAlign w:val="center"/>
          </w:tcPr>
          <w:p w:rsidR="00014C14" w:rsidRDefault="00014C14" w:rsidP="00014C14">
            <w:pPr>
              <w:spacing w:before="29" w:line="288" w:lineRule="auto"/>
              <w:ind w:left="17"/>
              <w:jc w:val="right"/>
              <w:rPr>
                <w:color w:val="000000"/>
                <w:sz w:val="24"/>
              </w:rPr>
            </w:pPr>
            <w:r>
              <w:rPr>
                <w:color w:val="000000"/>
                <w:sz w:val="24"/>
              </w:rPr>
              <w:t>50,810,000.00</w:t>
            </w:r>
          </w:p>
        </w:tc>
        <w:tc>
          <w:tcPr>
            <w:tcW w:w="1680" w:type="dxa"/>
            <w:vAlign w:val="center"/>
          </w:tcPr>
          <w:p w:rsidR="00014C14" w:rsidRDefault="00014C14" w:rsidP="00014C14">
            <w:pPr>
              <w:spacing w:before="29" w:line="288" w:lineRule="auto"/>
              <w:ind w:left="17"/>
              <w:jc w:val="right"/>
              <w:rPr>
                <w:color w:val="000000"/>
                <w:sz w:val="24"/>
              </w:rPr>
            </w:pPr>
            <w:r>
              <w:rPr>
                <w:color w:val="000000"/>
                <w:sz w:val="24"/>
              </w:rPr>
              <w:t>5.88</w:t>
            </w:r>
          </w:p>
        </w:tc>
      </w:tr>
      <w:tr w:rsidR="00014C14" w:rsidRPr="007F52FA" w:rsidTr="00014C14">
        <w:trPr>
          <w:jc w:val="center"/>
        </w:trPr>
        <w:tc>
          <w:tcPr>
            <w:tcW w:w="850" w:type="dxa"/>
            <w:vAlign w:val="center"/>
          </w:tcPr>
          <w:p w:rsidR="00014C14" w:rsidRDefault="00014C14" w:rsidP="00014C14">
            <w:pPr>
              <w:spacing w:before="29" w:line="288" w:lineRule="auto"/>
              <w:ind w:left="17"/>
              <w:jc w:val="center"/>
              <w:rPr>
                <w:color w:val="000000"/>
                <w:sz w:val="24"/>
              </w:rPr>
            </w:pPr>
            <w:r>
              <w:rPr>
                <w:color w:val="000000"/>
                <w:sz w:val="24"/>
              </w:rPr>
              <w:t>7</w:t>
            </w:r>
          </w:p>
        </w:tc>
        <w:tc>
          <w:tcPr>
            <w:tcW w:w="3390" w:type="dxa"/>
            <w:vAlign w:val="center"/>
          </w:tcPr>
          <w:p w:rsidR="00014C14" w:rsidRDefault="00014C14" w:rsidP="00014C14">
            <w:pPr>
              <w:spacing w:before="29" w:line="288" w:lineRule="auto"/>
              <w:ind w:left="17"/>
              <w:jc w:val="left"/>
              <w:rPr>
                <w:color w:val="000000"/>
                <w:sz w:val="24"/>
              </w:rPr>
            </w:pPr>
            <w:r>
              <w:rPr>
                <w:rFonts w:ascii="宋体" w:hAnsi="宋体" w:hint="eastAsia"/>
                <w:color w:val="000000"/>
                <w:sz w:val="24"/>
              </w:rPr>
              <w:t>可转债</w:t>
            </w:r>
            <w:r>
              <w:rPr>
                <w:rFonts w:ascii="宋体" w:hAnsi="宋体" w:hint="eastAsia"/>
                <w:sz w:val="24"/>
              </w:rPr>
              <w:t>（可交换债）</w:t>
            </w:r>
          </w:p>
        </w:tc>
        <w:tc>
          <w:tcPr>
            <w:tcW w:w="2948" w:type="dxa"/>
            <w:vAlign w:val="center"/>
          </w:tcPr>
          <w:p w:rsidR="00014C14" w:rsidRDefault="00014C14" w:rsidP="00014C14">
            <w:pPr>
              <w:spacing w:before="29" w:line="288" w:lineRule="auto"/>
              <w:ind w:left="17"/>
              <w:jc w:val="right"/>
              <w:rPr>
                <w:color w:val="000000"/>
                <w:sz w:val="24"/>
              </w:rPr>
            </w:pPr>
            <w:r>
              <w:rPr>
                <w:color w:val="000000"/>
                <w:sz w:val="24"/>
              </w:rPr>
              <w:t>287,939.30</w:t>
            </w:r>
          </w:p>
        </w:tc>
        <w:tc>
          <w:tcPr>
            <w:tcW w:w="1680" w:type="dxa"/>
            <w:vAlign w:val="center"/>
          </w:tcPr>
          <w:p w:rsidR="00014C14" w:rsidRDefault="00014C14" w:rsidP="00014C14">
            <w:pPr>
              <w:spacing w:before="29" w:line="288" w:lineRule="auto"/>
              <w:ind w:left="17"/>
              <w:jc w:val="right"/>
              <w:rPr>
                <w:color w:val="000000"/>
                <w:sz w:val="24"/>
              </w:rPr>
            </w:pPr>
            <w:r>
              <w:rPr>
                <w:color w:val="000000"/>
                <w:sz w:val="24"/>
              </w:rPr>
              <w:t>0.03</w:t>
            </w:r>
          </w:p>
        </w:tc>
      </w:tr>
      <w:tr w:rsidR="00014C14" w:rsidRPr="007F52FA" w:rsidTr="00014C14">
        <w:trPr>
          <w:jc w:val="center"/>
        </w:trPr>
        <w:tc>
          <w:tcPr>
            <w:tcW w:w="850" w:type="dxa"/>
            <w:vAlign w:val="center"/>
          </w:tcPr>
          <w:p w:rsidR="00014C14" w:rsidRDefault="00014C14" w:rsidP="00014C14">
            <w:pPr>
              <w:spacing w:before="29" w:line="288" w:lineRule="auto"/>
              <w:ind w:left="17"/>
              <w:jc w:val="center"/>
              <w:rPr>
                <w:color w:val="000000"/>
                <w:sz w:val="24"/>
              </w:rPr>
            </w:pPr>
            <w:r>
              <w:rPr>
                <w:color w:val="000000"/>
                <w:sz w:val="24"/>
              </w:rPr>
              <w:t>8</w:t>
            </w:r>
          </w:p>
        </w:tc>
        <w:tc>
          <w:tcPr>
            <w:tcW w:w="3390" w:type="dxa"/>
            <w:vAlign w:val="center"/>
          </w:tcPr>
          <w:p w:rsidR="00014C14" w:rsidRDefault="00014C14" w:rsidP="00014C14">
            <w:pPr>
              <w:spacing w:before="29" w:line="288" w:lineRule="auto"/>
              <w:ind w:left="17"/>
              <w:jc w:val="left"/>
              <w:rPr>
                <w:color w:val="000000"/>
                <w:sz w:val="24"/>
              </w:rPr>
            </w:pPr>
            <w:r>
              <w:rPr>
                <w:rFonts w:ascii="宋体" w:hAnsi="宋体" w:hint="eastAsia"/>
                <w:color w:val="000000"/>
                <w:sz w:val="24"/>
              </w:rPr>
              <w:t>同业存单</w:t>
            </w:r>
          </w:p>
        </w:tc>
        <w:tc>
          <w:tcPr>
            <w:tcW w:w="2948" w:type="dxa"/>
            <w:vAlign w:val="center"/>
          </w:tcPr>
          <w:p w:rsidR="00014C14" w:rsidRDefault="00014C14" w:rsidP="00014C14">
            <w:pPr>
              <w:spacing w:before="29" w:line="288" w:lineRule="auto"/>
              <w:ind w:left="17"/>
              <w:jc w:val="right"/>
              <w:rPr>
                <w:color w:val="000000"/>
                <w:sz w:val="24"/>
              </w:rPr>
            </w:pPr>
            <w:r>
              <w:rPr>
                <w:color w:val="000000"/>
                <w:sz w:val="24"/>
              </w:rPr>
              <w:t>330,627,000.00</w:t>
            </w:r>
          </w:p>
        </w:tc>
        <w:tc>
          <w:tcPr>
            <w:tcW w:w="1680" w:type="dxa"/>
            <w:vAlign w:val="center"/>
          </w:tcPr>
          <w:p w:rsidR="00014C14" w:rsidRDefault="00014C14" w:rsidP="00014C14">
            <w:pPr>
              <w:spacing w:before="29" w:line="288" w:lineRule="auto"/>
              <w:ind w:left="17"/>
              <w:jc w:val="right"/>
              <w:rPr>
                <w:color w:val="000000"/>
                <w:sz w:val="24"/>
              </w:rPr>
            </w:pPr>
            <w:r>
              <w:rPr>
                <w:color w:val="000000"/>
                <w:sz w:val="24"/>
              </w:rPr>
              <w:t>38.25</w:t>
            </w:r>
          </w:p>
        </w:tc>
      </w:tr>
      <w:tr w:rsidR="00014C14" w:rsidRPr="007F52FA" w:rsidTr="00014C14">
        <w:trPr>
          <w:jc w:val="center"/>
        </w:trPr>
        <w:tc>
          <w:tcPr>
            <w:tcW w:w="850" w:type="dxa"/>
            <w:vAlign w:val="center"/>
          </w:tcPr>
          <w:p w:rsidR="00014C14" w:rsidRDefault="00014C14" w:rsidP="00014C14">
            <w:pPr>
              <w:spacing w:before="29" w:line="288" w:lineRule="auto"/>
              <w:ind w:left="17"/>
              <w:jc w:val="center"/>
              <w:rPr>
                <w:color w:val="000000"/>
                <w:sz w:val="24"/>
              </w:rPr>
            </w:pPr>
            <w:r>
              <w:rPr>
                <w:color w:val="000000"/>
                <w:sz w:val="24"/>
              </w:rPr>
              <w:t>9</w:t>
            </w:r>
          </w:p>
        </w:tc>
        <w:tc>
          <w:tcPr>
            <w:tcW w:w="3390" w:type="dxa"/>
            <w:vAlign w:val="center"/>
          </w:tcPr>
          <w:p w:rsidR="00014C14" w:rsidRDefault="00014C14" w:rsidP="00014C14">
            <w:pPr>
              <w:spacing w:before="29" w:line="288" w:lineRule="auto"/>
              <w:ind w:left="17"/>
              <w:jc w:val="left"/>
              <w:rPr>
                <w:color w:val="000000"/>
                <w:sz w:val="24"/>
              </w:rPr>
            </w:pPr>
            <w:r>
              <w:rPr>
                <w:rFonts w:ascii="宋体" w:hAnsi="宋体" w:hint="eastAsia"/>
                <w:color w:val="000000"/>
                <w:sz w:val="24"/>
              </w:rPr>
              <w:t>其他</w:t>
            </w:r>
          </w:p>
        </w:tc>
        <w:tc>
          <w:tcPr>
            <w:tcW w:w="2948" w:type="dxa"/>
            <w:vAlign w:val="center"/>
          </w:tcPr>
          <w:p w:rsidR="00014C14" w:rsidRDefault="00014C14" w:rsidP="00014C14">
            <w:pPr>
              <w:spacing w:before="29" w:line="288" w:lineRule="auto"/>
              <w:ind w:left="17"/>
              <w:jc w:val="right"/>
              <w:rPr>
                <w:color w:val="000000"/>
                <w:sz w:val="24"/>
              </w:rPr>
            </w:pPr>
            <w:r>
              <w:rPr>
                <w:color w:val="000000"/>
                <w:sz w:val="24"/>
              </w:rPr>
              <w:t>-</w:t>
            </w:r>
          </w:p>
        </w:tc>
        <w:tc>
          <w:tcPr>
            <w:tcW w:w="1680" w:type="dxa"/>
            <w:vAlign w:val="center"/>
          </w:tcPr>
          <w:p w:rsidR="00014C14" w:rsidRDefault="00014C14" w:rsidP="00014C14">
            <w:pPr>
              <w:spacing w:before="29" w:line="288" w:lineRule="auto"/>
              <w:ind w:left="17"/>
              <w:jc w:val="right"/>
              <w:rPr>
                <w:color w:val="000000"/>
                <w:sz w:val="24"/>
              </w:rPr>
            </w:pPr>
            <w:r>
              <w:rPr>
                <w:color w:val="000000"/>
                <w:sz w:val="24"/>
              </w:rPr>
              <w:t>-</w:t>
            </w:r>
          </w:p>
        </w:tc>
      </w:tr>
      <w:tr w:rsidR="00014C14" w:rsidRPr="007F52FA" w:rsidTr="00014C14">
        <w:trPr>
          <w:jc w:val="center"/>
        </w:trPr>
        <w:tc>
          <w:tcPr>
            <w:tcW w:w="850" w:type="dxa"/>
            <w:vAlign w:val="center"/>
          </w:tcPr>
          <w:p w:rsidR="00014C14" w:rsidRDefault="00014C14" w:rsidP="00014C14">
            <w:pPr>
              <w:spacing w:before="29" w:line="288" w:lineRule="auto"/>
              <w:ind w:left="17"/>
              <w:jc w:val="center"/>
              <w:rPr>
                <w:color w:val="000000"/>
                <w:sz w:val="24"/>
              </w:rPr>
            </w:pPr>
            <w:r>
              <w:rPr>
                <w:color w:val="000000"/>
                <w:sz w:val="24"/>
              </w:rPr>
              <w:t>10</w:t>
            </w:r>
          </w:p>
        </w:tc>
        <w:tc>
          <w:tcPr>
            <w:tcW w:w="3390" w:type="dxa"/>
            <w:vAlign w:val="center"/>
          </w:tcPr>
          <w:p w:rsidR="00014C14" w:rsidRDefault="00014C14" w:rsidP="00014C14">
            <w:pPr>
              <w:spacing w:before="29" w:line="288" w:lineRule="auto"/>
              <w:ind w:left="17"/>
              <w:jc w:val="left"/>
              <w:rPr>
                <w:color w:val="000000"/>
                <w:sz w:val="24"/>
              </w:rPr>
            </w:pPr>
            <w:r>
              <w:rPr>
                <w:rFonts w:ascii="宋体" w:hAnsi="宋体" w:hint="eastAsia"/>
                <w:color w:val="000000"/>
                <w:sz w:val="24"/>
              </w:rPr>
              <w:t>合计</w:t>
            </w:r>
          </w:p>
        </w:tc>
        <w:tc>
          <w:tcPr>
            <w:tcW w:w="2948" w:type="dxa"/>
            <w:vAlign w:val="center"/>
          </w:tcPr>
          <w:p w:rsidR="00014C14" w:rsidRDefault="00014C14" w:rsidP="00014C14">
            <w:pPr>
              <w:spacing w:before="29" w:line="288" w:lineRule="auto"/>
              <w:ind w:left="17"/>
              <w:jc w:val="right"/>
              <w:rPr>
                <w:color w:val="000000"/>
                <w:sz w:val="24"/>
              </w:rPr>
            </w:pPr>
            <w:r>
              <w:rPr>
                <w:color w:val="000000"/>
                <w:sz w:val="24"/>
              </w:rPr>
              <w:t>717,962,227.10</w:t>
            </w:r>
          </w:p>
        </w:tc>
        <w:tc>
          <w:tcPr>
            <w:tcW w:w="1680" w:type="dxa"/>
            <w:vAlign w:val="center"/>
          </w:tcPr>
          <w:p w:rsidR="00014C14" w:rsidRDefault="00014C14" w:rsidP="00014C14">
            <w:pPr>
              <w:spacing w:before="29" w:line="288" w:lineRule="auto"/>
              <w:ind w:left="17"/>
              <w:jc w:val="right"/>
              <w:rPr>
                <w:color w:val="000000"/>
                <w:sz w:val="24"/>
              </w:rPr>
            </w:pPr>
            <w:r>
              <w:rPr>
                <w:color w:val="000000"/>
                <w:sz w:val="24"/>
              </w:rPr>
              <w:t>83.06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251EB">
        <w:trPr>
          <w:jc w:val="center"/>
        </w:trPr>
        <w:tc>
          <w:tcPr>
            <w:tcW w:w="1075" w:type="dxa"/>
            <w:vAlign w:val="center"/>
          </w:tcPr>
          <w:p w:rsidR="008251EB" w:rsidRDefault="00684082">
            <w:pPr>
              <w:jc w:val="center"/>
            </w:pPr>
            <w:r>
              <w:rPr>
                <w:color w:val="000000"/>
                <w:sz w:val="24"/>
              </w:rPr>
              <w:t>1</w:t>
            </w:r>
          </w:p>
        </w:tc>
        <w:tc>
          <w:tcPr>
            <w:tcW w:w="1533" w:type="dxa"/>
            <w:vAlign w:val="center"/>
          </w:tcPr>
          <w:p w:rsidR="008251EB" w:rsidRDefault="00684082">
            <w:pPr>
              <w:jc w:val="center"/>
            </w:pPr>
            <w:r>
              <w:rPr>
                <w:color w:val="000000"/>
                <w:sz w:val="24"/>
              </w:rPr>
              <w:t>101354015</w:t>
            </w:r>
          </w:p>
        </w:tc>
        <w:tc>
          <w:tcPr>
            <w:tcW w:w="1533" w:type="dxa"/>
            <w:vAlign w:val="center"/>
          </w:tcPr>
          <w:p w:rsidR="008251EB" w:rsidRDefault="00684082">
            <w:pPr>
              <w:jc w:val="center"/>
            </w:pPr>
            <w:r>
              <w:rPr>
                <w:color w:val="000000"/>
                <w:sz w:val="24"/>
              </w:rPr>
              <w:t>13</w:t>
            </w:r>
            <w:r>
              <w:rPr>
                <w:color w:val="000000"/>
                <w:sz w:val="24"/>
              </w:rPr>
              <w:t>南电</w:t>
            </w:r>
            <w:r>
              <w:rPr>
                <w:color w:val="000000"/>
                <w:sz w:val="24"/>
              </w:rPr>
              <w:t>MTN002</w:t>
            </w:r>
          </w:p>
        </w:tc>
        <w:tc>
          <w:tcPr>
            <w:tcW w:w="1394" w:type="dxa"/>
            <w:vAlign w:val="center"/>
          </w:tcPr>
          <w:p w:rsidR="008251EB" w:rsidRDefault="00684082">
            <w:pPr>
              <w:jc w:val="right"/>
            </w:pPr>
            <w:r>
              <w:rPr>
                <w:color w:val="000000"/>
                <w:sz w:val="24"/>
              </w:rPr>
              <w:t>500,000</w:t>
            </w:r>
          </w:p>
        </w:tc>
        <w:tc>
          <w:tcPr>
            <w:tcW w:w="1944" w:type="dxa"/>
            <w:vAlign w:val="center"/>
          </w:tcPr>
          <w:p w:rsidR="008251EB" w:rsidRDefault="00684082">
            <w:pPr>
              <w:jc w:val="right"/>
            </w:pPr>
            <w:r>
              <w:rPr>
                <w:color w:val="000000"/>
                <w:sz w:val="24"/>
              </w:rPr>
              <w:t>50,810,000.00</w:t>
            </w:r>
          </w:p>
        </w:tc>
        <w:tc>
          <w:tcPr>
            <w:tcW w:w="1389" w:type="dxa"/>
            <w:vAlign w:val="center"/>
          </w:tcPr>
          <w:p w:rsidR="008251EB" w:rsidRDefault="00684082">
            <w:pPr>
              <w:jc w:val="right"/>
            </w:pPr>
            <w:r>
              <w:rPr>
                <w:color w:val="000000"/>
                <w:sz w:val="24"/>
              </w:rPr>
              <w:t>5.88</w:t>
            </w:r>
          </w:p>
        </w:tc>
      </w:tr>
      <w:tr w:rsidR="008251EB">
        <w:trPr>
          <w:jc w:val="center"/>
        </w:trPr>
        <w:tc>
          <w:tcPr>
            <w:tcW w:w="1075" w:type="dxa"/>
            <w:vAlign w:val="center"/>
          </w:tcPr>
          <w:p w:rsidR="008251EB" w:rsidRDefault="00684082">
            <w:pPr>
              <w:jc w:val="center"/>
            </w:pPr>
            <w:r>
              <w:rPr>
                <w:color w:val="000000"/>
                <w:sz w:val="24"/>
              </w:rPr>
              <w:t>2</w:t>
            </w:r>
          </w:p>
        </w:tc>
        <w:tc>
          <w:tcPr>
            <w:tcW w:w="1533" w:type="dxa"/>
            <w:vAlign w:val="center"/>
          </w:tcPr>
          <w:p w:rsidR="008251EB" w:rsidRDefault="00684082">
            <w:pPr>
              <w:jc w:val="center"/>
            </w:pPr>
            <w:r>
              <w:rPr>
                <w:color w:val="000000"/>
                <w:sz w:val="24"/>
              </w:rPr>
              <w:t>011754026</w:t>
            </w:r>
          </w:p>
        </w:tc>
        <w:tc>
          <w:tcPr>
            <w:tcW w:w="1533" w:type="dxa"/>
            <w:vAlign w:val="center"/>
          </w:tcPr>
          <w:p w:rsidR="008251EB" w:rsidRDefault="00684082">
            <w:pPr>
              <w:jc w:val="center"/>
            </w:pPr>
            <w:r>
              <w:rPr>
                <w:color w:val="000000"/>
                <w:sz w:val="24"/>
              </w:rPr>
              <w:t>17</w:t>
            </w:r>
            <w:r>
              <w:rPr>
                <w:color w:val="000000"/>
                <w:sz w:val="24"/>
              </w:rPr>
              <w:t>浦东土地</w:t>
            </w:r>
            <w:r>
              <w:rPr>
                <w:color w:val="000000"/>
                <w:sz w:val="24"/>
              </w:rPr>
              <w:t>SCP001</w:t>
            </w:r>
          </w:p>
        </w:tc>
        <w:tc>
          <w:tcPr>
            <w:tcW w:w="1394" w:type="dxa"/>
            <w:vAlign w:val="center"/>
          </w:tcPr>
          <w:p w:rsidR="008251EB" w:rsidRDefault="00684082">
            <w:pPr>
              <w:jc w:val="right"/>
            </w:pPr>
            <w:r>
              <w:rPr>
                <w:color w:val="000000"/>
                <w:sz w:val="24"/>
              </w:rPr>
              <w:t>400,000</w:t>
            </w:r>
          </w:p>
        </w:tc>
        <w:tc>
          <w:tcPr>
            <w:tcW w:w="1944" w:type="dxa"/>
            <w:vAlign w:val="center"/>
          </w:tcPr>
          <w:p w:rsidR="008251EB" w:rsidRDefault="00684082">
            <w:pPr>
              <w:jc w:val="right"/>
            </w:pPr>
            <w:r>
              <w:rPr>
                <w:color w:val="000000"/>
                <w:sz w:val="24"/>
              </w:rPr>
              <w:t>40,116,000.00</w:t>
            </w:r>
          </w:p>
        </w:tc>
        <w:tc>
          <w:tcPr>
            <w:tcW w:w="1389" w:type="dxa"/>
            <w:vAlign w:val="center"/>
          </w:tcPr>
          <w:p w:rsidR="008251EB" w:rsidRDefault="00684082">
            <w:pPr>
              <w:jc w:val="right"/>
            </w:pPr>
            <w:r>
              <w:rPr>
                <w:color w:val="000000"/>
                <w:sz w:val="24"/>
              </w:rPr>
              <w:t>4.64</w:t>
            </w:r>
          </w:p>
        </w:tc>
      </w:tr>
      <w:tr w:rsidR="008251EB">
        <w:trPr>
          <w:jc w:val="center"/>
        </w:trPr>
        <w:tc>
          <w:tcPr>
            <w:tcW w:w="1075" w:type="dxa"/>
            <w:vAlign w:val="center"/>
          </w:tcPr>
          <w:p w:rsidR="008251EB" w:rsidRDefault="00684082">
            <w:pPr>
              <w:jc w:val="center"/>
            </w:pPr>
            <w:r>
              <w:rPr>
                <w:color w:val="000000"/>
                <w:sz w:val="24"/>
              </w:rPr>
              <w:t>3</w:t>
            </w:r>
          </w:p>
        </w:tc>
        <w:tc>
          <w:tcPr>
            <w:tcW w:w="1533" w:type="dxa"/>
            <w:vAlign w:val="center"/>
          </w:tcPr>
          <w:p w:rsidR="008251EB" w:rsidRDefault="00684082">
            <w:pPr>
              <w:jc w:val="center"/>
            </w:pPr>
            <w:r>
              <w:rPr>
                <w:color w:val="000000"/>
                <w:sz w:val="24"/>
              </w:rPr>
              <w:t>041769004</w:t>
            </w:r>
          </w:p>
        </w:tc>
        <w:tc>
          <w:tcPr>
            <w:tcW w:w="1533" w:type="dxa"/>
            <w:vAlign w:val="center"/>
          </w:tcPr>
          <w:p w:rsidR="008251EB" w:rsidRDefault="00684082">
            <w:pPr>
              <w:jc w:val="center"/>
            </w:pPr>
            <w:r>
              <w:rPr>
                <w:color w:val="000000"/>
                <w:sz w:val="24"/>
              </w:rPr>
              <w:t>17</w:t>
            </w:r>
            <w:r>
              <w:rPr>
                <w:color w:val="000000"/>
                <w:sz w:val="24"/>
              </w:rPr>
              <w:t>国家核电</w:t>
            </w:r>
            <w:r>
              <w:rPr>
                <w:color w:val="000000"/>
                <w:sz w:val="24"/>
              </w:rPr>
              <w:t>CP001</w:t>
            </w:r>
          </w:p>
        </w:tc>
        <w:tc>
          <w:tcPr>
            <w:tcW w:w="1394" w:type="dxa"/>
            <w:vAlign w:val="center"/>
          </w:tcPr>
          <w:p w:rsidR="008251EB" w:rsidRDefault="00684082">
            <w:pPr>
              <w:jc w:val="right"/>
            </w:pPr>
            <w:r>
              <w:rPr>
                <w:color w:val="000000"/>
                <w:sz w:val="24"/>
              </w:rPr>
              <w:t>300,000</w:t>
            </w:r>
          </w:p>
        </w:tc>
        <w:tc>
          <w:tcPr>
            <w:tcW w:w="1944" w:type="dxa"/>
            <w:vAlign w:val="center"/>
          </w:tcPr>
          <w:p w:rsidR="008251EB" w:rsidRDefault="00684082">
            <w:pPr>
              <w:jc w:val="right"/>
            </w:pPr>
            <w:r>
              <w:rPr>
                <w:color w:val="000000"/>
                <w:sz w:val="24"/>
              </w:rPr>
              <w:t>30,036,000.00</w:t>
            </w:r>
          </w:p>
        </w:tc>
        <w:tc>
          <w:tcPr>
            <w:tcW w:w="1389" w:type="dxa"/>
            <w:vAlign w:val="center"/>
          </w:tcPr>
          <w:p w:rsidR="008251EB" w:rsidRDefault="00684082">
            <w:pPr>
              <w:jc w:val="right"/>
            </w:pPr>
            <w:r>
              <w:rPr>
                <w:color w:val="000000"/>
                <w:sz w:val="24"/>
              </w:rPr>
              <w:t>3.47</w:t>
            </w:r>
          </w:p>
        </w:tc>
      </w:tr>
      <w:tr w:rsidR="008251EB">
        <w:trPr>
          <w:jc w:val="center"/>
        </w:trPr>
        <w:tc>
          <w:tcPr>
            <w:tcW w:w="1075" w:type="dxa"/>
            <w:vAlign w:val="center"/>
          </w:tcPr>
          <w:p w:rsidR="008251EB" w:rsidRDefault="00684082">
            <w:pPr>
              <w:jc w:val="center"/>
            </w:pPr>
            <w:r>
              <w:rPr>
                <w:color w:val="000000"/>
                <w:sz w:val="24"/>
              </w:rPr>
              <w:t>4</w:t>
            </w:r>
          </w:p>
        </w:tc>
        <w:tc>
          <w:tcPr>
            <w:tcW w:w="1533" w:type="dxa"/>
            <w:vAlign w:val="center"/>
          </w:tcPr>
          <w:p w:rsidR="008251EB" w:rsidRDefault="00684082">
            <w:pPr>
              <w:jc w:val="center"/>
            </w:pPr>
            <w:r>
              <w:rPr>
                <w:color w:val="000000"/>
                <w:sz w:val="24"/>
              </w:rPr>
              <w:t>041751007</w:t>
            </w:r>
          </w:p>
        </w:tc>
        <w:tc>
          <w:tcPr>
            <w:tcW w:w="1533" w:type="dxa"/>
            <w:vAlign w:val="center"/>
          </w:tcPr>
          <w:p w:rsidR="008251EB" w:rsidRDefault="00684082">
            <w:pPr>
              <w:jc w:val="center"/>
            </w:pPr>
            <w:r>
              <w:rPr>
                <w:color w:val="000000"/>
                <w:sz w:val="24"/>
              </w:rPr>
              <w:t>17</w:t>
            </w:r>
            <w:r>
              <w:rPr>
                <w:color w:val="000000"/>
                <w:sz w:val="24"/>
              </w:rPr>
              <w:t>澜沧江</w:t>
            </w:r>
            <w:r>
              <w:rPr>
                <w:color w:val="000000"/>
                <w:sz w:val="24"/>
              </w:rPr>
              <w:t>CP001</w:t>
            </w:r>
          </w:p>
        </w:tc>
        <w:tc>
          <w:tcPr>
            <w:tcW w:w="1394" w:type="dxa"/>
            <w:vAlign w:val="center"/>
          </w:tcPr>
          <w:p w:rsidR="008251EB" w:rsidRDefault="00684082">
            <w:pPr>
              <w:jc w:val="right"/>
            </w:pPr>
            <w:r>
              <w:rPr>
                <w:color w:val="000000"/>
                <w:sz w:val="24"/>
              </w:rPr>
              <w:t>300,000</w:t>
            </w:r>
          </w:p>
        </w:tc>
        <w:tc>
          <w:tcPr>
            <w:tcW w:w="1944" w:type="dxa"/>
            <w:vAlign w:val="center"/>
          </w:tcPr>
          <w:p w:rsidR="008251EB" w:rsidRDefault="00684082">
            <w:pPr>
              <w:jc w:val="right"/>
            </w:pPr>
            <w:r>
              <w:rPr>
                <w:color w:val="000000"/>
                <w:sz w:val="24"/>
              </w:rPr>
              <w:t>30,027,000.00</w:t>
            </w:r>
          </w:p>
        </w:tc>
        <w:tc>
          <w:tcPr>
            <w:tcW w:w="1389" w:type="dxa"/>
            <w:vAlign w:val="center"/>
          </w:tcPr>
          <w:p w:rsidR="008251EB" w:rsidRDefault="00684082">
            <w:pPr>
              <w:jc w:val="right"/>
            </w:pPr>
            <w:r>
              <w:rPr>
                <w:color w:val="000000"/>
                <w:sz w:val="24"/>
              </w:rPr>
              <w:t>3.47</w:t>
            </w:r>
          </w:p>
        </w:tc>
      </w:tr>
      <w:tr w:rsidR="008251EB">
        <w:trPr>
          <w:jc w:val="center"/>
        </w:trPr>
        <w:tc>
          <w:tcPr>
            <w:tcW w:w="1075" w:type="dxa"/>
            <w:vAlign w:val="center"/>
          </w:tcPr>
          <w:p w:rsidR="008251EB" w:rsidRDefault="00684082">
            <w:pPr>
              <w:jc w:val="center"/>
            </w:pPr>
            <w:r>
              <w:rPr>
                <w:color w:val="000000"/>
                <w:sz w:val="24"/>
              </w:rPr>
              <w:t>5</w:t>
            </w:r>
          </w:p>
        </w:tc>
        <w:tc>
          <w:tcPr>
            <w:tcW w:w="1533" w:type="dxa"/>
            <w:vAlign w:val="center"/>
          </w:tcPr>
          <w:p w:rsidR="008251EB" w:rsidRDefault="00684082">
            <w:pPr>
              <w:jc w:val="center"/>
            </w:pPr>
            <w:r>
              <w:rPr>
                <w:color w:val="000000"/>
                <w:sz w:val="24"/>
              </w:rPr>
              <w:t>011761025</w:t>
            </w:r>
          </w:p>
        </w:tc>
        <w:tc>
          <w:tcPr>
            <w:tcW w:w="1533" w:type="dxa"/>
            <w:vAlign w:val="center"/>
          </w:tcPr>
          <w:p w:rsidR="008251EB" w:rsidRDefault="00684082">
            <w:pPr>
              <w:jc w:val="center"/>
            </w:pPr>
            <w:r>
              <w:rPr>
                <w:color w:val="000000"/>
                <w:sz w:val="24"/>
              </w:rPr>
              <w:t>17</w:t>
            </w:r>
            <w:r>
              <w:rPr>
                <w:color w:val="000000"/>
                <w:sz w:val="24"/>
              </w:rPr>
              <w:t>皖投集</w:t>
            </w:r>
            <w:r>
              <w:rPr>
                <w:color w:val="000000"/>
                <w:sz w:val="24"/>
              </w:rPr>
              <w:t>SCP001</w:t>
            </w:r>
          </w:p>
        </w:tc>
        <w:tc>
          <w:tcPr>
            <w:tcW w:w="1394" w:type="dxa"/>
            <w:vAlign w:val="center"/>
          </w:tcPr>
          <w:p w:rsidR="008251EB" w:rsidRDefault="00684082">
            <w:pPr>
              <w:jc w:val="right"/>
            </w:pPr>
            <w:r>
              <w:rPr>
                <w:color w:val="000000"/>
                <w:sz w:val="24"/>
              </w:rPr>
              <w:t>300,000</w:t>
            </w:r>
          </w:p>
        </w:tc>
        <w:tc>
          <w:tcPr>
            <w:tcW w:w="1944" w:type="dxa"/>
            <w:vAlign w:val="center"/>
          </w:tcPr>
          <w:p w:rsidR="008251EB" w:rsidRDefault="00684082">
            <w:pPr>
              <w:jc w:val="right"/>
            </w:pPr>
            <w:r>
              <w:rPr>
                <w:color w:val="000000"/>
                <w:sz w:val="24"/>
              </w:rPr>
              <w:t>30,006,000.00</w:t>
            </w:r>
          </w:p>
        </w:tc>
        <w:tc>
          <w:tcPr>
            <w:tcW w:w="1389" w:type="dxa"/>
            <w:vAlign w:val="center"/>
          </w:tcPr>
          <w:p w:rsidR="008251EB" w:rsidRDefault="00684082">
            <w:pPr>
              <w:jc w:val="right"/>
            </w:pPr>
            <w:r>
              <w:rPr>
                <w:color w:val="000000"/>
                <w:sz w:val="24"/>
              </w:rPr>
              <w:t>3.47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83,486.13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2,484,045.88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7,861,327.78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10,428,859.79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EF093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交银卓越回报灵活配置混合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交银卓越回报灵活配置混合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684,875,213.22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249,750,249.75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24,988.94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113,148,621.17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571,751,580.99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249,750,249.75</w:t>
            </w:r>
          </w:p>
        </w:tc>
      </w:tr>
    </w:tbl>
    <w:p w:rsidR="008251EB" w:rsidRDefault="0068408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EF0939">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75791A" w:rsidRDefault="00ED0E09" w:rsidP="00EF0939">
      <w:pPr>
        <w:pStyle w:val="1"/>
        <w:spacing w:beforeLines="100" w:before="312" w:afterLines="100" w:after="312" w:line="360" w:lineRule="auto"/>
        <w:jc w:val="center"/>
        <w:rPr>
          <w:rFonts w:eastAsiaTheme="minorEastAsia"/>
          <w:color w:val="000000" w:themeColor="text1"/>
          <w:kern w:val="0"/>
          <w:sz w:val="24"/>
          <w:szCs w:val="24"/>
        </w:rPr>
      </w:pPr>
      <w:r w:rsidRPr="0075791A">
        <w:rPr>
          <w:rFonts w:eastAsiaTheme="minorEastAsia"/>
          <w:color w:val="000000" w:themeColor="text1"/>
          <w:kern w:val="0"/>
          <w:sz w:val="24"/>
          <w:szCs w:val="24"/>
        </w:rPr>
        <w:t xml:space="preserve">§8 </w:t>
      </w:r>
      <w:r w:rsidRPr="0075791A">
        <w:rPr>
          <w:rFonts w:eastAsiaTheme="minorEastAsia"/>
          <w:color w:val="000000" w:themeColor="text1"/>
          <w:kern w:val="0"/>
          <w:sz w:val="24"/>
          <w:szCs w:val="24"/>
        </w:rPr>
        <w:t>影响投资者决策的其他重要信息</w:t>
      </w:r>
    </w:p>
    <w:p w:rsidR="00ED0E09" w:rsidRPr="0075791A" w:rsidRDefault="00ED0E09" w:rsidP="00ED0E09">
      <w:pPr>
        <w:autoSpaceDE w:val="0"/>
        <w:autoSpaceDN w:val="0"/>
        <w:adjustRightInd w:val="0"/>
        <w:spacing w:line="360" w:lineRule="auto"/>
        <w:jc w:val="left"/>
        <w:rPr>
          <w:b/>
          <w:bCs/>
          <w:color w:val="000000"/>
          <w:kern w:val="0"/>
          <w:sz w:val="24"/>
        </w:rPr>
      </w:pPr>
      <w:r w:rsidRPr="0075791A">
        <w:rPr>
          <w:b/>
          <w:bCs/>
          <w:color w:val="000000"/>
          <w:kern w:val="0"/>
          <w:sz w:val="24"/>
        </w:rPr>
        <w:t xml:space="preserve">8.1 </w:t>
      </w:r>
      <w:r w:rsidRPr="0075791A">
        <w:rPr>
          <w:b/>
          <w:bCs/>
          <w:color w:val="000000"/>
          <w:kern w:val="0"/>
          <w:sz w:val="24"/>
        </w:rPr>
        <w:t>报告期内单一投资者持有基金份额比例达到或超过</w:t>
      </w:r>
      <w:r w:rsidRPr="0075791A">
        <w:rPr>
          <w:b/>
          <w:bCs/>
          <w:color w:val="000000"/>
          <w:kern w:val="0"/>
          <w:sz w:val="24"/>
        </w:rPr>
        <w:t>20%</w:t>
      </w:r>
      <w:r w:rsidRPr="0075791A">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75791A"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75791A" w:rsidRDefault="00ED0E09">
            <w:pPr>
              <w:autoSpaceDE w:val="0"/>
              <w:autoSpaceDN w:val="0"/>
              <w:adjustRightInd w:val="0"/>
              <w:jc w:val="center"/>
              <w:rPr>
                <w:b/>
                <w:bCs/>
                <w:color w:val="000000"/>
                <w:kern w:val="0"/>
                <w:sz w:val="24"/>
              </w:rPr>
            </w:pPr>
            <w:r w:rsidRPr="0075791A">
              <w:rPr>
                <w:color w:val="000000"/>
                <w:kern w:val="0"/>
                <w:sz w:val="24"/>
              </w:rPr>
              <w:t>投资者类别</w:t>
            </w:r>
            <w:r w:rsidRPr="0075791A">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75791A" w:rsidRDefault="00ED0E09">
            <w:pPr>
              <w:autoSpaceDE w:val="0"/>
              <w:autoSpaceDN w:val="0"/>
              <w:adjustRightInd w:val="0"/>
              <w:jc w:val="center"/>
              <w:rPr>
                <w:b/>
                <w:bCs/>
                <w:color w:val="000000"/>
                <w:kern w:val="0"/>
                <w:sz w:val="24"/>
              </w:rPr>
            </w:pPr>
            <w:r w:rsidRPr="0075791A">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75791A" w:rsidRDefault="00ED0E09">
            <w:pPr>
              <w:autoSpaceDE w:val="0"/>
              <w:autoSpaceDN w:val="0"/>
              <w:adjustRightInd w:val="0"/>
              <w:jc w:val="center"/>
              <w:rPr>
                <w:b/>
                <w:bCs/>
                <w:color w:val="000000"/>
                <w:kern w:val="0"/>
                <w:sz w:val="24"/>
              </w:rPr>
            </w:pPr>
            <w:r w:rsidRPr="0075791A">
              <w:rPr>
                <w:color w:val="000000"/>
                <w:kern w:val="0"/>
                <w:sz w:val="24"/>
              </w:rPr>
              <w:t>报告期末持有基金情况</w:t>
            </w:r>
          </w:p>
        </w:tc>
      </w:tr>
      <w:tr w:rsidR="00ED0E09" w:rsidRPr="0075791A"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75791A"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75791A" w:rsidRDefault="00ED0E09">
            <w:pPr>
              <w:autoSpaceDE w:val="0"/>
              <w:autoSpaceDN w:val="0"/>
              <w:adjustRightInd w:val="0"/>
              <w:jc w:val="center"/>
              <w:rPr>
                <w:b/>
                <w:bCs/>
                <w:color w:val="000000"/>
                <w:kern w:val="0"/>
                <w:sz w:val="24"/>
              </w:rPr>
            </w:pPr>
            <w:r w:rsidRPr="0075791A">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75791A" w:rsidRDefault="00ED0E09">
            <w:pPr>
              <w:autoSpaceDE w:val="0"/>
              <w:autoSpaceDN w:val="0"/>
              <w:adjustRightInd w:val="0"/>
              <w:jc w:val="center"/>
              <w:rPr>
                <w:b/>
                <w:bCs/>
                <w:color w:val="000000"/>
                <w:kern w:val="0"/>
                <w:sz w:val="24"/>
              </w:rPr>
            </w:pPr>
            <w:r w:rsidRPr="0075791A">
              <w:rPr>
                <w:color w:val="000000"/>
                <w:kern w:val="0"/>
                <w:sz w:val="24"/>
              </w:rPr>
              <w:t>持有基金份额比例达到或者超过</w:t>
            </w:r>
            <w:r w:rsidRPr="0075791A">
              <w:rPr>
                <w:color w:val="000000"/>
                <w:kern w:val="0"/>
                <w:sz w:val="24"/>
              </w:rPr>
              <w:t>20%</w:t>
            </w:r>
            <w:r w:rsidRPr="0075791A">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75791A" w:rsidRDefault="00ED0E09">
            <w:pPr>
              <w:widowControl/>
              <w:jc w:val="center"/>
              <w:rPr>
                <w:b/>
                <w:bCs/>
                <w:color w:val="000000"/>
                <w:kern w:val="0"/>
                <w:sz w:val="24"/>
              </w:rPr>
            </w:pPr>
            <w:r w:rsidRPr="0075791A">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75791A" w:rsidRDefault="00ED0E09">
            <w:pPr>
              <w:widowControl/>
              <w:jc w:val="center"/>
              <w:rPr>
                <w:b/>
                <w:bCs/>
                <w:color w:val="000000"/>
                <w:kern w:val="0"/>
                <w:sz w:val="24"/>
              </w:rPr>
            </w:pPr>
            <w:r w:rsidRPr="0075791A">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75791A" w:rsidRDefault="00ED0E09">
            <w:pPr>
              <w:widowControl/>
              <w:jc w:val="center"/>
              <w:rPr>
                <w:b/>
                <w:bCs/>
                <w:color w:val="000000"/>
                <w:kern w:val="0"/>
                <w:sz w:val="24"/>
              </w:rPr>
            </w:pPr>
            <w:r w:rsidRPr="0075791A">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75791A" w:rsidRDefault="00ED0E09">
            <w:pPr>
              <w:autoSpaceDE w:val="0"/>
              <w:autoSpaceDN w:val="0"/>
              <w:adjustRightInd w:val="0"/>
              <w:jc w:val="center"/>
              <w:rPr>
                <w:b/>
                <w:bCs/>
                <w:color w:val="000000"/>
                <w:kern w:val="0"/>
                <w:sz w:val="24"/>
              </w:rPr>
            </w:pPr>
            <w:r w:rsidRPr="0075791A">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75791A" w:rsidRDefault="00ED0E09">
            <w:pPr>
              <w:autoSpaceDE w:val="0"/>
              <w:autoSpaceDN w:val="0"/>
              <w:adjustRightInd w:val="0"/>
              <w:jc w:val="center"/>
              <w:rPr>
                <w:b/>
                <w:bCs/>
                <w:color w:val="000000"/>
                <w:kern w:val="0"/>
                <w:sz w:val="24"/>
              </w:rPr>
            </w:pPr>
            <w:r w:rsidRPr="0075791A">
              <w:rPr>
                <w:color w:val="000000"/>
                <w:kern w:val="0"/>
                <w:sz w:val="24"/>
              </w:rPr>
              <w:t>份额占比</w:t>
            </w:r>
          </w:p>
        </w:tc>
      </w:tr>
      <w:tr w:rsidR="008251EB" w:rsidRPr="0075791A">
        <w:tc>
          <w:tcPr>
            <w:tcW w:w="992" w:type="dxa"/>
            <w:vMerge w:val="restart"/>
          </w:tcPr>
          <w:p w:rsidR="008251EB" w:rsidRPr="0075791A" w:rsidRDefault="008251EB">
            <w:pPr>
              <w:rPr>
                <w:sz w:val="24"/>
              </w:rPr>
            </w:pPr>
          </w:p>
          <w:p w:rsidR="008251EB" w:rsidRPr="0075791A" w:rsidRDefault="00684082">
            <w:pPr>
              <w:rPr>
                <w:sz w:val="24"/>
              </w:rPr>
            </w:pPr>
            <w:r w:rsidRPr="0075791A">
              <w:rPr>
                <w:bCs/>
                <w:color w:val="000000"/>
                <w:kern w:val="0"/>
                <w:sz w:val="24"/>
              </w:rPr>
              <w:t>机构</w:t>
            </w:r>
          </w:p>
        </w:tc>
        <w:tc>
          <w:tcPr>
            <w:tcW w:w="991" w:type="dxa"/>
            <w:vAlign w:val="center"/>
          </w:tcPr>
          <w:p w:rsidR="008251EB" w:rsidRPr="0075791A" w:rsidRDefault="00684082">
            <w:pPr>
              <w:jc w:val="center"/>
              <w:rPr>
                <w:sz w:val="24"/>
              </w:rPr>
            </w:pPr>
            <w:r w:rsidRPr="0075791A">
              <w:rPr>
                <w:color w:val="000000"/>
                <w:kern w:val="0"/>
                <w:sz w:val="24"/>
              </w:rPr>
              <w:t>1</w:t>
            </w:r>
          </w:p>
        </w:tc>
        <w:tc>
          <w:tcPr>
            <w:tcW w:w="1843" w:type="dxa"/>
            <w:vAlign w:val="center"/>
          </w:tcPr>
          <w:p w:rsidR="008251EB" w:rsidRPr="0075791A" w:rsidRDefault="00684082">
            <w:pPr>
              <w:jc w:val="center"/>
              <w:rPr>
                <w:sz w:val="24"/>
              </w:rPr>
            </w:pPr>
            <w:r w:rsidRPr="0075791A">
              <w:rPr>
                <w:color w:val="000000"/>
                <w:kern w:val="0"/>
                <w:sz w:val="24"/>
              </w:rPr>
              <w:t>2017/4/1-2017/6/30</w:t>
            </w:r>
          </w:p>
        </w:tc>
        <w:tc>
          <w:tcPr>
            <w:tcW w:w="851" w:type="dxa"/>
            <w:vAlign w:val="center"/>
          </w:tcPr>
          <w:p w:rsidR="008251EB" w:rsidRPr="0075791A" w:rsidRDefault="00684082">
            <w:pPr>
              <w:jc w:val="center"/>
              <w:rPr>
                <w:sz w:val="24"/>
              </w:rPr>
            </w:pPr>
            <w:r w:rsidRPr="0075791A">
              <w:rPr>
                <w:color w:val="000000"/>
                <w:kern w:val="0"/>
                <w:sz w:val="24"/>
              </w:rPr>
              <w:t>499,499,500.50</w:t>
            </w:r>
          </w:p>
        </w:tc>
        <w:tc>
          <w:tcPr>
            <w:tcW w:w="850" w:type="dxa"/>
            <w:vAlign w:val="center"/>
          </w:tcPr>
          <w:p w:rsidR="008251EB" w:rsidRPr="0075791A" w:rsidRDefault="00684082">
            <w:pPr>
              <w:jc w:val="center"/>
              <w:rPr>
                <w:sz w:val="24"/>
              </w:rPr>
            </w:pPr>
            <w:r w:rsidRPr="0075791A">
              <w:rPr>
                <w:color w:val="000000"/>
                <w:kern w:val="0"/>
                <w:sz w:val="24"/>
              </w:rPr>
              <w:t>-</w:t>
            </w:r>
          </w:p>
        </w:tc>
        <w:tc>
          <w:tcPr>
            <w:tcW w:w="1134" w:type="dxa"/>
            <w:vAlign w:val="center"/>
          </w:tcPr>
          <w:p w:rsidR="008251EB" w:rsidRPr="0075791A" w:rsidRDefault="00684082">
            <w:pPr>
              <w:jc w:val="center"/>
              <w:rPr>
                <w:sz w:val="24"/>
              </w:rPr>
            </w:pPr>
            <w:r w:rsidRPr="0075791A">
              <w:rPr>
                <w:color w:val="000000"/>
                <w:kern w:val="0"/>
                <w:sz w:val="24"/>
              </w:rPr>
              <w:t>-</w:t>
            </w:r>
          </w:p>
        </w:tc>
        <w:tc>
          <w:tcPr>
            <w:tcW w:w="1419" w:type="dxa"/>
            <w:vAlign w:val="center"/>
          </w:tcPr>
          <w:p w:rsidR="008251EB" w:rsidRPr="0075791A" w:rsidRDefault="00684082">
            <w:pPr>
              <w:jc w:val="center"/>
              <w:rPr>
                <w:sz w:val="24"/>
              </w:rPr>
            </w:pPr>
            <w:r w:rsidRPr="0075791A">
              <w:rPr>
                <w:color w:val="000000"/>
                <w:kern w:val="0"/>
                <w:sz w:val="24"/>
              </w:rPr>
              <w:t>499,499,500.50</w:t>
            </w:r>
          </w:p>
        </w:tc>
        <w:tc>
          <w:tcPr>
            <w:tcW w:w="1130" w:type="dxa"/>
            <w:vAlign w:val="center"/>
          </w:tcPr>
          <w:p w:rsidR="008251EB" w:rsidRPr="0075791A" w:rsidRDefault="00684082">
            <w:pPr>
              <w:jc w:val="center"/>
              <w:rPr>
                <w:sz w:val="24"/>
              </w:rPr>
            </w:pPr>
            <w:r w:rsidRPr="0075791A">
              <w:rPr>
                <w:color w:val="000000"/>
                <w:kern w:val="0"/>
                <w:sz w:val="24"/>
              </w:rPr>
              <w:t>60.80%</w:t>
            </w:r>
          </w:p>
        </w:tc>
      </w:tr>
    </w:tbl>
    <w:p w:rsidR="00ED0E09" w:rsidRPr="0075791A" w:rsidRDefault="00ED0E09" w:rsidP="00ED0E09">
      <w:pPr>
        <w:autoSpaceDE w:val="0"/>
        <w:autoSpaceDN w:val="0"/>
        <w:adjustRightInd w:val="0"/>
        <w:spacing w:line="360" w:lineRule="auto"/>
        <w:jc w:val="left"/>
        <w:rPr>
          <w:bCs/>
          <w:color w:val="000000"/>
          <w:kern w:val="0"/>
          <w:sz w:val="24"/>
        </w:rPr>
      </w:pPr>
      <w:r w:rsidRPr="0075791A">
        <w:rPr>
          <w:bCs/>
          <w:color w:val="000000"/>
          <w:kern w:val="0"/>
          <w:sz w:val="24"/>
        </w:rPr>
        <w:t>注：本基金本报告期内出现单一投资者持有基金份额比例超过基金总份额</w:t>
      </w:r>
      <w:r w:rsidRPr="0075791A">
        <w:rPr>
          <w:bCs/>
          <w:color w:val="000000"/>
          <w:kern w:val="0"/>
          <w:sz w:val="24"/>
        </w:rPr>
        <w:t>20%</w:t>
      </w:r>
      <w:r w:rsidRPr="0075791A">
        <w:rPr>
          <w:bCs/>
          <w:color w:val="000000"/>
          <w:kern w:val="0"/>
          <w:sz w:val="24"/>
        </w:rPr>
        <w:t>的情况。如该类投资者集中赎回，可能会对本基金带来流动性冲击，从而影响基金的投资运作和收益水平。基金管理人将加强流动性管理，防范相关风险，保护持有人利益。</w:t>
      </w:r>
    </w:p>
    <w:p w:rsidR="00175E3A" w:rsidRPr="007032A6" w:rsidRDefault="009238DB" w:rsidP="00EF093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251EB" w:rsidRDefault="0068408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、中国证监会准予交银施罗德卓越回报灵活配置混合型证券投资基金募集注册的文件；</w:t>
      </w:r>
      <w:r>
        <w:rPr>
          <w:rFonts w:eastAsiaTheme="minorEastAsia"/>
          <w:color w:val="000000"/>
          <w:sz w:val="24"/>
        </w:rPr>
        <w:t xml:space="preserve"> </w:t>
      </w:r>
    </w:p>
    <w:p w:rsidR="008251EB" w:rsidRDefault="0068408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、《交银施罗德卓越回报灵活配置混合型证券投资基金基金合同》；</w:t>
      </w:r>
      <w:r>
        <w:rPr>
          <w:rFonts w:eastAsiaTheme="minorEastAsia"/>
          <w:color w:val="000000"/>
          <w:sz w:val="24"/>
        </w:rPr>
        <w:t xml:space="preserve"> </w:t>
      </w:r>
    </w:p>
    <w:p w:rsidR="008251EB" w:rsidRDefault="0068408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、《交银施罗德卓越回报灵活配置混合型证券投资基金招募说明书》；</w:t>
      </w:r>
      <w:r>
        <w:rPr>
          <w:rFonts w:eastAsiaTheme="minorEastAsia"/>
          <w:color w:val="000000"/>
          <w:sz w:val="24"/>
        </w:rPr>
        <w:t xml:space="preserve"> </w:t>
      </w:r>
    </w:p>
    <w:p w:rsidR="008251EB" w:rsidRDefault="0068408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、《交银施罗德卓越回报灵活配置混合型证券投资基金托管协议》；</w:t>
      </w:r>
      <w:r>
        <w:rPr>
          <w:rFonts w:eastAsiaTheme="minorEastAsia"/>
          <w:color w:val="000000"/>
          <w:sz w:val="24"/>
        </w:rPr>
        <w:t xml:space="preserve"> </w:t>
      </w:r>
    </w:p>
    <w:p w:rsidR="008251EB" w:rsidRDefault="0068408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、关于申请募集注册交银施罗德卓越回报灵活配置混合型证券投资基金的法律意见书；</w:t>
      </w:r>
      <w:r>
        <w:rPr>
          <w:rFonts w:eastAsiaTheme="minorEastAsia"/>
          <w:color w:val="000000"/>
          <w:sz w:val="24"/>
        </w:rPr>
        <w:t xml:space="preserve"> </w:t>
      </w:r>
    </w:p>
    <w:p w:rsidR="008251EB" w:rsidRDefault="0068408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251EB" w:rsidRDefault="0068408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、报告期内交银施罗德卓越回报灵活配置混合型证券投资基金在指定报刊上各项公告的原稿。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8251EB" w:rsidRDefault="0068408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F5E" w:rsidRDefault="00136F5E">
      <w:r>
        <w:separator/>
      </w:r>
    </w:p>
  </w:endnote>
  <w:endnote w:type="continuationSeparator" w:id="0">
    <w:p w:rsidR="00136F5E" w:rsidRDefault="0013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39" w:rsidRPr="001D0DB0" w:rsidRDefault="00EF0939" w:rsidP="00F7094A">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D4A3C">
      <w:rPr>
        <w:noProof/>
        <w:kern w:val="0"/>
        <w:szCs w:val="21"/>
      </w:rPr>
      <w:t>7</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6D4A3C">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39" w:rsidRDefault="00EF093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F0939" w:rsidRDefault="00EF09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F5E" w:rsidRDefault="00136F5E">
      <w:r>
        <w:separator/>
      </w:r>
    </w:p>
  </w:footnote>
  <w:footnote w:type="continuationSeparator" w:id="0">
    <w:p w:rsidR="00136F5E" w:rsidRDefault="00136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939" w:rsidRPr="002567DB" w:rsidRDefault="006D4A3C"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4C14"/>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0C42"/>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36F5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CFF"/>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2C3"/>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0140"/>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C6D98"/>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9AC"/>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15B"/>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408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4A3C"/>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91A"/>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1EB"/>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400"/>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0A7F"/>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262"/>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4C31"/>
    <w:rsid w:val="00D45F1B"/>
    <w:rsid w:val="00D478CC"/>
    <w:rsid w:val="00D52289"/>
    <w:rsid w:val="00D52EEE"/>
    <w:rsid w:val="00D55054"/>
    <w:rsid w:val="00D55A37"/>
    <w:rsid w:val="00D55B7E"/>
    <w:rsid w:val="00D56138"/>
    <w:rsid w:val="00D626BF"/>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0939"/>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65A155E3-0071-49F1-9A0F-2AAF76ED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A0513-A2B7-41CC-8864-8F656420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243</TotalTime>
  <Pages>15</Pages>
  <Words>1197</Words>
  <Characters>6824</Characters>
  <Application>Microsoft Office Word</Application>
  <DocSecurity>0</DocSecurity>
  <Lines>56</Lines>
  <Paragraphs>16</Paragraphs>
  <ScaleCrop>false</ScaleCrop>
  <Company>TRT. Ltd. Co.</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379</cp:revision>
  <cp:lastPrinted>2007-07-19T00:46:00Z</cp:lastPrinted>
  <dcterms:created xsi:type="dcterms:W3CDTF">2014-01-17T06:19:00Z</dcterms:created>
  <dcterms:modified xsi:type="dcterms:W3CDTF">2017-07-19T08:26:00Z</dcterms:modified>
</cp:coreProperties>
</file>