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2571C" w:rsidRDefault="0088553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192,913,668.89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85534" w:rsidRPr="00414345" w:rsidTr="0088553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85534" w:rsidRPr="00414345" w:rsidTr="008855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1,834,376.87</w:t>
            </w:r>
          </w:p>
        </w:tc>
      </w:tr>
      <w:tr w:rsidR="00885534" w:rsidRPr="00414345" w:rsidTr="008855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2,182,737.70</w:t>
            </w:r>
          </w:p>
        </w:tc>
      </w:tr>
      <w:tr w:rsidR="00885534" w:rsidRPr="00414345" w:rsidTr="008855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0.0143</w:t>
            </w:r>
          </w:p>
        </w:tc>
      </w:tr>
      <w:tr w:rsidR="00885534" w:rsidRPr="00414345" w:rsidTr="008855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264,346,241.40</w:t>
            </w:r>
          </w:p>
        </w:tc>
      </w:tr>
      <w:tr w:rsidR="00885534" w:rsidRPr="00414345" w:rsidTr="0088553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1.370</w:t>
            </w:r>
          </w:p>
        </w:tc>
      </w:tr>
    </w:tbl>
    <w:p w:rsidR="0012571C" w:rsidRDefault="0088553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EE5FB8">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2571C" w:rsidTr="00EE5FB8">
        <w:trPr>
          <w:jc w:val="center"/>
        </w:trPr>
        <w:tc>
          <w:tcPr>
            <w:tcW w:w="1701" w:type="dxa"/>
            <w:vAlign w:val="center"/>
          </w:tcPr>
          <w:p w:rsidR="0012571C" w:rsidRDefault="00885534">
            <w:pPr>
              <w:jc w:val="left"/>
            </w:pPr>
            <w:r>
              <w:rPr>
                <w:color w:val="000000"/>
                <w:sz w:val="24"/>
                <w:szCs w:val="24"/>
              </w:rPr>
              <w:t>过去三个月</w:t>
            </w:r>
          </w:p>
        </w:tc>
        <w:tc>
          <w:tcPr>
            <w:tcW w:w="1045" w:type="dxa"/>
            <w:vAlign w:val="center"/>
          </w:tcPr>
          <w:p w:rsidR="0012571C" w:rsidRDefault="00885534">
            <w:pPr>
              <w:jc w:val="center"/>
            </w:pPr>
            <w:r>
              <w:rPr>
                <w:color w:val="000000"/>
                <w:sz w:val="24"/>
                <w:szCs w:val="24"/>
              </w:rPr>
              <w:t>0.81%</w:t>
            </w:r>
          </w:p>
        </w:tc>
        <w:tc>
          <w:tcPr>
            <w:tcW w:w="1344" w:type="dxa"/>
            <w:vAlign w:val="center"/>
          </w:tcPr>
          <w:p w:rsidR="0012571C" w:rsidRDefault="00885534">
            <w:pPr>
              <w:jc w:val="center"/>
            </w:pPr>
            <w:r>
              <w:rPr>
                <w:color w:val="000000"/>
                <w:sz w:val="24"/>
                <w:szCs w:val="24"/>
              </w:rPr>
              <w:t>0.07%</w:t>
            </w:r>
          </w:p>
        </w:tc>
        <w:tc>
          <w:tcPr>
            <w:tcW w:w="1194" w:type="dxa"/>
            <w:vAlign w:val="center"/>
          </w:tcPr>
          <w:p w:rsidR="0012571C" w:rsidRDefault="00885534">
            <w:pPr>
              <w:jc w:val="center"/>
            </w:pPr>
            <w:r>
              <w:rPr>
                <w:color w:val="000000"/>
                <w:sz w:val="24"/>
                <w:szCs w:val="24"/>
              </w:rPr>
              <w:t>-3.12%</w:t>
            </w:r>
          </w:p>
        </w:tc>
        <w:tc>
          <w:tcPr>
            <w:tcW w:w="1492" w:type="dxa"/>
            <w:vAlign w:val="center"/>
          </w:tcPr>
          <w:p w:rsidR="0012571C" w:rsidRDefault="00885534">
            <w:pPr>
              <w:jc w:val="center"/>
            </w:pPr>
            <w:r>
              <w:rPr>
                <w:color w:val="000000"/>
                <w:sz w:val="24"/>
                <w:szCs w:val="24"/>
              </w:rPr>
              <w:t>0.11%</w:t>
            </w:r>
          </w:p>
        </w:tc>
        <w:tc>
          <w:tcPr>
            <w:tcW w:w="1083" w:type="dxa"/>
            <w:vAlign w:val="center"/>
          </w:tcPr>
          <w:p w:rsidR="0012571C" w:rsidRDefault="00885534">
            <w:pPr>
              <w:jc w:val="center"/>
            </w:pPr>
            <w:r>
              <w:rPr>
                <w:color w:val="000000"/>
                <w:sz w:val="24"/>
                <w:szCs w:val="24"/>
              </w:rPr>
              <w:t>3.93%</w:t>
            </w:r>
          </w:p>
        </w:tc>
        <w:tc>
          <w:tcPr>
            <w:tcW w:w="1009" w:type="dxa"/>
            <w:vAlign w:val="center"/>
          </w:tcPr>
          <w:p w:rsidR="0012571C" w:rsidRDefault="00885534">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2571C">
        <w:trPr>
          <w:jc w:val="center"/>
        </w:trPr>
        <w:tc>
          <w:tcPr>
            <w:tcW w:w="846" w:type="dxa"/>
            <w:vAlign w:val="center"/>
          </w:tcPr>
          <w:p w:rsidR="0012571C" w:rsidRDefault="00885534">
            <w:pPr>
              <w:jc w:val="center"/>
            </w:pPr>
            <w:r>
              <w:rPr>
                <w:color w:val="000000"/>
                <w:sz w:val="24"/>
                <w:szCs w:val="24"/>
              </w:rPr>
              <w:t>唐赟</w:t>
            </w:r>
          </w:p>
        </w:tc>
        <w:tc>
          <w:tcPr>
            <w:tcW w:w="845" w:type="dxa"/>
            <w:vAlign w:val="center"/>
          </w:tcPr>
          <w:p w:rsidR="0012571C" w:rsidRDefault="0088553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、交银双利债券、交银双轮动债券、交银荣和保本混合、交银裕通纯债债券的基金经理</w:t>
            </w:r>
          </w:p>
        </w:tc>
        <w:tc>
          <w:tcPr>
            <w:tcW w:w="1549" w:type="dxa"/>
            <w:vAlign w:val="center"/>
          </w:tcPr>
          <w:p w:rsidR="0012571C" w:rsidRDefault="00885534">
            <w:pPr>
              <w:jc w:val="center"/>
            </w:pPr>
            <w:r>
              <w:rPr>
                <w:color w:val="000000"/>
                <w:sz w:val="24"/>
                <w:szCs w:val="24"/>
              </w:rPr>
              <w:t>2015-08-04</w:t>
            </w:r>
          </w:p>
        </w:tc>
        <w:tc>
          <w:tcPr>
            <w:tcW w:w="1548" w:type="dxa"/>
            <w:vAlign w:val="center"/>
          </w:tcPr>
          <w:p w:rsidR="0012571C" w:rsidRDefault="00885534">
            <w:pPr>
              <w:jc w:val="center"/>
            </w:pPr>
            <w:r>
              <w:rPr>
                <w:color w:val="000000"/>
                <w:sz w:val="24"/>
                <w:szCs w:val="24"/>
              </w:rPr>
              <w:t>-</w:t>
            </w:r>
          </w:p>
        </w:tc>
        <w:tc>
          <w:tcPr>
            <w:tcW w:w="1407" w:type="dxa"/>
            <w:vAlign w:val="center"/>
          </w:tcPr>
          <w:p w:rsidR="0012571C" w:rsidRDefault="00885534">
            <w:pPr>
              <w:jc w:val="center"/>
            </w:pPr>
            <w:r>
              <w:rPr>
                <w:color w:val="000000"/>
                <w:sz w:val="24"/>
                <w:szCs w:val="24"/>
              </w:rPr>
              <w:t>5</w:t>
            </w:r>
            <w:r>
              <w:rPr>
                <w:color w:val="000000"/>
                <w:sz w:val="24"/>
                <w:szCs w:val="24"/>
              </w:rPr>
              <w:t>年</w:t>
            </w:r>
          </w:p>
        </w:tc>
        <w:tc>
          <w:tcPr>
            <w:tcW w:w="2673" w:type="dxa"/>
            <w:vAlign w:val="center"/>
          </w:tcPr>
          <w:p w:rsidR="0012571C" w:rsidRDefault="0088553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2571C" w:rsidRDefault="0088553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2571C" w:rsidRDefault="0088553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w:t>
      </w:r>
      <w:r>
        <w:rPr>
          <w:color w:val="000000"/>
          <w:sz w:val="24"/>
          <w:szCs w:val="24"/>
        </w:rPr>
        <w:lastRenderedPageBreak/>
        <w:t>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2571C" w:rsidRDefault="0088553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12571C" w:rsidRDefault="00885534">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2571C" w:rsidRDefault="00885534">
      <w:pPr>
        <w:spacing w:before="29" w:line="288" w:lineRule="auto"/>
        <w:ind w:firstLineChars="200" w:firstLine="480"/>
        <w:rPr>
          <w:color w:val="000000"/>
          <w:sz w:val="24"/>
          <w:szCs w:val="24"/>
        </w:rPr>
      </w:pPr>
      <w:r>
        <w:rPr>
          <w:color w:val="000000"/>
          <w:sz w:val="24"/>
          <w:szCs w:val="24"/>
        </w:rPr>
        <w:t>本报告期内，四、五月经济数据超预期，货币政策紧缩预期浓重，</w:t>
      </w:r>
      <w:r>
        <w:rPr>
          <w:color w:val="000000"/>
          <w:sz w:val="24"/>
          <w:szCs w:val="24"/>
        </w:rPr>
        <w:t>“</w:t>
      </w:r>
      <w:r>
        <w:rPr>
          <w:color w:val="000000"/>
          <w:sz w:val="24"/>
          <w:szCs w:val="24"/>
        </w:rPr>
        <w:t>防风险、去杠杆</w:t>
      </w:r>
      <w:r>
        <w:rPr>
          <w:color w:val="000000"/>
          <w:sz w:val="24"/>
          <w:szCs w:val="24"/>
        </w:rPr>
        <w:t>”</w:t>
      </w:r>
      <w:r>
        <w:rPr>
          <w:color w:val="000000"/>
          <w:sz w:val="24"/>
          <w:szCs w:val="24"/>
        </w:rPr>
        <w:t>的金融监管成为市场关注的主基调，债券市场延续调整，信用债收益率也明显上行，信用利差走扩。在市场明显表达了对金融监管的恐慌情绪后，监管层也开始通过多种方式稳定市场预期，五月中旬起，央行通过加大</w:t>
      </w:r>
      <w:r>
        <w:rPr>
          <w:color w:val="000000"/>
          <w:sz w:val="24"/>
          <w:szCs w:val="24"/>
        </w:rPr>
        <w:t>MLF</w:t>
      </w:r>
      <w:r>
        <w:rPr>
          <w:color w:val="000000"/>
          <w:sz w:val="24"/>
          <w:szCs w:val="24"/>
        </w:rPr>
        <w:t>的投放力度，开展</w:t>
      </w:r>
      <w:r>
        <w:rPr>
          <w:color w:val="000000"/>
          <w:sz w:val="24"/>
          <w:szCs w:val="24"/>
        </w:rPr>
        <w:t>28</w:t>
      </w:r>
      <w:r>
        <w:rPr>
          <w:color w:val="000000"/>
          <w:sz w:val="24"/>
          <w:szCs w:val="24"/>
        </w:rPr>
        <w:t>天逆回购等举措，极大地平稳了资金面预期，债券收益率出现下行。</w:t>
      </w:r>
    </w:p>
    <w:p w:rsidR="0012571C" w:rsidRDefault="00885534">
      <w:pPr>
        <w:spacing w:before="29" w:line="288" w:lineRule="auto"/>
        <w:ind w:firstLineChars="200" w:firstLine="480"/>
        <w:rPr>
          <w:color w:val="000000"/>
          <w:sz w:val="24"/>
          <w:szCs w:val="24"/>
        </w:rPr>
      </w:pPr>
      <w:r>
        <w:rPr>
          <w:color w:val="000000"/>
          <w:sz w:val="24"/>
          <w:szCs w:val="24"/>
        </w:rPr>
        <w:t>本报告期内，本基金始终维持存单、短融为主的信用债底仓，组合控制在较短久期。在市场收益率上行的过程中获取了稳定的票息收入，且避免了资本亏损带来的净值下跌。</w:t>
      </w:r>
    </w:p>
    <w:p w:rsidR="0012571C" w:rsidRDefault="00885534">
      <w:pPr>
        <w:spacing w:before="29" w:line="288" w:lineRule="auto"/>
        <w:ind w:firstLineChars="200" w:firstLine="480"/>
        <w:rPr>
          <w:color w:val="000000"/>
          <w:sz w:val="24"/>
          <w:szCs w:val="24"/>
        </w:rPr>
      </w:pPr>
      <w:r>
        <w:rPr>
          <w:color w:val="000000"/>
          <w:sz w:val="24"/>
          <w:szCs w:val="24"/>
        </w:rPr>
        <w:t>展望三季度，我们认为随着库存周期从主动补库存向被动补库存转变，地方政府融资被进一步规范，经济仍有下行的压力，但整体看经济下行的幅度有限。货币政策仍将着力于去杠杆、防风险、中性偏紧的货币政策基调难改。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的规避中低评级信用债，在利率曲线平坦的情况下，三季度我们将维持目前的债券久期配置，并将根据宏观及监管政策的变化择机拉长久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对于可转债，我们认为经过上半年的调整，预计转债当前估值已经比较合理，未来一季度可预期的转债供给较大概率将有所提速，预计存量转债和新发转债都不乏机会，我们期待下半年可转债资产的表现。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1.370</w:t>
      </w:r>
      <w:r w:rsidRPr="00414345">
        <w:rPr>
          <w:color w:val="000000"/>
          <w:sz w:val="24"/>
          <w:szCs w:val="24"/>
        </w:rPr>
        <w:t>元，本报告期份额净值增长率为</w:t>
      </w:r>
      <w:r w:rsidRPr="00414345">
        <w:rPr>
          <w:color w:val="000000"/>
          <w:sz w:val="24"/>
          <w:szCs w:val="24"/>
        </w:rPr>
        <w:t>0.81%</w:t>
      </w:r>
      <w:r w:rsidRPr="00414345">
        <w:rPr>
          <w:color w:val="000000"/>
          <w:sz w:val="24"/>
          <w:szCs w:val="24"/>
        </w:rPr>
        <w:t>，同期业绩比较基准增长率为</w:t>
      </w:r>
      <w:r w:rsidRPr="00414345">
        <w:rPr>
          <w:color w:val="000000"/>
          <w:sz w:val="24"/>
          <w:szCs w:val="24"/>
        </w:rPr>
        <w:t>-3.1</w:t>
      </w:r>
      <w:r w:rsidR="008532E6">
        <w:rPr>
          <w:color w:val="000000"/>
          <w:sz w:val="24"/>
          <w:szCs w:val="24"/>
        </w:rPr>
        <w:t>2</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4,820,000.00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4,820,000.00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271,061,459.30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271,061,459.30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8,171,481.68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55,274,067.98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339,327,008.96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bl>
    <w:p w:rsidR="00CD6B5D" w:rsidRDefault="00CD6B5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2571C">
        <w:trPr>
          <w:jc w:val="center"/>
        </w:trPr>
        <w:tc>
          <w:tcPr>
            <w:tcW w:w="855" w:type="dxa"/>
            <w:vAlign w:val="center"/>
          </w:tcPr>
          <w:p w:rsidR="0012571C" w:rsidRDefault="00885534">
            <w:pPr>
              <w:jc w:val="center"/>
            </w:pPr>
            <w:r>
              <w:rPr>
                <w:color w:val="000000"/>
                <w:sz w:val="24"/>
                <w:szCs w:val="24"/>
              </w:rPr>
              <w:t>1</w:t>
            </w:r>
          </w:p>
        </w:tc>
        <w:tc>
          <w:tcPr>
            <w:tcW w:w="1334" w:type="dxa"/>
            <w:vAlign w:val="center"/>
          </w:tcPr>
          <w:p w:rsidR="0012571C" w:rsidRDefault="00885534">
            <w:pPr>
              <w:jc w:val="center"/>
            </w:pPr>
            <w:r>
              <w:rPr>
                <w:color w:val="000000"/>
                <w:sz w:val="24"/>
                <w:szCs w:val="24"/>
              </w:rPr>
              <w:t>002241</w:t>
            </w:r>
          </w:p>
        </w:tc>
        <w:tc>
          <w:tcPr>
            <w:tcW w:w="1777" w:type="dxa"/>
            <w:vAlign w:val="center"/>
          </w:tcPr>
          <w:p w:rsidR="0012571C" w:rsidRDefault="00885534">
            <w:pPr>
              <w:jc w:val="center"/>
            </w:pPr>
            <w:r>
              <w:rPr>
                <w:color w:val="000000"/>
                <w:sz w:val="24"/>
                <w:szCs w:val="24"/>
              </w:rPr>
              <w:t>歌尔股份</w:t>
            </w:r>
          </w:p>
        </w:tc>
        <w:tc>
          <w:tcPr>
            <w:tcW w:w="1334" w:type="dxa"/>
            <w:vAlign w:val="center"/>
          </w:tcPr>
          <w:p w:rsidR="0012571C" w:rsidRDefault="00885534">
            <w:pPr>
              <w:jc w:val="right"/>
            </w:pPr>
            <w:r>
              <w:rPr>
                <w:color w:val="000000"/>
                <w:sz w:val="24"/>
                <w:szCs w:val="24"/>
              </w:rPr>
              <w:t>250,000</w:t>
            </w:r>
          </w:p>
        </w:tc>
        <w:tc>
          <w:tcPr>
            <w:tcW w:w="1924" w:type="dxa"/>
            <w:vAlign w:val="center"/>
          </w:tcPr>
          <w:p w:rsidR="0012571C" w:rsidRDefault="00885534">
            <w:pPr>
              <w:jc w:val="right"/>
            </w:pPr>
            <w:r>
              <w:rPr>
                <w:color w:val="000000"/>
                <w:sz w:val="24"/>
                <w:szCs w:val="24"/>
              </w:rPr>
              <w:t>4,820,000.00</w:t>
            </w:r>
          </w:p>
        </w:tc>
        <w:tc>
          <w:tcPr>
            <w:tcW w:w="1644" w:type="dxa"/>
            <w:vAlign w:val="center"/>
          </w:tcPr>
          <w:p w:rsidR="0012571C" w:rsidRDefault="00885534">
            <w:pPr>
              <w:jc w:val="right"/>
            </w:pPr>
            <w:r>
              <w:rPr>
                <w:color w:val="000000"/>
                <w:sz w:val="24"/>
                <w:szCs w:val="24"/>
              </w:rPr>
              <w:t>1.82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3,785,180.00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885534" w:rsidRPr="00414345" w:rsidTr="00F323FF">
        <w:trPr>
          <w:jc w:val="center"/>
        </w:trPr>
        <w:tc>
          <w:tcPr>
            <w:tcW w:w="828" w:type="dxa"/>
            <w:vAlign w:val="center"/>
          </w:tcPr>
          <w:p w:rsidR="00885534" w:rsidRPr="00414345" w:rsidRDefault="00885534" w:rsidP="00885534">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885534" w:rsidRPr="00414345" w:rsidRDefault="00885534" w:rsidP="00885534">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885534" w:rsidRPr="00414345" w:rsidRDefault="00885534" w:rsidP="00885534">
            <w:pPr>
              <w:spacing w:before="29" w:line="288" w:lineRule="auto"/>
              <w:ind w:left="17"/>
              <w:jc w:val="right"/>
              <w:rPr>
                <w:color w:val="000000"/>
                <w:sz w:val="24"/>
                <w:szCs w:val="24"/>
              </w:rPr>
            </w:pPr>
            <w:r w:rsidRPr="00414345">
              <w:rPr>
                <w:color w:val="000000"/>
                <w:sz w:val="24"/>
                <w:szCs w:val="24"/>
              </w:rPr>
              <w:t>8,482,150.00</w:t>
            </w:r>
          </w:p>
        </w:tc>
        <w:tc>
          <w:tcPr>
            <w:tcW w:w="1751" w:type="dxa"/>
            <w:vAlign w:val="center"/>
          </w:tcPr>
          <w:p w:rsidR="00885534" w:rsidRPr="00414345" w:rsidRDefault="00885534" w:rsidP="00885534">
            <w:pPr>
              <w:spacing w:before="29" w:line="288" w:lineRule="auto"/>
              <w:ind w:left="17"/>
              <w:jc w:val="right"/>
              <w:rPr>
                <w:color w:val="000000"/>
                <w:sz w:val="24"/>
                <w:szCs w:val="24"/>
              </w:rPr>
            </w:pPr>
            <w:r w:rsidRPr="00414345">
              <w:rPr>
                <w:color w:val="000000"/>
                <w:sz w:val="24"/>
                <w:szCs w:val="24"/>
              </w:rPr>
              <w:t>3.21</w:t>
            </w:r>
          </w:p>
        </w:tc>
      </w:tr>
      <w:tr w:rsidR="00885534" w:rsidRPr="00414345" w:rsidTr="00F323FF">
        <w:trPr>
          <w:jc w:val="center"/>
        </w:trPr>
        <w:tc>
          <w:tcPr>
            <w:tcW w:w="828" w:type="dxa"/>
            <w:vAlign w:val="center"/>
          </w:tcPr>
          <w:p w:rsidR="00885534" w:rsidRPr="00414345" w:rsidRDefault="00885534" w:rsidP="00885534">
            <w:pPr>
              <w:spacing w:before="29" w:line="288" w:lineRule="auto"/>
              <w:ind w:left="17"/>
              <w:jc w:val="center"/>
              <w:rPr>
                <w:color w:val="000000"/>
                <w:sz w:val="24"/>
                <w:szCs w:val="24"/>
              </w:rPr>
            </w:pPr>
          </w:p>
        </w:tc>
        <w:tc>
          <w:tcPr>
            <w:tcW w:w="3302" w:type="dxa"/>
            <w:vAlign w:val="center"/>
          </w:tcPr>
          <w:p w:rsidR="00885534" w:rsidRPr="00414345" w:rsidRDefault="00885534" w:rsidP="00885534">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885534" w:rsidRPr="00414345" w:rsidRDefault="00885534" w:rsidP="00885534">
            <w:pPr>
              <w:spacing w:before="29" w:line="288" w:lineRule="auto"/>
              <w:ind w:left="17"/>
              <w:jc w:val="right"/>
              <w:rPr>
                <w:color w:val="000000"/>
                <w:sz w:val="24"/>
                <w:szCs w:val="24"/>
              </w:rPr>
            </w:pPr>
            <w:r w:rsidRPr="00414345">
              <w:rPr>
                <w:color w:val="000000"/>
                <w:sz w:val="24"/>
                <w:szCs w:val="24"/>
              </w:rPr>
              <w:t>8,482,150.00</w:t>
            </w:r>
          </w:p>
        </w:tc>
        <w:tc>
          <w:tcPr>
            <w:tcW w:w="1751" w:type="dxa"/>
            <w:vAlign w:val="center"/>
          </w:tcPr>
          <w:p w:rsidR="00885534" w:rsidRPr="00414345" w:rsidRDefault="00885534" w:rsidP="00885534">
            <w:pPr>
              <w:spacing w:before="29" w:line="288" w:lineRule="auto"/>
              <w:ind w:left="17"/>
              <w:jc w:val="right"/>
              <w:rPr>
                <w:color w:val="000000"/>
                <w:sz w:val="24"/>
                <w:szCs w:val="24"/>
              </w:rPr>
            </w:pPr>
            <w:r w:rsidRPr="00414345">
              <w:rPr>
                <w:color w:val="000000"/>
                <w:sz w:val="24"/>
                <w:szCs w:val="24"/>
              </w:rPr>
              <w:t>3.21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60,710,500.00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90,168,000.00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34.11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100,314,000.00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37.95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7,601,629.30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885534" w:rsidRPr="00414345" w:rsidTr="00F323FF">
        <w:trPr>
          <w:jc w:val="center"/>
        </w:trPr>
        <w:tc>
          <w:tcPr>
            <w:tcW w:w="828" w:type="dxa"/>
            <w:vAlign w:val="center"/>
          </w:tcPr>
          <w:p w:rsidR="00885534" w:rsidRPr="00414345" w:rsidRDefault="00885534" w:rsidP="00885534">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885534" w:rsidRPr="00414345" w:rsidRDefault="00885534" w:rsidP="00885534">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885534" w:rsidRPr="007A70C2" w:rsidRDefault="00885534" w:rsidP="00885534">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885534" w:rsidRPr="007A70C2" w:rsidRDefault="00885534" w:rsidP="00885534">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271,061,459.30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2571C">
        <w:trPr>
          <w:jc w:val="center"/>
        </w:trPr>
        <w:tc>
          <w:tcPr>
            <w:tcW w:w="850" w:type="dxa"/>
            <w:vAlign w:val="center"/>
          </w:tcPr>
          <w:p w:rsidR="0012571C" w:rsidRDefault="00885534">
            <w:pPr>
              <w:jc w:val="center"/>
            </w:pPr>
            <w:r>
              <w:rPr>
                <w:color w:val="000000"/>
                <w:sz w:val="24"/>
                <w:szCs w:val="24"/>
              </w:rPr>
              <w:t>1</w:t>
            </w:r>
          </w:p>
        </w:tc>
        <w:tc>
          <w:tcPr>
            <w:tcW w:w="1475" w:type="dxa"/>
            <w:vAlign w:val="center"/>
          </w:tcPr>
          <w:p w:rsidR="0012571C" w:rsidRDefault="00885534">
            <w:pPr>
              <w:jc w:val="center"/>
            </w:pPr>
            <w:r>
              <w:rPr>
                <w:color w:val="000000"/>
                <w:sz w:val="24"/>
                <w:szCs w:val="24"/>
              </w:rPr>
              <w:t>101756014</w:t>
            </w:r>
          </w:p>
        </w:tc>
        <w:tc>
          <w:tcPr>
            <w:tcW w:w="1769" w:type="dxa"/>
            <w:vAlign w:val="center"/>
          </w:tcPr>
          <w:p w:rsidR="0012571C" w:rsidRDefault="00885534">
            <w:pPr>
              <w:jc w:val="center"/>
            </w:pPr>
            <w:r>
              <w:rPr>
                <w:color w:val="000000"/>
                <w:sz w:val="24"/>
                <w:szCs w:val="24"/>
              </w:rPr>
              <w:t>17</w:t>
            </w:r>
            <w:r>
              <w:rPr>
                <w:color w:val="000000"/>
                <w:sz w:val="24"/>
                <w:szCs w:val="24"/>
              </w:rPr>
              <w:t>国电集</w:t>
            </w:r>
            <w:r>
              <w:rPr>
                <w:color w:val="000000"/>
                <w:sz w:val="24"/>
                <w:szCs w:val="24"/>
              </w:rPr>
              <w:t>MTN001</w:t>
            </w:r>
          </w:p>
        </w:tc>
        <w:tc>
          <w:tcPr>
            <w:tcW w:w="1387" w:type="dxa"/>
            <w:vAlign w:val="center"/>
          </w:tcPr>
          <w:p w:rsidR="0012571C" w:rsidRDefault="00885534">
            <w:pPr>
              <w:jc w:val="right"/>
            </w:pPr>
            <w:r>
              <w:rPr>
                <w:color w:val="000000"/>
                <w:sz w:val="24"/>
                <w:szCs w:val="24"/>
              </w:rPr>
              <w:t>200,000</w:t>
            </w:r>
          </w:p>
        </w:tc>
        <w:tc>
          <w:tcPr>
            <w:tcW w:w="2150" w:type="dxa"/>
            <w:vAlign w:val="center"/>
          </w:tcPr>
          <w:p w:rsidR="0012571C" w:rsidRDefault="00885534">
            <w:pPr>
              <w:jc w:val="right"/>
            </w:pPr>
            <w:r>
              <w:rPr>
                <w:color w:val="000000"/>
                <w:sz w:val="24"/>
                <w:szCs w:val="24"/>
              </w:rPr>
              <w:t>20,124,000.00</w:t>
            </w:r>
          </w:p>
        </w:tc>
        <w:tc>
          <w:tcPr>
            <w:tcW w:w="1237" w:type="dxa"/>
            <w:vAlign w:val="center"/>
          </w:tcPr>
          <w:p w:rsidR="0012571C" w:rsidRDefault="00885534">
            <w:pPr>
              <w:jc w:val="right"/>
            </w:pPr>
            <w:r>
              <w:rPr>
                <w:color w:val="000000"/>
                <w:sz w:val="24"/>
                <w:szCs w:val="24"/>
              </w:rPr>
              <w:t>7.61</w:t>
            </w:r>
          </w:p>
        </w:tc>
      </w:tr>
      <w:tr w:rsidR="0012571C">
        <w:trPr>
          <w:jc w:val="center"/>
        </w:trPr>
        <w:tc>
          <w:tcPr>
            <w:tcW w:w="850" w:type="dxa"/>
            <w:vAlign w:val="center"/>
          </w:tcPr>
          <w:p w:rsidR="0012571C" w:rsidRDefault="00885534">
            <w:pPr>
              <w:jc w:val="center"/>
            </w:pPr>
            <w:r>
              <w:rPr>
                <w:color w:val="000000"/>
                <w:sz w:val="24"/>
                <w:szCs w:val="24"/>
              </w:rPr>
              <w:t>2</w:t>
            </w:r>
          </w:p>
        </w:tc>
        <w:tc>
          <w:tcPr>
            <w:tcW w:w="1475" w:type="dxa"/>
            <w:vAlign w:val="center"/>
          </w:tcPr>
          <w:p w:rsidR="0012571C" w:rsidRDefault="00885534">
            <w:pPr>
              <w:jc w:val="center"/>
            </w:pPr>
            <w:r>
              <w:rPr>
                <w:color w:val="000000"/>
                <w:sz w:val="24"/>
                <w:szCs w:val="24"/>
              </w:rPr>
              <w:t>011698937</w:t>
            </w:r>
          </w:p>
        </w:tc>
        <w:tc>
          <w:tcPr>
            <w:tcW w:w="1769" w:type="dxa"/>
            <w:vAlign w:val="center"/>
          </w:tcPr>
          <w:p w:rsidR="0012571C" w:rsidRDefault="00885534">
            <w:pPr>
              <w:jc w:val="center"/>
            </w:pPr>
            <w:r>
              <w:rPr>
                <w:color w:val="000000"/>
                <w:sz w:val="24"/>
                <w:szCs w:val="24"/>
              </w:rPr>
              <w:t>16</w:t>
            </w:r>
            <w:r>
              <w:rPr>
                <w:color w:val="000000"/>
                <w:sz w:val="24"/>
                <w:szCs w:val="24"/>
              </w:rPr>
              <w:t>兖州煤业</w:t>
            </w:r>
            <w:r>
              <w:rPr>
                <w:color w:val="000000"/>
                <w:sz w:val="24"/>
                <w:szCs w:val="24"/>
              </w:rPr>
              <w:t>SCP008</w:t>
            </w:r>
          </w:p>
        </w:tc>
        <w:tc>
          <w:tcPr>
            <w:tcW w:w="1387" w:type="dxa"/>
            <w:vAlign w:val="center"/>
          </w:tcPr>
          <w:p w:rsidR="0012571C" w:rsidRDefault="00885534">
            <w:pPr>
              <w:jc w:val="right"/>
            </w:pPr>
            <w:r>
              <w:rPr>
                <w:color w:val="000000"/>
                <w:sz w:val="24"/>
                <w:szCs w:val="24"/>
              </w:rPr>
              <w:t>200,000</w:t>
            </w:r>
          </w:p>
        </w:tc>
        <w:tc>
          <w:tcPr>
            <w:tcW w:w="2150" w:type="dxa"/>
            <w:vAlign w:val="center"/>
          </w:tcPr>
          <w:p w:rsidR="0012571C" w:rsidRDefault="00885534">
            <w:pPr>
              <w:jc w:val="right"/>
            </w:pPr>
            <w:r>
              <w:rPr>
                <w:color w:val="000000"/>
                <w:sz w:val="24"/>
                <w:szCs w:val="24"/>
              </w:rPr>
              <w:t>20,060,000.00</w:t>
            </w:r>
          </w:p>
        </w:tc>
        <w:tc>
          <w:tcPr>
            <w:tcW w:w="1237" w:type="dxa"/>
            <w:vAlign w:val="center"/>
          </w:tcPr>
          <w:p w:rsidR="0012571C" w:rsidRDefault="00885534">
            <w:pPr>
              <w:jc w:val="right"/>
            </w:pPr>
            <w:r>
              <w:rPr>
                <w:color w:val="000000"/>
                <w:sz w:val="24"/>
                <w:szCs w:val="24"/>
              </w:rPr>
              <w:t>7.59</w:t>
            </w:r>
          </w:p>
        </w:tc>
      </w:tr>
      <w:tr w:rsidR="0012571C">
        <w:trPr>
          <w:jc w:val="center"/>
        </w:trPr>
        <w:tc>
          <w:tcPr>
            <w:tcW w:w="850" w:type="dxa"/>
            <w:vAlign w:val="center"/>
          </w:tcPr>
          <w:p w:rsidR="0012571C" w:rsidRDefault="00885534">
            <w:pPr>
              <w:jc w:val="center"/>
            </w:pPr>
            <w:r>
              <w:rPr>
                <w:color w:val="000000"/>
                <w:sz w:val="24"/>
                <w:szCs w:val="24"/>
              </w:rPr>
              <w:t>3</w:t>
            </w:r>
          </w:p>
        </w:tc>
        <w:tc>
          <w:tcPr>
            <w:tcW w:w="1475" w:type="dxa"/>
            <w:vAlign w:val="center"/>
          </w:tcPr>
          <w:p w:rsidR="0012571C" w:rsidRDefault="00885534">
            <w:pPr>
              <w:jc w:val="center"/>
            </w:pPr>
            <w:r>
              <w:rPr>
                <w:color w:val="000000"/>
                <w:sz w:val="24"/>
                <w:szCs w:val="24"/>
              </w:rPr>
              <w:t>1382136</w:t>
            </w:r>
          </w:p>
        </w:tc>
        <w:tc>
          <w:tcPr>
            <w:tcW w:w="1769" w:type="dxa"/>
            <w:vAlign w:val="center"/>
          </w:tcPr>
          <w:p w:rsidR="0012571C" w:rsidRDefault="00885534">
            <w:pPr>
              <w:jc w:val="center"/>
            </w:pPr>
            <w:r>
              <w:rPr>
                <w:color w:val="000000"/>
                <w:sz w:val="24"/>
                <w:szCs w:val="24"/>
              </w:rPr>
              <w:t>13</w:t>
            </w:r>
            <w:r>
              <w:rPr>
                <w:color w:val="000000"/>
                <w:sz w:val="24"/>
                <w:szCs w:val="24"/>
              </w:rPr>
              <w:t>乌兰煤</w:t>
            </w:r>
            <w:r>
              <w:rPr>
                <w:color w:val="000000"/>
                <w:sz w:val="24"/>
                <w:szCs w:val="24"/>
              </w:rPr>
              <w:t>MTN1</w:t>
            </w:r>
          </w:p>
        </w:tc>
        <w:tc>
          <w:tcPr>
            <w:tcW w:w="1387" w:type="dxa"/>
            <w:vAlign w:val="center"/>
          </w:tcPr>
          <w:p w:rsidR="0012571C" w:rsidRDefault="00885534">
            <w:pPr>
              <w:jc w:val="right"/>
            </w:pPr>
            <w:r>
              <w:rPr>
                <w:color w:val="000000"/>
                <w:sz w:val="24"/>
                <w:szCs w:val="24"/>
              </w:rPr>
              <w:t>200,000</w:t>
            </w:r>
          </w:p>
        </w:tc>
        <w:tc>
          <w:tcPr>
            <w:tcW w:w="2150" w:type="dxa"/>
            <w:vAlign w:val="center"/>
          </w:tcPr>
          <w:p w:rsidR="0012571C" w:rsidRDefault="00885534">
            <w:pPr>
              <w:jc w:val="right"/>
            </w:pPr>
            <w:r>
              <w:rPr>
                <w:color w:val="000000"/>
                <w:sz w:val="24"/>
                <w:szCs w:val="24"/>
              </w:rPr>
              <w:t>20,060,000.00</w:t>
            </w:r>
          </w:p>
        </w:tc>
        <w:tc>
          <w:tcPr>
            <w:tcW w:w="1237" w:type="dxa"/>
            <w:vAlign w:val="center"/>
          </w:tcPr>
          <w:p w:rsidR="0012571C" w:rsidRDefault="00885534">
            <w:pPr>
              <w:jc w:val="right"/>
            </w:pPr>
            <w:r>
              <w:rPr>
                <w:color w:val="000000"/>
                <w:sz w:val="24"/>
                <w:szCs w:val="24"/>
              </w:rPr>
              <w:t>7.59</w:t>
            </w:r>
          </w:p>
        </w:tc>
      </w:tr>
      <w:tr w:rsidR="0012571C">
        <w:trPr>
          <w:jc w:val="center"/>
        </w:trPr>
        <w:tc>
          <w:tcPr>
            <w:tcW w:w="850" w:type="dxa"/>
            <w:vAlign w:val="center"/>
          </w:tcPr>
          <w:p w:rsidR="0012571C" w:rsidRDefault="00885534">
            <w:pPr>
              <w:jc w:val="center"/>
            </w:pPr>
            <w:r>
              <w:rPr>
                <w:color w:val="000000"/>
                <w:sz w:val="24"/>
                <w:szCs w:val="24"/>
              </w:rPr>
              <w:t>4</w:t>
            </w:r>
          </w:p>
        </w:tc>
        <w:tc>
          <w:tcPr>
            <w:tcW w:w="1475" w:type="dxa"/>
            <w:vAlign w:val="center"/>
          </w:tcPr>
          <w:p w:rsidR="0012571C" w:rsidRDefault="00885534">
            <w:pPr>
              <w:jc w:val="center"/>
            </w:pPr>
            <w:r>
              <w:rPr>
                <w:color w:val="000000"/>
                <w:sz w:val="24"/>
                <w:szCs w:val="24"/>
              </w:rPr>
              <w:t>041662052</w:t>
            </w:r>
          </w:p>
        </w:tc>
        <w:tc>
          <w:tcPr>
            <w:tcW w:w="1769" w:type="dxa"/>
            <w:vAlign w:val="center"/>
          </w:tcPr>
          <w:p w:rsidR="0012571C" w:rsidRDefault="00885534">
            <w:pPr>
              <w:jc w:val="center"/>
            </w:pPr>
            <w:r>
              <w:rPr>
                <w:color w:val="000000"/>
                <w:sz w:val="24"/>
                <w:szCs w:val="24"/>
              </w:rPr>
              <w:t>16</w:t>
            </w:r>
            <w:r>
              <w:rPr>
                <w:color w:val="000000"/>
                <w:sz w:val="24"/>
                <w:szCs w:val="24"/>
              </w:rPr>
              <w:t>常熟投资</w:t>
            </w:r>
            <w:r>
              <w:rPr>
                <w:color w:val="000000"/>
                <w:sz w:val="24"/>
                <w:szCs w:val="24"/>
              </w:rPr>
              <w:t>CP001</w:t>
            </w:r>
          </w:p>
        </w:tc>
        <w:tc>
          <w:tcPr>
            <w:tcW w:w="1387" w:type="dxa"/>
            <w:vAlign w:val="center"/>
          </w:tcPr>
          <w:p w:rsidR="0012571C" w:rsidRDefault="00885534">
            <w:pPr>
              <w:jc w:val="right"/>
            </w:pPr>
            <w:r>
              <w:rPr>
                <w:color w:val="000000"/>
                <w:sz w:val="24"/>
                <w:szCs w:val="24"/>
              </w:rPr>
              <w:t>200,000</w:t>
            </w:r>
          </w:p>
        </w:tc>
        <w:tc>
          <w:tcPr>
            <w:tcW w:w="2150" w:type="dxa"/>
            <w:vAlign w:val="center"/>
          </w:tcPr>
          <w:p w:rsidR="0012571C" w:rsidRDefault="00885534">
            <w:pPr>
              <w:jc w:val="right"/>
            </w:pPr>
            <w:r>
              <w:rPr>
                <w:color w:val="000000"/>
                <w:sz w:val="24"/>
                <w:szCs w:val="24"/>
              </w:rPr>
              <w:t>19,964,000.00</w:t>
            </w:r>
          </w:p>
        </w:tc>
        <w:tc>
          <w:tcPr>
            <w:tcW w:w="1237" w:type="dxa"/>
            <w:vAlign w:val="center"/>
          </w:tcPr>
          <w:p w:rsidR="0012571C" w:rsidRDefault="00885534">
            <w:pPr>
              <w:jc w:val="right"/>
            </w:pPr>
            <w:r>
              <w:rPr>
                <w:color w:val="000000"/>
                <w:sz w:val="24"/>
                <w:szCs w:val="24"/>
              </w:rPr>
              <w:t>7.55</w:t>
            </w:r>
          </w:p>
        </w:tc>
      </w:tr>
      <w:tr w:rsidR="0012571C">
        <w:trPr>
          <w:jc w:val="center"/>
        </w:trPr>
        <w:tc>
          <w:tcPr>
            <w:tcW w:w="850" w:type="dxa"/>
            <w:vAlign w:val="center"/>
          </w:tcPr>
          <w:p w:rsidR="0012571C" w:rsidRDefault="00885534">
            <w:pPr>
              <w:jc w:val="center"/>
            </w:pPr>
            <w:r>
              <w:rPr>
                <w:color w:val="000000"/>
                <w:sz w:val="24"/>
                <w:szCs w:val="24"/>
              </w:rPr>
              <w:t>5</w:t>
            </w:r>
          </w:p>
        </w:tc>
        <w:tc>
          <w:tcPr>
            <w:tcW w:w="1475" w:type="dxa"/>
            <w:vAlign w:val="center"/>
          </w:tcPr>
          <w:p w:rsidR="0012571C" w:rsidRDefault="00885534">
            <w:pPr>
              <w:jc w:val="center"/>
            </w:pPr>
            <w:r>
              <w:rPr>
                <w:color w:val="000000"/>
                <w:sz w:val="24"/>
                <w:szCs w:val="24"/>
              </w:rPr>
              <w:t>101354013</w:t>
            </w:r>
          </w:p>
        </w:tc>
        <w:tc>
          <w:tcPr>
            <w:tcW w:w="1769" w:type="dxa"/>
            <w:vAlign w:val="center"/>
          </w:tcPr>
          <w:p w:rsidR="0012571C" w:rsidRDefault="00885534">
            <w:pPr>
              <w:jc w:val="center"/>
            </w:pPr>
            <w:r>
              <w:rPr>
                <w:color w:val="000000"/>
                <w:sz w:val="24"/>
                <w:szCs w:val="24"/>
              </w:rPr>
              <w:t>13</w:t>
            </w:r>
            <w:r>
              <w:rPr>
                <w:color w:val="000000"/>
                <w:sz w:val="24"/>
                <w:szCs w:val="24"/>
              </w:rPr>
              <w:t>浙能源</w:t>
            </w:r>
            <w:r>
              <w:rPr>
                <w:color w:val="000000"/>
                <w:sz w:val="24"/>
                <w:szCs w:val="24"/>
              </w:rPr>
              <w:t>MTN002</w:t>
            </w:r>
          </w:p>
        </w:tc>
        <w:tc>
          <w:tcPr>
            <w:tcW w:w="1387" w:type="dxa"/>
            <w:vAlign w:val="center"/>
          </w:tcPr>
          <w:p w:rsidR="0012571C" w:rsidRDefault="00885534">
            <w:pPr>
              <w:jc w:val="right"/>
            </w:pPr>
            <w:r>
              <w:rPr>
                <w:color w:val="000000"/>
                <w:sz w:val="24"/>
                <w:szCs w:val="24"/>
              </w:rPr>
              <w:t>100,000</w:t>
            </w:r>
          </w:p>
        </w:tc>
        <w:tc>
          <w:tcPr>
            <w:tcW w:w="2150" w:type="dxa"/>
            <w:vAlign w:val="center"/>
          </w:tcPr>
          <w:p w:rsidR="0012571C" w:rsidRDefault="00885534">
            <w:pPr>
              <w:jc w:val="right"/>
            </w:pPr>
            <w:r>
              <w:rPr>
                <w:color w:val="000000"/>
                <w:sz w:val="24"/>
                <w:szCs w:val="24"/>
              </w:rPr>
              <w:t>10,431,000.00</w:t>
            </w:r>
          </w:p>
        </w:tc>
        <w:tc>
          <w:tcPr>
            <w:tcW w:w="1237" w:type="dxa"/>
            <w:vAlign w:val="center"/>
          </w:tcPr>
          <w:p w:rsidR="0012571C" w:rsidRDefault="00885534">
            <w:pPr>
              <w:jc w:val="right"/>
            </w:pPr>
            <w:r>
              <w:rPr>
                <w:color w:val="000000"/>
                <w:sz w:val="24"/>
                <w:szCs w:val="24"/>
              </w:rPr>
              <w:t>3.95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11,493.17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41,298,263.99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3,964,880.85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9,999,429.97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55,274,067.98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12571C">
        <w:trPr>
          <w:jc w:val="center"/>
        </w:trPr>
        <w:tc>
          <w:tcPr>
            <w:tcW w:w="1883" w:type="dxa"/>
            <w:vAlign w:val="center"/>
          </w:tcPr>
          <w:p w:rsidR="0012571C" w:rsidRDefault="00885534">
            <w:pPr>
              <w:jc w:val="center"/>
            </w:pPr>
            <w:r>
              <w:rPr>
                <w:color w:val="000000"/>
                <w:sz w:val="24"/>
                <w:szCs w:val="24"/>
              </w:rPr>
              <w:t>1</w:t>
            </w:r>
          </w:p>
        </w:tc>
        <w:tc>
          <w:tcPr>
            <w:tcW w:w="1801" w:type="dxa"/>
            <w:vAlign w:val="center"/>
          </w:tcPr>
          <w:p w:rsidR="0012571C" w:rsidRDefault="00885534">
            <w:pPr>
              <w:jc w:val="center"/>
            </w:pPr>
            <w:r>
              <w:rPr>
                <w:color w:val="000000"/>
                <w:sz w:val="24"/>
                <w:szCs w:val="24"/>
              </w:rPr>
              <w:t>110034</w:t>
            </w:r>
          </w:p>
        </w:tc>
        <w:tc>
          <w:tcPr>
            <w:tcW w:w="1727" w:type="dxa"/>
            <w:vAlign w:val="center"/>
          </w:tcPr>
          <w:p w:rsidR="0012571C" w:rsidRDefault="00885534">
            <w:pPr>
              <w:jc w:val="center"/>
            </w:pPr>
            <w:r>
              <w:rPr>
                <w:color w:val="000000"/>
                <w:sz w:val="24"/>
                <w:szCs w:val="24"/>
              </w:rPr>
              <w:t>九州转债</w:t>
            </w:r>
          </w:p>
        </w:tc>
        <w:tc>
          <w:tcPr>
            <w:tcW w:w="1768" w:type="dxa"/>
            <w:vAlign w:val="center"/>
          </w:tcPr>
          <w:p w:rsidR="0012571C" w:rsidRDefault="00885534">
            <w:pPr>
              <w:jc w:val="right"/>
            </w:pPr>
            <w:r>
              <w:rPr>
                <w:color w:val="000000"/>
                <w:sz w:val="24"/>
                <w:szCs w:val="24"/>
              </w:rPr>
              <w:t>3,796,500.00</w:t>
            </w:r>
          </w:p>
        </w:tc>
        <w:tc>
          <w:tcPr>
            <w:tcW w:w="1689" w:type="dxa"/>
            <w:vAlign w:val="center"/>
          </w:tcPr>
          <w:p w:rsidR="0012571C" w:rsidRDefault="00885534">
            <w:pPr>
              <w:jc w:val="right"/>
            </w:pPr>
            <w:r>
              <w:rPr>
                <w:color w:val="000000"/>
                <w:sz w:val="24"/>
                <w:szCs w:val="24"/>
              </w:rPr>
              <w:t>1.44</w:t>
            </w:r>
          </w:p>
        </w:tc>
      </w:tr>
      <w:tr w:rsidR="0012571C">
        <w:trPr>
          <w:jc w:val="center"/>
        </w:trPr>
        <w:tc>
          <w:tcPr>
            <w:tcW w:w="1883" w:type="dxa"/>
            <w:vAlign w:val="center"/>
          </w:tcPr>
          <w:p w:rsidR="0012571C" w:rsidRDefault="00885534">
            <w:pPr>
              <w:jc w:val="center"/>
            </w:pPr>
            <w:r>
              <w:rPr>
                <w:color w:val="000000"/>
                <w:sz w:val="24"/>
                <w:szCs w:val="24"/>
              </w:rPr>
              <w:t>2</w:t>
            </w:r>
          </w:p>
        </w:tc>
        <w:tc>
          <w:tcPr>
            <w:tcW w:w="1801" w:type="dxa"/>
            <w:vAlign w:val="center"/>
          </w:tcPr>
          <w:p w:rsidR="0012571C" w:rsidRDefault="00885534">
            <w:pPr>
              <w:jc w:val="center"/>
            </w:pPr>
            <w:r>
              <w:rPr>
                <w:color w:val="000000"/>
                <w:sz w:val="24"/>
                <w:szCs w:val="24"/>
              </w:rPr>
              <w:t>110032</w:t>
            </w:r>
          </w:p>
        </w:tc>
        <w:tc>
          <w:tcPr>
            <w:tcW w:w="1727" w:type="dxa"/>
            <w:vAlign w:val="center"/>
          </w:tcPr>
          <w:p w:rsidR="0012571C" w:rsidRDefault="00885534">
            <w:pPr>
              <w:jc w:val="center"/>
            </w:pPr>
            <w:r>
              <w:rPr>
                <w:color w:val="000000"/>
                <w:sz w:val="24"/>
                <w:szCs w:val="24"/>
              </w:rPr>
              <w:t>三一转债</w:t>
            </w:r>
          </w:p>
        </w:tc>
        <w:tc>
          <w:tcPr>
            <w:tcW w:w="1768" w:type="dxa"/>
            <w:vAlign w:val="center"/>
          </w:tcPr>
          <w:p w:rsidR="0012571C" w:rsidRDefault="00885534">
            <w:pPr>
              <w:jc w:val="right"/>
            </w:pPr>
            <w:r>
              <w:rPr>
                <w:color w:val="000000"/>
                <w:sz w:val="24"/>
                <w:szCs w:val="24"/>
              </w:rPr>
              <w:t>2,720,520.00</w:t>
            </w:r>
          </w:p>
        </w:tc>
        <w:tc>
          <w:tcPr>
            <w:tcW w:w="1689" w:type="dxa"/>
            <w:vAlign w:val="center"/>
          </w:tcPr>
          <w:p w:rsidR="0012571C" w:rsidRDefault="00885534">
            <w:pPr>
              <w:jc w:val="right"/>
            </w:pPr>
            <w:r>
              <w:rPr>
                <w:color w:val="000000"/>
                <w:sz w:val="24"/>
                <w:szCs w:val="24"/>
              </w:rPr>
              <w:t>1.03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344E8C" w:rsidRPr="005E324A" w:rsidRDefault="00344E8C" w:rsidP="00344E8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2918E3" w:rsidRPr="00344E8C"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149,124,165.71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77,429,614.26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33,640,111.08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192,913,668.89</w:t>
            </w:r>
          </w:p>
        </w:tc>
      </w:tr>
    </w:tbl>
    <w:p w:rsidR="0012571C" w:rsidRDefault="0088553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38.11</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投资者类别</w:t>
            </w:r>
            <w:r w:rsidRPr="00B51113">
              <w:rPr>
                <w:color w:val="000000"/>
                <w:sz w:val="24"/>
              </w:rPr>
              <w:t xml:space="preserve">  </w:t>
            </w:r>
          </w:p>
        </w:tc>
        <w:tc>
          <w:tcPr>
            <w:tcW w:w="5670" w:type="dxa"/>
            <w:gridSpan w:val="5"/>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报告期内持有基金份额变化情况</w:t>
            </w:r>
          </w:p>
        </w:tc>
        <w:tc>
          <w:tcPr>
            <w:tcW w:w="2549" w:type="dxa"/>
            <w:gridSpan w:val="2"/>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报告期末持有基金情况</w:t>
            </w:r>
          </w:p>
        </w:tc>
      </w:tr>
      <w:tr w:rsidR="003C50AD" w:rsidRPr="004F4D27" w:rsidTr="00424D30">
        <w:tc>
          <w:tcPr>
            <w:tcW w:w="993" w:type="dxa"/>
            <w:vMerge/>
            <w:vAlign w:val="center"/>
          </w:tcPr>
          <w:p w:rsidR="003C50AD" w:rsidRPr="00B51113" w:rsidRDefault="003C50AD" w:rsidP="00424D30">
            <w:pPr>
              <w:autoSpaceDE w:val="0"/>
              <w:autoSpaceDN w:val="0"/>
              <w:adjustRightInd w:val="0"/>
              <w:jc w:val="center"/>
              <w:rPr>
                <w:color w:val="000000"/>
                <w:sz w:val="24"/>
              </w:rPr>
            </w:pPr>
          </w:p>
        </w:tc>
        <w:tc>
          <w:tcPr>
            <w:tcW w:w="992" w:type="dxa"/>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序号</w:t>
            </w:r>
          </w:p>
        </w:tc>
        <w:tc>
          <w:tcPr>
            <w:tcW w:w="1843" w:type="dxa"/>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持有基金份额比例达到或者</w:t>
            </w:r>
            <w:r w:rsidRPr="00B51113">
              <w:rPr>
                <w:rFonts w:hint="eastAsia"/>
                <w:color w:val="000000"/>
                <w:sz w:val="24"/>
              </w:rPr>
              <w:lastRenderedPageBreak/>
              <w:t>超过</w:t>
            </w:r>
            <w:r w:rsidRPr="00B51113">
              <w:rPr>
                <w:rFonts w:hint="eastAsia"/>
                <w:color w:val="000000"/>
                <w:sz w:val="24"/>
              </w:rPr>
              <w:t>20%</w:t>
            </w:r>
            <w:r w:rsidRPr="00B51113">
              <w:rPr>
                <w:rFonts w:hint="eastAsia"/>
                <w:color w:val="000000"/>
                <w:sz w:val="24"/>
              </w:rPr>
              <w:t>的时间区间</w:t>
            </w:r>
          </w:p>
        </w:tc>
        <w:tc>
          <w:tcPr>
            <w:tcW w:w="851" w:type="dxa"/>
            <w:vAlign w:val="center"/>
          </w:tcPr>
          <w:p w:rsidR="003C50AD" w:rsidRPr="00B51113" w:rsidRDefault="003C50AD" w:rsidP="00424D30">
            <w:pPr>
              <w:widowControl/>
              <w:jc w:val="center"/>
              <w:rPr>
                <w:color w:val="000000"/>
                <w:sz w:val="24"/>
              </w:rPr>
            </w:pPr>
            <w:r w:rsidRPr="00B51113">
              <w:rPr>
                <w:rFonts w:hint="eastAsia"/>
                <w:color w:val="000000"/>
                <w:sz w:val="24"/>
              </w:rPr>
              <w:lastRenderedPageBreak/>
              <w:t>期初份额</w:t>
            </w:r>
          </w:p>
        </w:tc>
        <w:tc>
          <w:tcPr>
            <w:tcW w:w="850" w:type="dxa"/>
            <w:vAlign w:val="center"/>
          </w:tcPr>
          <w:p w:rsidR="003C50AD" w:rsidRPr="00B51113" w:rsidRDefault="003C50AD" w:rsidP="00424D30">
            <w:pPr>
              <w:widowControl/>
              <w:jc w:val="center"/>
              <w:rPr>
                <w:color w:val="000000"/>
                <w:sz w:val="24"/>
              </w:rPr>
            </w:pPr>
            <w:r w:rsidRPr="00B51113">
              <w:rPr>
                <w:rFonts w:hint="eastAsia"/>
                <w:color w:val="000000"/>
                <w:sz w:val="24"/>
              </w:rPr>
              <w:t>申购份额</w:t>
            </w:r>
          </w:p>
        </w:tc>
        <w:tc>
          <w:tcPr>
            <w:tcW w:w="1134" w:type="dxa"/>
            <w:vAlign w:val="center"/>
          </w:tcPr>
          <w:p w:rsidR="003C50AD" w:rsidRPr="00B51113" w:rsidRDefault="003C50AD" w:rsidP="00424D30">
            <w:pPr>
              <w:widowControl/>
              <w:jc w:val="center"/>
              <w:rPr>
                <w:color w:val="000000"/>
                <w:sz w:val="24"/>
              </w:rPr>
            </w:pPr>
            <w:r w:rsidRPr="00B51113">
              <w:rPr>
                <w:rFonts w:hint="eastAsia"/>
                <w:color w:val="000000"/>
                <w:sz w:val="24"/>
              </w:rPr>
              <w:t>赎回份额</w:t>
            </w:r>
          </w:p>
        </w:tc>
        <w:tc>
          <w:tcPr>
            <w:tcW w:w="1419" w:type="dxa"/>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持有份额</w:t>
            </w:r>
          </w:p>
        </w:tc>
        <w:tc>
          <w:tcPr>
            <w:tcW w:w="1130" w:type="dxa"/>
            <w:vAlign w:val="center"/>
          </w:tcPr>
          <w:p w:rsidR="003C50AD" w:rsidRPr="00B51113" w:rsidRDefault="003C50AD" w:rsidP="00424D30">
            <w:pPr>
              <w:autoSpaceDE w:val="0"/>
              <w:autoSpaceDN w:val="0"/>
              <w:adjustRightInd w:val="0"/>
              <w:jc w:val="center"/>
              <w:rPr>
                <w:color w:val="000000"/>
                <w:sz w:val="24"/>
              </w:rPr>
            </w:pPr>
            <w:r w:rsidRPr="00B51113">
              <w:rPr>
                <w:rFonts w:hint="eastAsia"/>
                <w:color w:val="000000"/>
                <w:sz w:val="24"/>
              </w:rPr>
              <w:t>份额占比</w:t>
            </w:r>
          </w:p>
        </w:tc>
      </w:tr>
      <w:tr w:rsidR="0012571C">
        <w:tc>
          <w:tcPr>
            <w:tcW w:w="993" w:type="dxa"/>
            <w:vMerge w:val="restart"/>
          </w:tcPr>
          <w:p w:rsidR="0012571C" w:rsidRPr="00B51113" w:rsidRDefault="0012571C">
            <w:pPr>
              <w:rPr>
                <w:color w:val="000000"/>
                <w:sz w:val="24"/>
              </w:rPr>
            </w:pPr>
          </w:p>
          <w:p w:rsidR="0012571C" w:rsidRPr="00B51113" w:rsidRDefault="00885534">
            <w:pPr>
              <w:rPr>
                <w:color w:val="000000"/>
                <w:sz w:val="24"/>
              </w:rPr>
            </w:pPr>
            <w:r w:rsidRPr="00B51113">
              <w:rPr>
                <w:rFonts w:hint="eastAsia"/>
                <w:color w:val="000000"/>
                <w:sz w:val="24"/>
              </w:rPr>
              <w:t>机构</w:t>
            </w:r>
          </w:p>
        </w:tc>
        <w:tc>
          <w:tcPr>
            <w:tcW w:w="992" w:type="dxa"/>
            <w:vAlign w:val="center"/>
          </w:tcPr>
          <w:p w:rsidR="0012571C" w:rsidRPr="00B51113" w:rsidRDefault="00885534">
            <w:pPr>
              <w:jc w:val="center"/>
              <w:rPr>
                <w:color w:val="000000"/>
                <w:sz w:val="24"/>
              </w:rPr>
            </w:pPr>
            <w:r w:rsidRPr="00B51113">
              <w:rPr>
                <w:color w:val="000000"/>
                <w:sz w:val="24"/>
              </w:rPr>
              <w:t>1</w:t>
            </w:r>
          </w:p>
        </w:tc>
        <w:tc>
          <w:tcPr>
            <w:tcW w:w="1843" w:type="dxa"/>
            <w:vAlign w:val="center"/>
          </w:tcPr>
          <w:p w:rsidR="0012571C" w:rsidRPr="00B51113" w:rsidRDefault="00885534">
            <w:pPr>
              <w:jc w:val="center"/>
              <w:rPr>
                <w:color w:val="000000"/>
                <w:sz w:val="24"/>
              </w:rPr>
            </w:pPr>
            <w:r w:rsidRPr="00B51113">
              <w:rPr>
                <w:color w:val="000000"/>
                <w:sz w:val="24"/>
              </w:rPr>
              <w:t>2017/4/1-2017/6/30</w:t>
            </w:r>
          </w:p>
        </w:tc>
        <w:tc>
          <w:tcPr>
            <w:tcW w:w="851" w:type="dxa"/>
            <w:vAlign w:val="center"/>
          </w:tcPr>
          <w:p w:rsidR="0012571C" w:rsidRPr="00B51113" w:rsidRDefault="00885534">
            <w:pPr>
              <w:jc w:val="center"/>
              <w:rPr>
                <w:color w:val="000000"/>
                <w:sz w:val="24"/>
              </w:rPr>
            </w:pPr>
            <w:r w:rsidRPr="00B51113">
              <w:rPr>
                <w:color w:val="000000"/>
                <w:sz w:val="24"/>
              </w:rPr>
              <w:t>73,528,676.47</w:t>
            </w:r>
          </w:p>
        </w:tc>
        <w:tc>
          <w:tcPr>
            <w:tcW w:w="850" w:type="dxa"/>
            <w:vAlign w:val="center"/>
          </w:tcPr>
          <w:p w:rsidR="0012571C" w:rsidRPr="00B51113" w:rsidRDefault="00885534">
            <w:pPr>
              <w:jc w:val="center"/>
              <w:rPr>
                <w:color w:val="000000"/>
                <w:sz w:val="24"/>
              </w:rPr>
            </w:pPr>
            <w:r w:rsidRPr="00B51113">
              <w:rPr>
                <w:color w:val="000000"/>
                <w:sz w:val="24"/>
              </w:rPr>
              <w:t>-</w:t>
            </w:r>
          </w:p>
        </w:tc>
        <w:tc>
          <w:tcPr>
            <w:tcW w:w="1134" w:type="dxa"/>
            <w:vAlign w:val="center"/>
          </w:tcPr>
          <w:p w:rsidR="0012571C" w:rsidRPr="00B51113" w:rsidRDefault="00885534">
            <w:pPr>
              <w:jc w:val="center"/>
              <w:rPr>
                <w:color w:val="000000"/>
                <w:sz w:val="24"/>
              </w:rPr>
            </w:pPr>
            <w:r w:rsidRPr="00B51113">
              <w:rPr>
                <w:color w:val="000000"/>
                <w:sz w:val="24"/>
              </w:rPr>
              <w:t>-</w:t>
            </w:r>
          </w:p>
        </w:tc>
        <w:tc>
          <w:tcPr>
            <w:tcW w:w="1419" w:type="dxa"/>
            <w:vAlign w:val="center"/>
          </w:tcPr>
          <w:p w:rsidR="0012571C" w:rsidRPr="00B51113" w:rsidRDefault="00885534">
            <w:pPr>
              <w:jc w:val="center"/>
              <w:rPr>
                <w:color w:val="000000"/>
                <w:sz w:val="24"/>
              </w:rPr>
            </w:pPr>
            <w:r w:rsidRPr="00B51113">
              <w:rPr>
                <w:color w:val="000000"/>
                <w:sz w:val="24"/>
              </w:rPr>
              <w:t>73,528,676.47</w:t>
            </w:r>
          </w:p>
        </w:tc>
        <w:tc>
          <w:tcPr>
            <w:tcW w:w="1130" w:type="dxa"/>
            <w:vAlign w:val="center"/>
          </w:tcPr>
          <w:p w:rsidR="0012571C" w:rsidRPr="00B51113" w:rsidRDefault="00885534">
            <w:pPr>
              <w:jc w:val="center"/>
              <w:rPr>
                <w:color w:val="000000"/>
                <w:sz w:val="24"/>
              </w:rPr>
            </w:pPr>
            <w:r w:rsidRPr="00B51113">
              <w:rPr>
                <w:color w:val="000000"/>
                <w:sz w:val="24"/>
              </w:rPr>
              <w:t>38.11%</w:t>
            </w:r>
          </w:p>
        </w:tc>
      </w:tr>
    </w:tbl>
    <w:p w:rsidR="003C50AD" w:rsidRPr="00AC0257" w:rsidRDefault="003C50AD" w:rsidP="003C50AD">
      <w:pPr>
        <w:autoSpaceDE w:val="0"/>
        <w:autoSpaceDN w:val="0"/>
        <w:adjustRightInd w:val="0"/>
        <w:spacing w:line="360" w:lineRule="auto"/>
        <w:jc w:val="left"/>
        <w:rPr>
          <w:rFonts w:ascii="宋体" w:hAnsi="宋体"/>
          <w:bCs/>
          <w:color w:val="000000"/>
          <w:kern w:val="0"/>
          <w:sz w:val="24"/>
          <w:szCs w:val="24"/>
        </w:rPr>
      </w:pPr>
      <w:r w:rsidRPr="00AC0257">
        <w:rPr>
          <w:rFonts w:ascii="宋体" w:hAnsi="宋体" w:hint="eastAsia"/>
          <w:bCs/>
          <w:color w:val="000000"/>
          <w:kern w:val="0"/>
          <w:sz w:val="24"/>
          <w:szCs w:val="24"/>
        </w:rPr>
        <w:t>注：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2571C" w:rsidRDefault="0088553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12571C" w:rsidRDefault="0088553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12571C" w:rsidRDefault="0088553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2571C" w:rsidRDefault="0088553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2571C" w:rsidRDefault="0088553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2571C" w:rsidRDefault="0088553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3D" w:rsidRDefault="00580C3D" w:rsidP="00876D65">
      <w:r>
        <w:separator/>
      </w:r>
    </w:p>
  </w:endnote>
  <w:endnote w:type="continuationSeparator" w:id="0">
    <w:p w:rsidR="00580C3D" w:rsidRDefault="00580C3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450A39">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450A39">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3D" w:rsidRDefault="00580C3D" w:rsidP="00876D65">
      <w:r>
        <w:separator/>
      </w:r>
    </w:p>
  </w:footnote>
  <w:footnote w:type="continuationSeparator" w:id="0">
    <w:p w:rsidR="00580C3D" w:rsidRDefault="00580C3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2571C"/>
    <w:rsid w:val="00133015"/>
    <w:rsid w:val="00137452"/>
    <w:rsid w:val="00137A28"/>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4E8C"/>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50A39"/>
    <w:rsid w:val="00460575"/>
    <w:rsid w:val="00463EC0"/>
    <w:rsid w:val="00464787"/>
    <w:rsid w:val="00471408"/>
    <w:rsid w:val="004719FB"/>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1E92"/>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0C3D"/>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32E6"/>
    <w:rsid w:val="00854537"/>
    <w:rsid w:val="00855F31"/>
    <w:rsid w:val="008606B6"/>
    <w:rsid w:val="00861E6D"/>
    <w:rsid w:val="008700EC"/>
    <w:rsid w:val="008749A7"/>
    <w:rsid w:val="00875DAC"/>
    <w:rsid w:val="00876D65"/>
    <w:rsid w:val="008837D3"/>
    <w:rsid w:val="00883B3C"/>
    <w:rsid w:val="00883D7C"/>
    <w:rsid w:val="00885534"/>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1323"/>
    <w:rsid w:val="00A21300"/>
    <w:rsid w:val="00A22AD0"/>
    <w:rsid w:val="00A22DA8"/>
    <w:rsid w:val="00A3030E"/>
    <w:rsid w:val="00A3043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257"/>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1113"/>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6B5D"/>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E5FB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B5ED1-E7B5-4DB6-8B4F-137C4A87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E001-0407-41B2-942D-4DBFDCD3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575</cp:revision>
  <dcterms:created xsi:type="dcterms:W3CDTF">2012-10-16T06:07:00Z</dcterms:created>
  <dcterms:modified xsi:type="dcterms:W3CDTF">2017-07-18T07:18:00Z</dcterms:modified>
</cp:coreProperties>
</file>