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交银施罗德先锋混合型证券投资基金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60A3C" w:rsidRDefault="005D30E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60A3C" w:rsidRDefault="005D30E6">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60A3C" w:rsidRDefault="005D30E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60A3C" w:rsidRDefault="005D30E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60A3C" w:rsidRDefault="005D30E6">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交银先锋混合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1,160,147,756.70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700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本基金是一只混合型基金，以具有持续成长潜力企业</w:t>
            </w:r>
            <w:r w:rsidRPr="00414345">
              <w:rPr>
                <w:color w:val="000000"/>
                <w:kern w:val="0"/>
                <w:sz w:val="24"/>
                <w:szCs w:val="24"/>
              </w:rPr>
              <w:lastRenderedPageBreak/>
              <w:t>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A21C3" w:rsidRPr="00414345" w:rsidTr="00AA21C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AA21C3" w:rsidRPr="00414345" w:rsidTr="00AA21C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-3,692,180.58</w:t>
            </w:r>
          </w:p>
        </w:tc>
      </w:tr>
      <w:tr w:rsidR="00AA21C3" w:rsidRPr="00414345" w:rsidTr="00AA21C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-150,463,807.98</w:t>
            </w:r>
          </w:p>
        </w:tc>
      </w:tr>
      <w:tr w:rsidR="00AA21C3" w:rsidRPr="00414345" w:rsidTr="00AA21C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-0.1304</w:t>
            </w:r>
          </w:p>
        </w:tc>
      </w:tr>
      <w:tr w:rsidR="00AA21C3" w:rsidRPr="00414345" w:rsidTr="00AA21C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1,427,988,297.82</w:t>
            </w:r>
          </w:p>
        </w:tc>
      </w:tr>
      <w:tr w:rsidR="00AA21C3" w:rsidRPr="00414345" w:rsidTr="00AA21C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1.2309</w:t>
            </w:r>
          </w:p>
        </w:tc>
      </w:tr>
    </w:tbl>
    <w:p w:rsidR="00860A3C" w:rsidRDefault="005D30E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60A3C">
        <w:trPr>
          <w:jc w:val="center"/>
        </w:trPr>
        <w:tc>
          <w:tcPr>
            <w:tcW w:w="1701" w:type="dxa"/>
            <w:vAlign w:val="center"/>
          </w:tcPr>
          <w:p w:rsidR="00860A3C" w:rsidRDefault="005D30E6">
            <w:pPr>
              <w:jc w:val="left"/>
            </w:pPr>
            <w:r>
              <w:rPr>
                <w:color w:val="000000"/>
                <w:sz w:val="24"/>
                <w:szCs w:val="24"/>
              </w:rPr>
              <w:t>过去三个月</w:t>
            </w:r>
          </w:p>
        </w:tc>
        <w:tc>
          <w:tcPr>
            <w:tcW w:w="1045" w:type="dxa"/>
            <w:vAlign w:val="center"/>
          </w:tcPr>
          <w:p w:rsidR="00860A3C" w:rsidRDefault="005D30E6">
            <w:pPr>
              <w:jc w:val="center"/>
            </w:pPr>
            <w:r>
              <w:rPr>
                <w:color w:val="000000"/>
                <w:sz w:val="24"/>
                <w:szCs w:val="24"/>
              </w:rPr>
              <w:t>-9.59%</w:t>
            </w:r>
          </w:p>
        </w:tc>
        <w:tc>
          <w:tcPr>
            <w:tcW w:w="1344" w:type="dxa"/>
            <w:vAlign w:val="center"/>
          </w:tcPr>
          <w:p w:rsidR="00860A3C" w:rsidRDefault="005D30E6">
            <w:pPr>
              <w:jc w:val="center"/>
            </w:pPr>
            <w:r>
              <w:rPr>
                <w:color w:val="000000"/>
                <w:sz w:val="24"/>
                <w:szCs w:val="24"/>
              </w:rPr>
              <w:t>1.15%</w:t>
            </w:r>
          </w:p>
        </w:tc>
        <w:tc>
          <w:tcPr>
            <w:tcW w:w="1194" w:type="dxa"/>
            <w:vAlign w:val="center"/>
          </w:tcPr>
          <w:p w:rsidR="00860A3C" w:rsidRDefault="005D30E6">
            <w:pPr>
              <w:jc w:val="center"/>
            </w:pPr>
            <w:r>
              <w:rPr>
                <w:color w:val="000000"/>
                <w:sz w:val="24"/>
                <w:szCs w:val="24"/>
              </w:rPr>
              <w:t>-1.71%</w:t>
            </w:r>
          </w:p>
        </w:tc>
        <w:tc>
          <w:tcPr>
            <w:tcW w:w="1492" w:type="dxa"/>
            <w:vAlign w:val="center"/>
          </w:tcPr>
          <w:p w:rsidR="00860A3C" w:rsidRDefault="005D30E6">
            <w:pPr>
              <w:jc w:val="center"/>
            </w:pPr>
            <w:r>
              <w:rPr>
                <w:color w:val="000000"/>
                <w:sz w:val="24"/>
                <w:szCs w:val="24"/>
              </w:rPr>
              <w:t>0.67%</w:t>
            </w:r>
          </w:p>
        </w:tc>
        <w:tc>
          <w:tcPr>
            <w:tcW w:w="1194" w:type="dxa"/>
            <w:vAlign w:val="center"/>
          </w:tcPr>
          <w:p w:rsidR="00860A3C" w:rsidRDefault="005D30E6">
            <w:pPr>
              <w:jc w:val="center"/>
            </w:pPr>
            <w:r>
              <w:rPr>
                <w:color w:val="000000"/>
                <w:sz w:val="24"/>
                <w:szCs w:val="24"/>
              </w:rPr>
              <w:t>-7.88%</w:t>
            </w:r>
          </w:p>
        </w:tc>
        <w:tc>
          <w:tcPr>
            <w:tcW w:w="898" w:type="dxa"/>
            <w:vAlign w:val="center"/>
          </w:tcPr>
          <w:p w:rsidR="00860A3C" w:rsidRDefault="005D30E6">
            <w:pPr>
              <w:jc w:val="center"/>
            </w:pPr>
            <w:r>
              <w:rPr>
                <w:color w:val="000000"/>
                <w:sz w:val="24"/>
                <w:szCs w:val="24"/>
              </w:rPr>
              <w:t>0.48%</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w:t>
      </w:r>
      <w:r w:rsidRPr="00414345">
        <w:rPr>
          <w:color w:val="000000"/>
          <w:sz w:val="24"/>
          <w:szCs w:val="24"/>
        </w:rPr>
        <w:lastRenderedPageBreak/>
        <w:t>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交银施罗德先锋混合型证券投资基金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60A3C">
        <w:trPr>
          <w:jc w:val="center"/>
        </w:trPr>
        <w:tc>
          <w:tcPr>
            <w:tcW w:w="846" w:type="dxa"/>
            <w:vAlign w:val="center"/>
          </w:tcPr>
          <w:p w:rsidR="00860A3C" w:rsidRDefault="005D30E6">
            <w:pPr>
              <w:jc w:val="center"/>
            </w:pPr>
            <w:r>
              <w:rPr>
                <w:color w:val="000000"/>
                <w:sz w:val="24"/>
                <w:szCs w:val="24"/>
              </w:rPr>
              <w:t>芮晨</w:t>
            </w:r>
          </w:p>
        </w:tc>
        <w:tc>
          <w:tcPr>
            <w:tcW w:w="845" w:type="dxa"/>
            <w:vAlign w:val="center"/>
          </w:tcPr>
          <w:p w:rsidR="00860A3C" w:rsidRDefault="005D30E6">
            <w:pPr>
              <w:jc w:val="center"/>
            </w:pPr>
            <w:r>
              <w:rPr>
                <w:color w:val="000000"/>
                <w:sz w:val="24"/>
                <w:szCs w:val="24"/>
              </w:rPr>
              <w:t>交银先锋混合、交银科技创新</w:t>
            </w:r>
            <w:r>
              <w:rPr>
                <w:color w:val="000000"/>
                <w:sz w:val="24"/>
                <w:szCs w:val="24"/>
              </w:rPr>
              <w:lastRenderedPageBreak/>
              <w:t>灵活配置混合、交银数据产业灵活配置混合的基金经理</w:t>
            </w:r>
          </w:p>
        </w:tc>
        <w:tc>
          <w:tcPr>
            <w:tcW w:w="1549" w:type="dxa"/>
            <w:vAlign w:val="center"/>
          </w:tcPr>
          <w:p w:rsidR="00860A3C" w:rsidRDefault="005D30E6">
            <w:pPr>
              <w:jc w:val="center"/>
            </w:pPr>
            <w:r>
              <w:rPr>
                <w:color w:val="000000"/>
                <w:sz w:val="24"/>
                <w:szCs w:val="24"/>
              </w:rPr>
              <w:lastRenderedPageBreak/>
              <w:t>2015-05-18</w:t>
            </w:r>
          </w:p>
        </w:tc>
        <w:tc>
          <w:tcPr>
            <w:tcW w:w="1548" w:type="dxa"/>
            <w:vAlign w:val="center"/>
          </w:tcPr>
          <w:p w:rsidR="00860A3C" w:rsidRDefault="005D30E6">
            <w:pPr>
              <w:jc w:val="center"/>
            </w:pPr>
            <w:r>
              <w:rPr>
                <w:color w:val="000000"/>
                <w:sz w:val="24"/>
                <w:szCs w:val="24"/>
              </w:rPr>
              <w:t>-</w:t>
            </w:r>
          </w:p>
        </w:tc>
        <w:tc>
          <w:tcPr>
            <w:tcW w:w="1407" w:type="dxa"/>
            <w:vAlign w:val="center"/>
          </w:tcPr>
          <w:p w:rsidR="00860A3C" w:rsidRDefault="005D30E6">
            <w:pPr>
              <w:jc w:val="center"/>
            </w:pPr>
            <w:r>
              <w:rPr>
                <w:color w:val="000000"/>
                <w:sz w:val="24"/>
                <w:szCs w:val="24"/>
              </w:rPr>
              <w:t>10</w:t>
            </w:r>
            <w:r>
              <w:rPr>
                <w:color w:val="000000"/>
                <w:sz w:val="24"/>
                <w:szCs w:val="24"/>
              </w:rPr>
              <w:t>年</w:t>
            </w:r>
          </w:p>
        </w:tc>
        <w:tc>
          <w:tcPr>
            <w:tcW w:w="2673" w:type="dxa"/>
            <w:vAlign w:val="center"/>
          </w:tcPr>
          <w:p w:rsidR="00860A3C" w:rsidRDefault="005D30E6">
            <w:r>
              <w:rPr>
                <w:color w:val="000000"/>
                <w:sz w:val="24"/>
                <w:szCs w:val="24"/>
              </w:rPr>
              <w:t>芮晨先生，内蒙古科技大学工学士。历任深圳尚诚资产管理有限公司研究员、研究副总监，国联安基金管理有限公司行业研究员、投资经</w:t>
            </w:r>
            <w:r>
              <w:rPr>
                <w:color w:val="000000"/>
                <w:sz w:val="24"/>
                <w:szCs w:val="24"/>
              </w:rPr>
              <w:lastRenderedPageBreak/>
              <w:t>理，浙商证券资产管理有限公司投资主办。</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60A3C" w:rsidRDefault="005D30E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60A3C" w:rsidRDefault="005D30E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60A3C" w:rsidRDefault="005D30E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lastRenderedPageBreak/>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60A3C" w:rsidRDefault="005D30E6">
      <w:pPr>
        <w:spacing w:before="29" w:line="288" w:lineRule="auto"/>
        <w:ind w:firstLineChars="200" w:firstLine="480"/>
        <w:rPr>
          <w:color w:val="000000"/>
          <w:sz w:val="24"/>
          <w:szCs w:val="24"/>
        </w:rPr>
      </w:pPr>
      <w:r>
        <w:rPr>
          <w:color w:val="000000"/>
          <w:sz w:val="24"/>
          <w:szCs w:val="24"/>
        </w:rPr>
        <w:t>2017</w:t>
      </w:r>
      <w:r>
        <w:rPr>
          <w:color w:val="000000"/>
          <w:sz w:val="24"/>
          <w:szCs w:val="24"/>
        </w:rPr>
        <w:t>年二季度，在金融去杠杆不断深化的背景下，债券收益率上升，整体流动性趋紧，二季度股票资产价格整体下滑。但是我们认为随着房地产投资增速逐步下滑，整体经济的短期复苏也将告结束，利率水平中期不具备继续上升的基础。同时伴随极其严格的房地产调控政策，存量资金配置房地产的需求也在下降，在几个大类资产类别中，预计现阶段股票可能是最具配置价值的。所以我们认为对股票市场的未来表现可以相对乐观些。</w:t>
      </w:r>
      <w:r>
        <w:rPr>
          <w:color w:val="000000"/>
          <w:sz w:val="24"/>
          <w:szCs w:val="24"/>
        </w:rPr>
        <w:t xml:space="preserve"> </w:t>
      </w:r>
    </w:p>
    <w:p w:rsidR="00860A3C" w:rsidRDefault="005D30E6">
      <w:pPr>
        <w:spacing w:before="29" w:line="288" w:lineRule="auto"/>
        <w:ind w:firstLineChars="200" w:firstLine="480"/>
        <w:rPr>
          <w:color w:val="000000"/>
          <w:sz w:val="24"/>
          <w:szCs w:val="24"/>
        </w:rPr>
      </w:pPr>
      <w:r>
        <w:rPr>
          <w:color w:val="000000"/>
          <w:sz w:val="24"/>
          <w:szCs w:val="24"/>
        </w:rPr>
        <w:t>二季度本基金保持高仓位新兴成长股的</w:t>
      </w:r>
      <w:r>
        <w:rPr>
          <w:color w:val="000000"/>
          <w:sz w:val="24"/>
          <w:szCs w:val="24"/>
        </w:rPr>
        <w:t>配置。</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从行业配置角度看，周期性行业盈利见顶已经确定。以食品饮料和家电为代表的消费类行业，经过二季度的加速上涨，预计估值的吸引力会进一步下降。我们认为现阶段成长股越来越具备配置价值。本基金预计三季度仍将坚持新兴成长股的配置方向。</w:t>
      </w:r>
      <w:r w:rsidRPr="00414345">
        <w:rPr>
          <w:color w:val="000000"/>
          <w:sz w:val="24"/>
          <w:szCs w:val="24"/>
        </w:rPr>
        <w:t xml:space="preserve"> </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 xml:space="preserve"> 1.2309</w:t>
      </w:r>
      <w:r w:rsidRPr="00414345">
        <w:rPr>
          <w:color w:val="000000"/>
          <w:sz w:val="24"/>
          <w:szCs w:val="24"/>
        </w:rPr>
        <w:t>元，本报告期份额净值增长率为</w:t>
      </w:r>
      <w:r w:rsidRPr="00414345">
        <w:rPr>
          <w:color w:val="000000"/>
          <w:sz w:val="24"/>
          <w:szCs w:val="24"/>
        </w:rPr>
        <w:t>-9.59%</w:t>
      </w:r>
      <w:r w:rsidRPr="00414345">
        <w:rPr>
          <w:color w:val="000000"/>
          <w:sz w:val="24"/>
          <w:szCs w:val="24"/>
        </w:rPr>
        <w:t>，同期业绩比较基准增长率为</w:t>
      </w:r>
      <w:r w:rsidRPr="00414345">
        <w:rPr>
          <w:color w:val="000000"/>
          <w:sz w:val="24"/>
          <w:szCs w:val="24"/>
        </w:rPr>
        <w:t>-1.71%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1,261,915,984.86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88.11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1,261,915,984.86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88.11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169,117,814.25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11.81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1,179,508.03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1,432,213,307.14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527,880,583.18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123,686,580.70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551,689,327.78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58,659,493.20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1,261,915,984.86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88.37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60A3C">
        <w:trPr>
          <w:jc w:val="center"/>
        </w:trPr>
        <w:tc>
          <w:tcPr>
            <w:tcW w:w="855" w:type="dxa"/>
            <w:vAlign w:val="center"/>
          </w:tcPr>
          <w:p w:rsidR="00860A3C" w:rsidRDefault="005D30E6">
            <w:pPr>
              <w:jc w:val="center"/>
            </w:pPr>
            <w:r>
              <w:rPr>
                <w:color w:val="000000"/>
                <w:sz w:val="24"/>
                <w:szCs w:val="24"/>
              </w:rPr>
              <w:t>1</w:t>
            </w:r>
          </w:p>
        </w:tc>
        <w:tc>
          <w:tcPr>
            <w:tcW w:w="1334" w:type="dxa"/>
            <w:vAlign w:val="center"/>
          </w:tcPr>
          <w:p w:rsidR="00860A3C" w:rsidRDefault="005D30E6">
            <w:pPr>
              <w:jc w:val="center"/>
            </w:pPr>
            <w:r>
              <w:rPr>
                <w:color w:val="000000"/>
                <w:sz w:val="24"/>
                <w:szCs w:val="24"/>
              </w:rPr>
              <w:t>300365</w:t>
            </w:r>
          </w:p>
        </w:tc>
        <w:tc>
          <w:tcPr>
            <w:tcW w:w="1777" w:type="dxa"/>
            <w:vAlign w:val="center"/>
          </w:tcPr>
          <w:p w:rsidR="00860A3C" w:rsidRDefault="005D30E6">
            <w:pPr>
              <w:jc w:val="center"/>
            </w:pPr>
            <w:r>
              <w:rPr>
                <w:color w:val="000000"/>
                <w:sz w:val="24"/>
                <w:szCs w:val="24"/>
              </w:rPr>
              <w:t>恒华科技</w:t>
            </w:r>
          </w:p>
        </w:tc>
        <w:tc>
          <w:tcPr>
            <w:tcW w:w="1334" w:type="dxa"/>
            <w:vAlign w:val="center"/>
          </w:tcPr>
          <w:p w:rsidR="00860A3C" w:rsidRDefault="005D30E6">
            <w:pPr>
              <w:jc w:val="right"/>
            </w:pPr>
            <w:r>
              <w:rPr>
                <w:color w:val="000000"/>
                <w:sz w:val="24"/>
                <w:szCs w:val="24"/>
              </w:rPr>
              <w:t>3,917,862</w:t>
            </w:r>
          </w:p>
        </w:tc>
        <w:tc>
          <w:tcPr>
            <w:tcW w:w="1924" w:type="dxa"/>
            <w:vAlign w:val="center"/>
          </w:tcPr>
          <w:p w:rsidR="00860A3C" w:rsidRDefault="005D30E6">
            <w:pPr>
              <w:jc w:val="right"/>
            </w:pPr>
            <w:r>
              <w:rPr>
                <w:color w:val="000000"/>
                <w:sz w:val="24"/>
                <w:szCs w:val="24"/>
              </w:rPr>
              <w:t>139,867,673.40</w:t>
            </w:r>
          </w:p>
        </w:tc>
        <w:tc>
          <w:tcPr>
            <w:tcW w:w="1644" w:type="dxa"/>
            <w:vAlign w:val="center"/>
          </w:tcPr>
          <w:p w:rsidR="00860A3C" w:rsidRDefault="005D30E6">
            <w:pPr>
              <w:jc w:val="right"/>
            </w:pPr>
            <w:r>
              <w:rPr>
                <w:color w:val="000000"/>
                <w:sz w:val="24"/>
                <w:szCs w:val="24"/>
              </w:rPr>
              <w:t>9.79</w:t>
            </w:r>
          </w:p>
        </w:tc>
      </w:tr>
      <w:tr w:rsidR="00860A3C">
        <w:trPr>
          <w:jc w:val="center"/>
        </w:trPr>
        <w:tc>
          <w:tcPr>
            <w:tcW w:w="855" w:type="dxa"/>
            <w:vAlign w:val="center"/>
          </w:tcPr>
          <w:p w:rsidR="00860A3C" w:rsidRDefault="005D30E6">
            <w:pPr>
              <w:jc w:val="center"/>
            </w:pPr>
            <w:r>
              <w:rPr>
                <w:color w:val="000000"/>
                <w:sz w:val="24"/>
                <w:szCs w:val="24"/>
              </w:rPr>
              <w:t>2</w:t>
            </w:r>
          </w:p>
        </w:tc>
        <w:tc>
          <w:tcPr>
            <w:tcW w:w="1334" w:type="dxa"/>
            <w:vAlign w:val="center"/>
          </w:tcPr>
          <w:p w:rsidR="00860A3C" w:rsidRDefault="005D30E6">
            <w:pPr>
              <w:jc w:val="center"/>
            </w:pPr>
            <w:r>
              <w:rPr>
                <w:color w:val="000000"/>
                <w:sz w:val="24"/>
                <w:szCs w:val="24"/>
              </w:rPr>
              <w:t>600693</w:t>
            </w:r>
          </w:p>
        </w:tc>
        <w:tc>
          <w:tcPr>
            <w:tcW w:w="1777" w:type="dxa"/>
            <w:vAlign w:val="center"/>
          </w:tcPr>
          <w:p w:rsidR="00860A3C" w:rsidRDefault="005D30E6">
            <w:pPr>
              <w:jc w:val="center"/>
            </w:pPr>
            <w:r>
              <w:rPr>
                <w:color w:val="000000"/>
                <w:sz w:val="24"/>
                <w:szCs w:val="24"/>
              </w:rPr>
              <w:t>东百集团</w:t>
            </w:r>
          </w:p>
        </w:tc>
        <w:tc>
          <w:tcPr>
            <w:tcW w:w="1334" w:type="dxa"/>
            <w:vAlign w:val="center"/>
          </w:tcPr>
          <w:p w:rsidR="00860A3C" w:rsidRDefault="005D30E6">
            <w:pPr>
              <w:jc w:val="right"/>
            </w:pPr>
            <w:r>
              <w:rPr>
                <w:color w:val="000000"/>
                <w:sz w:val="24"/>
                <w:szCs w:val="24"/>
              </w:rPr>
              <w:t>8,856,020</w:t>
            </w:r>
          </w:p>
        </w:tc>
        <w:tc>
          <w:tcPr>
            <w:tcW w:w="1924" w:type="dxa"/>
            <w:vAlign w:val="center"/>
          </w:tcPr>
          <w:p w:rsidR="00860A3C" w:rsidRDefault="005D30E6">
            <w:pPr>
              <w:jc w:val="right"/>
            </w:pPr>
            <w:r>
              <w:rPr>
                <w:color w:val="000000"/>
                <w:sz w:val="24"/>
                <w:szCs w:val="24"/>
              </w:rPr>
              <w:t>109,106,166.40</w:t>
            </w:r>
          </w:p>
        </w:tc>
        <w:tc>
          <w:tcPr>
            <w:tcW w:w="1644" w:type="dxa"/>
            <w:vAlign w:val="center"/>
          </w:tcPr>
          <w:p w:rsidR="00860A3C" w:rsidRDefault="005D30E6">
            <w:pPr>
              <w:jc w:val="right"/>
            </w:pPr>
            <w:r>
              <w:rPr>
                <w:color w:val="000000"/>
                <w:sz w:val="24"/>
                <w:szCs w:val="24"/>
              </w:rPr>
              <w:t>7.64</w:t>
            </w:r>
          </w:p>
        </w:tc>
      </w:tr>
      <w:tr w:rsidR="00860A3C">
        <w:trPr>
          <w:jc w:val="center"/>
        </w:trPr>
        <w:tc>
          <w:tcPr>
            <w:tcW w:w="855" w:type="dxa"/>
            <w:vAlign w:val="center"/>
          </w:tcPr>
          <w:p w:rsidR="00860A3C" w:rsidRDefault="005D30E6">
            <w:pPr>
              <w:jc w:val="center"/>
            </w:pPr>
            <w:r>
              <w:rPr>
                <w:color w:val="000000"/>
                <w:sz w:val="24"/>
                <w:szCs w:val="24"/>
              </w:rPr>
              <w:t>3</w:t>
            </w:r>
          </w:p>
        </w:tc>
        <w:tc>
          <w:tcPr>
            <w:tcW w:w="1334" w:type="dxa"/>
            <w:vAlign w:val="center"/>
          </w:tcPr>
          <w:p w:rsidR="00860A3C" w:rsidRDefault="005D30E6">
            <w:pPr>
              <w:jc w:val="center"/>
            </w:pPr>
            <w:r>
              <w:rPr>
                <w:color w:val="000000"/>
                <w:sz w:val="24"/>
                <w:szCs w:val="24"/>
              </w:rPr>
              <w:t>300279</w:t>
            </w:r>
          </w:p>
        </w:tc>
        <w:tc>
          <w:tcPr>
            <w:tcW w:w="1777" w:type="dxa"/>
            <w:vAlign w:val="center"/>
          </w:tcPr>
          <w:p w:rsidR="00860A3C" w:rsidRDefault="005D30E6">
            <w:pPr>
              <w:jc w:val="center"/>
            </w:pPr>
            <w:r>
              <w:rPr>
                <w:color w:val="000000"/>
                <w:sz w:val="24"/>
                <w:szCs w:val="24"/>
              </w:rPr>
              <w:t>和晶科技</w:t>
            </w:r>
          </w:p>
        </w:tc>
        <w:tc>
          <w:tcPr>
            <w:tcW w:w="1334" w:type="dxa"/>
            <w:vAlign w:val="center"/>
          </w:tcPr>
          <w:p w:rsidR="00860A3C" w:rsidRDefault="005D30E6">
            <w:pPr>
              <w:jc w:val="right"/>
            </w:pPr>
            <w:r>
              <w:rPr>
                <w:color w:val="000000"/>
                <w:sz w:val="24"/>
                <w:szCs w:val="24"/>
              </w:rPr>
              <w:t>7,598,671</w:t>
            </w:r>
          </w:p>
        </w:tc>
        <w:tc>
          <w:tcPr>
            <w:tcW w:w="1924" w:type="dxa"/>
            <w:vAlign w:val="center"/>
          </w:tcPr>
          <w:p w:rsidR="00860A3C" w:rsidRDefault="005D30E6">
            <w:pPr>
              <w:jc w:val="right"/>
            </w:pPr>
            <w:r>
              <w:rPr>
                <w:color w:val="000000"/>
                <w:sz w:val="24"/>
                <w:szCs w:val="24"/>
              </w:rPr>
              <w:t>105,773,500.32</w:t>
            </w:r>
          </w:p>
        </w:tc>
        <w:tc>
          <w:tcPr>
            <w:tcW w:w="1644" w:type="dxa"/>
            <w:vAlign w:val="center"/>
          </w:tcPr>
          <w:p w:rsidR="00860A3C" w:rsidRDefault="005D30E6">
            <w:pPr>
              <w:jc w:val="right"/>
            </w:pPr>
            <w:r>
              <w:rPr>
                <w:color w:val="000000"/>
                <w:sz w:val="24"/>
                <w:szCs w:val="24"/>
              </w:rPr>
              <w:t>7.41</w:t>
            </w:r>
          </w:p>
        </w:tc>
      </w:tr>
      <w:tr w:rsidR="00860A3C">
        <w:trPr>
          <w:jc w:val="center"/>
        </w:trPr>
        <w:tc>
          <w:tcPr>
            <w:tcW w:w="855" w:type="dxa"/>
            <w:vAlign w:val="center"/>
          </w:tcPr>
          <w:p w:rsidR="00860A3C" w:rsidRDefault="005D30E6">
            <w:pPr>
              <w:jc w:val="center"/>
            </w:pPr>
            <w:r>
              <w:rPr>
                <w:color w:val="000000"/>
                <w:sz w:val="24"/>
                <w:szCs w:val="24"/>
              </w:rPr>
              <w:t>4</w:t>
            </w:r>
          </w:p>
        </w:tc>
        <w:tc>
          <w:tcPr>
            <w:tcW w:w="1334" w:type="dxa"/>
            <w:vAlign w:val="center"/>
          </w:tcPr>
          <w:p w:rsidR="00860A3C" w:rsidRDefault="005D30E6">
            <w:pPr>
              <w:jc w:val="center"/>
            </w:pPr>
            <w:r>
              <w:rPr>
                <w:color w:val="000000"/>
                <w:sz w:val="24"/>
                <w:szCs w:val="24"/>
              </w:rPr>
              <w:t>002599</w:t>
            </w:r>
          </w:p>
        </w:tc>
        <w:tc>
          <w:tcPr>
            <w:tcW w:w="1777" w:type="dxa"/>
            <w:vAlign w:val="center"/>
          </w:tcPr>
          <w:p w:rsidR="00860A3C" w:rsidRDefault="005D30E6">
            <w:pPr>
              <w:jc w:val="center"/>
            </w:pPr>
            <w:r>
              <w:rPr>
                <w:color w:val="000000"/>
                <w:sz w:val="24"/>
                <w:szCs w:val="24"/>
              </w:rPr>
              <w:t>盛通股份</w:t>
            </w:r>
          </w:p>
        </w:tc>
        <w:tc>
          <w:tcPr>
            <w:tcW w:w="1334" w:type="dxa"/>
            <w:vAlign w:val="center"/>
          </w:tcPr>
          <w:p w:rsidR="00860A3C" w:rsidRDefault="005D30E6">
            <w:pPr>
              <w:jc w:val="right"/>
            </w:pPr>
            <w:r>
              <w:rPr>
                <w:color w:val="000000"/>
                <w:sz w:val="24"/>
                <w:szCs w:val="24"/>
              </w:rPr>
              <w:t>7,199,384</w:t>
            </w:r>
          </w:p>
        </w:tc>
        <w:tc>
          <w:tcPr>
            <w:tcW w:w="1924" w:type="dxa"/>
            <w:vAlign w:val="center"/>
          </w:tcPr>
          <w:p w:rsidR="00860A3C" w:rsidRDefault="005D30E6">
            <w:pPr>
              <w:jc w:val="right"/>
            </w:pPr>
            <w:r>
              <w:rPr>
                <w:color w:val="000000"/>
                <w:sz w:val="24"/>
                <w:szCs w:val="24"/>
              </w:rPr>
              <w:t>105,758,950.96</w:t>
            </w:r>
          </w:p>
        </w:tc>
        <w:tc>
          <w:tcPr>
            <w:tcW w:w="1644" w:type="dxa"/>
            <w:vAlign w:val="center"/>
          </w:tcPr>
          <w:p w:rsidR="00860A3C" w:rsidRDefault="005D30E6">
            <w:pPr>
              <w:jc w:val="right"/>
            </w:pPr>
            <w:r>
              <w:rPr>
                <w:color w:val="000000"/>
                <w:sz w:val="24"/>
                <w:szCs w:val="24"/>
              </w:rPr>
              <w:t>7.41</w:t>
            </w:r>
          </w:p>
        </w:tc>
      </w:tr>
      <w:tr w:rsidR="00860A3C">
        <w:trPr>
          <w:jc w:val="center"/>
        </w:trPr>
        <w:tc>
          <w:tcPr>
            <w:tcW w:w="855" w:type="dxa"/>
            <w:vAlign w:val="center"/>
          </w:tcPr>
          <w:p w:rsidR="00860A3C" w:rsidRDefault="005D30E6">
            <w:pPr>
              <w:jc w:val="center"/>
            </w:pPr>
            <w:r>
              <w:rPr>
                <w:color w:val="000000"/>
                <w:sz w:val="24"/>
                <w:szCs w:val="24"/>
              </w:rPr>
              <w:t>5</w:t>
            </w:r>
          </w:p>
        </w:tc>
        <w:tc>
          <w:tcPr>
            <w:tcW w:w="1334" w:type="dxa"/>
            <w:vAlign w:val="center"/>
          </w:tcPr>
          <w:p w:rsidR="00860A3C" w:rsidRDefault="005D30E6">
            <w:pPr>
              <w:jc w:val="center"/>
            </w:pPr>
            <w:r>
              <w:rPr>
                <w:color w:val="000000"/>
                <w:sz w:val="24"/>
                <w:szCs w:val="24"/>
              </w:rPr>
              <w:t>603006</w:t>
            </w:r>
          </w:p>
        </w:tc>
        <w:tc>
          <w:tcPr>
            <w:tcW w:w="1777" w:type="dxa"/>
            <w:vAlign w:val="center"/>
          </w:tcPr>
          <w:p w:rsidR="00860A3C" w:rsidRDefault="005D30E6">
            <w:pPr>
              <w:jc w:val="center"/>
            </w:pPr>
            <w:r>
              <w:rPr>
                <w:color w:val="000000"/>
                <w:sz w:val="24"/>
                <w:szCs w:val="24"/>
              </w:rPr>
              <w:t>联明股份</w:t>
            </w:r>
          </w:p>
        </w:tc>
        <w:tc>
          <w:tcPr>
            <w:tcW w:w="1334" w:type="dxa"/>
            <w:vAlign w:val="center"/>
          </w:tcPr>
          <w:p w:rsidR="00860A3C" w:rsidRDefault="005D30E6">
            <w:pPr>
              <w:jc w:val="right"/>
            </w:pPr>
            <w:r>
              <w:rPr>
                <w:color w:val="000000"/>
                <w:sz w:val="24"/>
                <w:szCs w:val="24"/>
              </w:rPr>
              <w:t>4,535,675</w:t>
            </w:r>
          </w:p>
        </w:tc>
        <w:tc>
          <w:tcPr>
            <w:tcW w:w="1924" w:type="dxa"/>
            <w:vAlign w:val="center"/>
          </w:tcPr>
          <w:p w:rsidR="00860A3C" w:rsidRDefault="005D30E6">
            <w:pPr>
              <w:jc w:val="right"/>
            </w:pPr>
            <w:r>
              <w:rPr>
                <w:color w:val="000000"/>
                <w:sz w:val="24"/>
                <w:szCs w:val="24"/>
              </w:rPr>
              <w:t>101,326,979.50</w:t>
            </w:r>
          </w:p>
        </w:tc>
        <w:tc>
          <w:tcPr>
            <w:tcW w:w="1644" w:type="dxa"/>
            <w:vAlign w:val="center"/>
          </w:tcPr>
          <w:p w:rsidR="00860A3C" w:rsidRDefault="005D30E6">
            <w:pPr>
              <w:jc w:val="right"/>
            </w:pPr>
            <w:r>
              <w:rPr>
                <w:color w:val="000000"/>
                <w:sz w:val="24"/>
                <w:szCs w:val="24"/>
              </w:rPr>
              <w:t>7.10</w:t>
            </w:r>
          </w:p>
        </w:tc>
      </w:tr>
      <w:tr w:rsidR="00860A3C">
        <w:trPr>
          <w:jc w:val="center"/>
        </w:trPr>
        <w:tc>
          <w:tcPr>
            <w:tcW w:w="855" w:type="dxa"/>
            <w:vAlign w:val="center"/>
          </w:tcPr>
          <w:p w:rsidR="00860A3C" w:rsidRDefault="005D30E6">
            <w:pPr>
              <w:jc w:val="center"/>
            </w:pPr>
            <w:r>
              <w:rPr>
                <w:color w:val="000000"/>
                <w:sz w:val="24"/>
                <w:szCs w:val="24"/>
              </w:rPr>
              <w:t>6</w:t>
            </w:r>
          </w:p>
        </w:tc>
        <w:tc>
          <w:tcPr>
            <w:tcW w:w="1334" w:type="dxa"/>
            <w:vAlign w:val="center"/>
          </w:tcPr>
          <w:p w:rsidR="00860A3C" w:rsidRDefault="005D30E6">
            <w:pPr>
              <w:jc w:val="center"/>
            </w:pPr>
            <w:r>
              <w:rPr>
                <w:color w:val="000000"/>
                <w:sz w:val="24"/>
                <w:szCs w:val="24"/>
              </w:rPr>
              <w:t>300231</w:t>
            </w:r>
          </w:p>
        </w:tc>
        <w:tc>
          <w:tcPr>
            <w:tcW w:w="1777" w:type="dxa"/>
            <w:vAlign w:val="center"/>
          </w:tcPr>
          <w:p w:rsidR="00860A3C" w:rsidRDefault="005D30E6">
            <w:pPr>
              <w:jc w:val="center"/>
            </w:pPr>
            <w:r>
              <w:rPr>
                <w:color w:val="000000"/>
                <w:sz w:val="24"/>
                <w:szCs w:val="24"/>
              </w:rPr>
              <w:t>银信科技</w:t>
            </w:r>
          </w:p>
        </w:tc>
        <w:tc>
          <w:tcPr>
            <w:tcW w:w="1334" w:type="dxa"/>
            <w:vAlign w:val="center"/>
          </w:tcPr>
          <w:p w:rsidR="00860A3C" w:rsidRDefault="005D30E6">
            <w:pPr>
              <w:jc w:val="right"/>
            </w:pPr>
            <w:r>
              <w:rPr>
                <w:color w:val="000000"/>
                <w:sz w:val="24"/>
                <w:szCs w:val="24"/>
              </w:rPr>
              <w:t>6,998,885</w:t>
            </w:r>
          </w:p>
        </w:tc>
        <w:tc>
          <w:tcPr>
            <w:tcW w:w="1924" w:type="dxa"/>
            <w:vAlign w:val="center"/>
          </w:tcPr>
          <w:p w:rsidR="00860A3C" w:rsidRDefault="005D30E6">
            <w:pPr>
              <w:jc w:val="right"/>
            </w:pPr>
            <w:r>
              <w:rPr>
                <w:color w:val="000000"/>
                <w:sz w:val="24"/>
                <w:szCs w:val="24"/>
              </w:rPr>
              <w:t>92,385,282.00</w:t>
            </w:r>
          </w:p>
        </w:tc>
        <w:tc>
          <w:tcPr>
            <w:tcW w:w="1644" w:type="dxa"/>
            <w:vAlign w:val="center"/>
          </w:tcPr>
          <w:p w:rsidR="00860A3C" w:rsidRDefault="005D30E6">
            <w:pPr>
              <w:jc w:val="right"/>
            </w:pPr>
            <w:r>
              <w:rPr>
                <w:color w:val="000000"/>
                <w:sz w:val="24"/>
                <w:szCs w:val="24"/>
              </w:rPr>
              <w:t>6.47</w:t>
            </w:r>
          </w:p>
        </w:tc>
      </w:tr>
      <w:tr w:rsidR="00860A3C">
        <w:trPr>
          <w:jc w:val="center"/>
        </w:trPr>
        <w:tc>
          <w:tcPr>
            <w:tcW w:w="855" w:type="dxa"/>
            <w:vAlign w:val="center"/>
          </w:tcPr>
          <w:p w:rsidR="00860A3C" w:rsidRDefault="005D30E6">
            <w:pPr>
              <w:jc w:val="center"/>
            </w:pPr>
            <w:r>
              <w:rPr>
                <w:color w:val="000000"/>
                <w:sz w:val="24"/>
                <w:szCs w:val="24"/>
              </w:rPr>
              <w:t>7</w:t>
            </w:r>
          </w:p>
        </w:tc>
        <w:tc>
          <w:tcPr>
            <w:tcW w:w="1334" w:type="dxa"/>
            <w:vAlign w:val="center"/>
          </w:tcPr>
          <w:p w:rsidR="00860A3C" w:rsidRDefault="005D30E6">
            <w:pPr>
              <w:jc w:val="center"/>
            </w:pPr>
            <w:r>
              <w:rPr>
                <w:color w:val="000000"/>
                <w:sz w:val="24"/>
                <w:szCs w:val="24"/>
              </w:rPr>
              <w:t>002195</w:t>
            </w:r>
          </w:p>
        </w:tc>
        <w:tc>
          <w:tcPr>
            <w:tcW w:w="1777" w:type="dxa"/>
            <w:vAlign w:val="center"/>
          </w:tcPr>
          <w:p w:rsidR="00860A3C" w:rsidRDefault="005D30E6">
            <w:pPr>
              <w:jc w:val="center"/>
            </w:pPr>
            <w:r>
              <w:rPr>
                <w:color w:val="000000"/>
                <w:sz w:val="24"/>
                <w:szCs w:val="24"/>
              </w:rPr>
              <w:t>二三四五</w:t>
            </w:r>
          </w:p>
        </w:tc>
        <w:tc>
          <w:tcPr>
            <w:tcW w:w="1334" w:type="dxa"/>
            <w:vAlign w:val="center"/>
          </w:tcPr>
          <w:p w:rsidR="00860A3C" w:rsidRDefault="005D30E6">
            <w:pPr>
              <w:jc w:val="right"/>
            </w:pPr>
            <w:r>
              <w:rPr>
                <w:color w:val="000000"/>
                <w:sz w:val="24"/>
                <w:szCs w:val="24"/>
              </w:rPr>
              <w:t>11,534,038</w:t>
            </w:r>
          </w:p>
        </w:tc>
        <w:tc>
          <w:tcPr>
            <w:tcW w:w="1924" w:type="dxa"/>
            <w:vAlign w:val="center"/>
          </w:tcPr>
          <w:p w:rsidR="00860A3C" w:rsidRDefault="005D30E6">
            <w:pPr>
              <w:jc w:val="right"/>
            </w:pPr>
            <w:r>
              <w:rPr>
                <w:color w:val="000000"/>
                <w:sz w:val="24"/>
                <w:szCs w:val="24"/>
              </w:rPr>
              <w:t>82,468,371.70</w:t>
            </w:r>
          </w:p>
        </w:tc>
        <w:tc>
          <w:tcPr>
            <w:tcW w:w="1644" w:type="dxa"/>
            <w:vAlign w:val="center"/>
          </w:tcPr>
          <w:p w:rsidR="00860A3C" w:rsidRDefault="005D30E6">
            <w:pPr>
              <w:jc w:val="right"/>
            </w:pPr>
            <w:r>
              <w:rPr>
                <w:color w:val="000000"/>
                <w:sz w:val="24"/>
                <w:szCs w:val="24"/>
              </w:rPr>
              <w:t>5.78</w:t>
            </w:r>
          </w:p>
        </w:tc>
      </w:tr>
      <w:tr w:rsidR="00860A3C">
        <w:trPr>
          <w:jc w:val="center"/>
        </w:trPr>
        <w:tc>
          <w:tcPr>
            <w:tcW w:w="855" w:type="dxa"/>
            <w:vAlign w:val="center"/>
          </w:tcPr>
          <w:p w:rsidR="00860A3C" w:rsidRDefault="005D30E6">
            <w:pPr>
              <w:jc w:val="center"/>
            </w:pPr>
            <w:r>
              <w:rPr>
                <w:color w:val="000000"/>
                <w:sz w:val="24"/>
                <w:szCs w:val="24"/>
              </w:rPr>
              <w:t>8</w:t>
            </w:r>
          </w:p>
        </w:tc>
        <w:tc>
          <w:tcPr>
            <w:tcW w:w="1334" w:type="dxa"/>
            <w:vAlign w:val="center"/>
          </w:tcPr>
          <w:p w:rsidR="00860A3C" w:rsidRDefault="005D30E6">
            <w:pPr>
              <w:jc w:val="center"/>
            </w:pPr>
            <w:r>
              <w:rPr>
                <w:color w:val="000000"/>
                <w:sz w:val="24"/>
                <w:szCs w:val="24"/>
              </w:rPr>
              <w:t>300212</w:t>
            </w:r>
          </w:p>
        </w:tc>
        <w:tc>
          <w:tcPr>
            <w:tcW w:w="1777" w:type="dxa"/>
            <w:vAlign w:val="center"/>
          </w:tcPr>
          <w:p w:rsidR="00860A3C" w:rsidRDefault="005D30E6">
            <w:pPr>
              <w:jc w:val="center"/>
            </w:pPr>
            <w:r>
              <w:rPr>
                <w:color w:val="000000"/>
                <w:sz w:val="24"/>
                <w:szCs w:val="24"/>
              </w:rPr>
              <w:t>易华录</w:t>
            </w:r>
          </w:p>
        </w:tc>
        <w:tc>
          <w:tcPr>
            <w:tcW w:w="1334" w:type="dxa"/>
            <w:vAlign w:val="center"/>
          </w:tcPr>
          <w:p w:rsidR="00860A3C" w:rsidRDefault="005D30E6">
            <w:pPr>
              <w:jc w:val="right"/>
            </w:pPr>
            <w:r>
              <w:rPr>
                <w:color w:val="000000"/>
                <w:sz w:val="24"/>
                <w:szCs w:val="24"/>
              </w:rPr>
              <w:t>2,951,163</w:t>
            </w:r>
          </w:p>
        </w:tc>
        <w:tc>
          <w:tcPr>
            <w:tcW w:w="1924" w:type="dxa"/>
            <w:vAlign w:val="center"/>
          </w:tcPr>
          <w:p w:rsidR="00860A3C" w:rsidRDefault="005D30E6">
            <w:pPr>
              <w:jc w:val="right"/>
            </w:pPr>
            <w:r>
              <w:rPr>
                <w:color w:val="000000"/>
                <w:sz w:val="24"/>
                <w:szCs w:val="24"/>
              </w:rPr>
              <w:t>74,457,842.49</w:t>
            </w:r>
          </w:p>
        </w:tc>
        <w:tc>
          <w:tcPr>
            <w:tcW w:w="1644" w:type="dxa"/>
            <w:vAlign w:val="center"/>
          </w:tcPr>
          <w:p w:rsidR="00860A3C" w:rsidRDefault="005D30E6">
            <w:pPr>
              <w:jc w:val="right"/>
            </w:pPr>
            <w:r>
              <w:rPr>
                <w:color w:val="000000"/>
                <w:sz w:val="24"/>
                <w:szCs w:val="24"/>
              </w:rPr>
              <w:t>5.21</w:t>
            </w:r>
          </w:p>
        </w:tc>
      </w:tr>
      <w:tr w:rsidR="00860A3C">
        <w:trPr>
          <w:jc w:val="center"/>
        </w:trPr>
        <w:tc>
          <w:tcPr>
            <w:tcW w:w="855" w:type="dxa"/>
            <w:vAlign w:val="center"/>
          </w:tcPr>
          <w:p w:rsidR="00860A3C" w:rsidRDefault="005D30E6">
            <w:pPr>
              <w:jc w:val="center"/>
            </w:pPr>
            <w:r>
              <w:rPr>
                <w:color w:val="000000"/>
                <w:sz w:val="24"/>
                <w:szCs w:val="24"/>
              </w:rPr>
              <w:t>9</w:t>
            </w:r>
          </w:p>
        </w:tc>
        <w:tc>
          <w:tcPr>
            <w:tcW w:w="1334" w:type="dxa"/>
            <w:vAlign w:val="center"/>
          </w:tcPr>
          <w:p w:rsidR="00860A3C" w:rsidRDefault="005D30E6">
            <w:pPr>
              <w:jc w:val="center"/>
            </w:pPr>
            <w:r>
              <w:rPr>
                <w:color w:val="000000"/>
                <w:sz w:val="24"/>
                <w:szCs w:val="24"/>
              </w:rPr>
              <w:t>300287</w:t>
            </w:r>
          </w:p>
        </w:tc>
        <w:tc>
          <w:tcPr>
            <w:tcW w:w="1777" w:type="dxa"/>
            <w:vAlign w:val="center"/>
          </w:tcPr>
          <w:p w:rsidR="00860A3C" w:rsidRDefault="005D30E6">
            <w:pPr>
              <w:jc w:val="center"/>
            </w:pPr>
            <w:r>
              <w:rPr>
                <w:color w:val="000000"/>
                <w:sz w:val="24"/>
                <w:szCs w:val="24"/>
              </w:rPr>
              <w:t>飞利信</w:t>
            </w:r>
          </w:p>
        </w:tc>
        <w:tc>
          <w:tcPr>
            <w:tcW w:w="1334" w:type="dxa"/>
            <w:vAlign w:val="center"/>
          </w:tcPr>
          <w:p w:rsidR="00860A3C" w:rsidRDefault="005D30E6">
            <w:pPr>
              <w:jc w:val="right"/>
            </w:pPr>
            <w:r>
              <w:rPr>
                <w:color w:val="000000"/>
                <w:sz w:val="24"/>
                <w:szCs w:val="24"/>
              </w:rPr>
              <w:t>6,885,844</w:t>
            </w:r>
          </w:p>
        </w:tc>
        <w:tc>
          <w:tcPr>
            <w:tcW w:w="1924" w:type="dxa"/>
            <w:vAlign w:val="center"/>
          </w:tcPr>
          <w:p w:rsidR="00860A3C" w:rsidRDefault="005D30E6">
            <w:pPr>
              <w:jc w:val="right"/>
            </w:pPr>
            <w:r>
              <w:rPr>
                <w:color w:val="000000"/>
                <w:sz w:val="24"/>
                <w:szCs w:val="24"/>
              </w:rPr>
              <w:t>63,212,047.92</w:t>
            </w:r>
          </w:p>
        </w:tc>
        <w:tc>
          <w:tcPr>
            <w:tcW w:w="1644" w:type="dxa"/>
            <w:vAlign w:val="center"/>
          </w:tcPr>
          <w:p w:rsidR="00860A3C" w:rsidRDefault="005D30E6">
            <w:pPr>
              <w:jc w:val="right"/>
            </w:pPr>
            <w:r>
              <w:rPr>
                <w:color w:val="000000"/>
                <w:sz w:val="24"/>
                <w:szCs w:val="24"/>
              </w:rPr>
              <w:t>4.43</w:t>
            </w:r>
          </w:p>
        </w:tc>
      </w:tr>
      <w:tr w:rsidR="00860A3C">
        <w:trPr>
          <w:jc w:val="center"/>
        </w:trPr>
        <w:tc>
          <w:tcPr>
            <w:tcW w:w="855" w:type="dxa"/>
            <w:vAlign w:val="center"/>
          </w:tcPr>
          <w:p w:rsidR="00860A3C" w:rsidRDefault="005D30E6">
            <w:pPr>
              <w:jc w:val="center"/>
            </w:pPr>
            <w:r>
              <w:rPr>
                <w:color w:val="000000"/>
                <w:sz w:val="24"/>
                <w:szCs w:val="24"/>
              </w:rPr>
              <w:t>10</w:t>
            </w:r>
          </w:p>
        </w:tc>
        <w:tc>
          <w:tcPr>
            <w:tcW w:w="1334" w:type="dxa"/>
            <w:vAlign w:val="center"/>
          </w:tcPr>
          <w:p w:rsidR="00860A3C" w:rsidRDefault="005D30E6">
            <w:pPr>
              <w:jc w:val="center"/>
            </w:pPr>
            <w:r>
              <w:rPr>
                <w:color w:val="000000"/>
                <w:sz w:val="24"/>
                <w:szCs w:val="24"/>
              </w:rPr>
              <w:t>300447</w:t>
            </w:r>
          </w:p>
        </w:tc>
        <w:tc>
          <w:tcPr>
            <w:tcW w:w="1777" w:type="dxa"/>
            <w:vAlign w:val="center"/>
          </w:tcPr>
          <w:p w:rsidR="00860A3C" w:rsidRDefault="005D30E6">
            <w:pPr>
              <w:jc w:val="center"/>
            </w:pPr>
            <w:r>
              <w:rPr>
                <w:color w:val="000000"/>
                <w:sz w:val="24"/>
                <w:szCs w:val="24"/>
              </w:rPr>
              <w:t>全信股份</w:t>
            </w:r>
          </w:p>
        </w:tc>
        <w:tc>
          <w:tcPr>
            <w:tcW w:w="1334" w:type="dxa"/>
            <w:vAlign w:val="center"/>
          </w:tcPr>
          <w:p w:rsidR="00860A3C" w:rsidRDefault="005D30E6">
            <w:pPr>
              <w:jc w:val="right"/>
            </w:pPr>
            <w:r>
              <w:rPr>
                <w:color w:val="000000"/>
                <w:sz w:val="24"/>
                <w:szCs w:val="24"/>
              </w:rPr>
              <w:t>2,883,948</w:t>
            </w:r>
          </w:p>
        </w:tc>
        <w:tc>
          <w:tcPr>
            <w:tcW w:w="1924" w:type="dxa"/>
            <w:vAlign w:val="center"/>
          </w:tcPr>
          <w:p w:rsidR="00860A3C" w:rsidRDefault="005D30E6">
            <w:pPr>
              <w:jc w:val="right"/>
            </w:pPr>
            <w:r>
              <w:rPr>
                <w:color w:val="000000"/>
                <w:sz w:val="24"/>
                <w:szCs w:val="24"/>
              </w:rPr>
              <w:t>62,841,226.92</w:t>
            </w:r>
          </w:p>
        </w:tc>
        <w:tc>
          <w:tcPr>
            <w:tcW w:w="1644" w:type="dxa"/>
            <w:vAlign w:val="center"/>
          </w:tcPr>
          <w:p w:rsidR="00860A3C" w:rsidRDefault="005D30E6">
            <w:pPr>
              <w:jc w:val="right"/>
            </w:pPr>
            <w:r>
              <w:rPr>
                <w:color w:val="000000"/>
                <w:sz w:val="24"/>
                <w:szCs w:val="24"/>
              </w:rPr>
              <w:t>4.40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472,754.95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31,966.00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674,787.08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1,179,508.03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lastRenderedPageBreak/>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1,164,346,419.67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74,190,798.88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78,389,461.85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1,160,147,756.70</w:t>
            </w:r>
          </w:p>
        </w:tc>
      </w:tr>
    </w:tbl>
    <w:p w:rsidR="00860A3C" w:rsidRDefault="005D30E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60A3C" w:rsidRDefault="005D30E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、中国证监会核准交银施罗德先锋股票证券投资基金募集的文件；</w:t>
      </w:r>
    </w:p>
    <w:p w:rsidR="00860A3C" w:rsidRDefault="005D30E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、《交银施罗德先锋混合型证券投资基金基金合同》；</w:t>
      </w:r>
    </w:p>
    <w:p w:rsidR="00860A3C" w:rsidRDefault="005D30E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、《交银施罗德先锋混合型证券投资基金招募说明书》；</w:t>
      </w:r>
    </w:p>
    <w:p w:rsidR="00860A3C" w:rsidRDefault="005D30E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、《交银施罗德先锋混合型证券投资基金托管协议》；</w:t>
      </w:r>
    </w:p>
    <w:p w:rsidR="00860A3C" w:rsidRDefault="005D30E6">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860A3C" w:rsidRDefault="005D30E6">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860A3C" w:rsidRDefault="005D30E6">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、关于申请募集交银施罗德先锋股票证券投资基金之法律意见书；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、报告期内交银施罗德先锋混合型证券投资基金在指定报刊上各项公告的原稿。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60A3C" w:rsidRDefault="005D30E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0E6" w:rsidRDefault="005D30E6" w:rsidP="00876D65">
      <w:r>
        <w:separator/>
      </w:r>
    </w:p>
  </w:endnote>
  <w:endnote w:type="continuationSeparator" w:id="0">
    <w:p w:rsidR="005D30E6" w:rsidRDefault="005D30E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AA21C3">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AA21C3">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0E6" w:rsidRDefault="005D30E6" w:rsidP="00876D65">
      <w:r>
        <w:separator/>
      </w:r>
    </w:p>
  </w:footnote>
  <w:footnote w:type="continuationSeparator" w:id="0">
    <w:p w:rsidR="005D30E6" w:rsidRDefault="005D30E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D30E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0A3C"/>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21C3"/>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B07E8F-94CA-4E45-B935-585731B5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1F5EB-C1C9-4BAB-9C38-481F8EF5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Pages>
  <Words>950</Words>
  <Characters>5416</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567</cp:revision>
  <dcterms:created xsi:type="dcterms:W3CDTF">2012-10-16T06:07:00Z</dcterms:created>
  <dcterms:modified xsi:type="dcterms:W3CDTF">2017-07-18T07:16:00Z</dcterms:modified>
</cp:coreProperties>
</file>