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二〇一七年七月二十日</w:t>
      </w:r>
    </w:p>
    <w:p w:rsidR="00902E3F" w:rsidRPr="000E4C40" w:rsidRDefault="00902E3F" w:rsidP="00EA0F0C">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7F31B5" w:rsidRDefault="00F42C1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F31B5" w:rsidRDefault="00F42C14">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F31B5" w:rsidRDefault="00F42C1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F31B5" w:rsidRDefault="00F42C14">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F31B5" w:rsidRDefault="00F42C14">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EA0F0C">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4,125,415,211.72</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498,254,340.35</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3,627,160,871.37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EA0F0C">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4,135,898.09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35,408,951.91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4,135,898.09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35,408,951.91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498,254,340.35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3,627,160,871.37</w:t>
            </w:r>
          </w:p>
        </w:tc>
      </w:tr>
    </w:tbl>
    <w:p w:rsidR="007F31B5" w:rsidRDefault="00F42C1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7F31B5">
        <w:trPr>
          <w:jc w:val="center"/>
        </w:trPr>
        <w:tc>
          <w:tcPr>
            <w:tcW w:w="1266" w:type="dxa"/>
            <w:vAlign w:val="center"/>
          </w:tcPr>
          <w:p w:rsidR="007F31B5" w:rsidRDefault="00F42C14">
            <w:pPr>
              <w:jc w:val="left"/>
            </w:pPr>
            <w:r>
              <w:rPr>
                <w:color w:val="000000"/>
              </w:rPr>
              <w:t>过去三个月</w:t>
            </w:r>
          </w:p>
        </w:tc>
        <w:tc>
          <w:tcPr>
            <w:tcW w:w="1267" w:type="dxa"/>
            <w:vAlign w:val="center"/>
          </w:tcPr>
          <w:p w:rsidR="007F31B5" w:rsidRPr="002C4FBF" w:rsidRDefault="002C4FBF">
            <w:pPr>
              <w:jc w:val="center"/>
            </w:pPr>
            <w:r w:rsidRPr="002C4FBF">
              <w:rPr>
                <w:color w:val="000000"/>
              </w:rPr>
              <w:t>0.7980%</w:t>
            </w:r>
          </w:p>
        </w:tc>
        <w:tc>
          <w:tcPr>
            <w:tcW w:w="1267" w:type="dxa"/>
            <w:vAlign w:val="center"/>
          </w:tcPr>
          <w:p w:rsidR="007F31B5" w:rsidRPr="002C4FBF" w:rsidRDefault="00F42C14">
            <w:pPr>
              <w:jc w:val="center"/>
            </w:pPr>
            <w:r w:rsidRPr="002C4FBF">
              <w:rPr>
                <w:color w:val="000000"/>
              </w:rPr>
              <w:t>0.0022%</w:t>
            </w:r>
          </w:p>
        </w:tc>
        <w:tc>
          <w:tcPr>
            <w:tcW w:w="1267" w:type="dxa"/>
            <w:vAlign w:val="center"/>
          </w:tcPr>
          <w:p w:rsidR="007F31B5" w:rsidRPr="002C4FBF" w:rsidRDefault="00F42C14">
            <w:pPr>
              <w:jc w:val="center"/>
            </w:pPr>
            <w:r w:rsidRPr="002C4FBF">
              <w:rPr>
                <w:color w:val="000000"/>
              </w:rPr>
              <w:t>0.3241%</w:t>
            </w:r>
          </w:p>
        </w:tc>
        <w:tc>
          <w:tcPr>
            <w:tcW w:w="1267" w:type="dxa"/>
            <w:vAlign w:val="center"/>
          </w:tcPr>
          <w:p w:rsidR="007F31B5" w:rsidRPr="002C4FBF" w:rsidRDefault="00F42C14">
            <w:pPr>
              <w:jc w:val="center"/>
            </w:pPr>
            <w:r w:rsidRPr="002C4FBF">
              <w:rPr>
                <w:color w:val="000000"/>
              </w:rPr>
              <w:t>0.0000%</w:t>
            </w:r>
          </w:p>
        </w:tc>
        <w:tc>
          <w:tcPr>
            <w:tcW w:w="1267" w:type="dxa"/>
            <w:vAlign w:val="center"/>
          </w:tcPr>
          <w:p w:rsidR="007F31B5" w:rsidRPr="002C4FBF" w:rsidRDefault="002C4FBF">
            <w:pPr>
              <w:jc w:val="center"/>
            </w:pPr>
            <w:r w:rsidRPr="002C4FBF">
              <w:rPr>
                <w:color w:val="000000"/>
              </w:rPr>
              <w:t>0.4739%</w:t>
            </w:r>
          </w:p>
        </w:tc>
        <w:tc>
          <w:tcPr>
            <w:tcW w:w="1267" w:type="dxa"/>
            <w:vAlign w:val="center"/>
          </w:tcPr>
          <w:p w:rsidR="007F31B5" w:rsidRPr="002C4FBF" w:rsidRDefault="00F42C14">
            <w:pPr>
              <w:jc w:val="center"/>
            </w:pPr>
            <w:r w:rsidRPr="002C4FBF">
              <w:rPr>
                <w:color w:val="000000"/>
              </w:rPr>
              <w:t>0.0022%</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7F31B5">
        <w:trPr>
          <w:jc w:val="center"/>
        </w:trPr>
        <w:tc>
          <w:tcPr>
            <w:tcW w:w="1266" w:type="dxa"/>
            <w:vAlign w:val="center"/>
          </w:tcPr>
          <w:p w:rsidR="007F31B5" w:rsidRDefault="00F42C14">
            <w:pPr>
              <w:jc w:val="left"/>
            </w:pPr>
            <w:r>
              <w:rPr>
                <w:color w:val="000000"/>
              </w:rPr>
              <w:t>过去三个月</w:t>
            </w:r>
          </w:p>
        </w:tc>
        <w:tc>
          <w:tcPr>
            <w:tcW w:w="1267" w:type="dxa"/>
            <w:vAlign w:val="center"/>
          </w:tcPr>
          <w:p w:rsidR="007F31B5" w:rsidRDefault="00F42C14">
            <w:pPr>
              <w:jc w:val="center"/>
            </w:pPr>
            <w:r>
              <w:rPr>
                <w:color w:val="000000"/>
              </w:rPr>
              <w:t>0.8581%</w:t>
            </w:r>
          </w:p>
        </w:tc>
        <w:tc>
          <w:tcPr>
            <w:tcW w:w="1267" w:type="dxa"/>
            <w:vAlign w:val="center"/>
          </w:tcPr>
          <w:p w:rsidR="007F31B5" w:rsidRDefault="00F42C14">
            <w:pPr>
              <w:jc w:val="center"/>
            </w:pPr>
            <w:r>
              <w:rPr>
                <w:color w:val="000000"/>
              </w:rPr>
              <w:t>0.0022%</w:t>
            </w:r>
          </w:p>
        </w:tc>
        <w:tc>
          <w:tcPr>
            <w:tcW w:w="1267" w:type="dxa"/>
            <w:vAlign w:val="center"/>
          </w:tcPr>
          <w:p w:rsidR="007F31B5" w:rsidRDefault="00F42C14">
            <w:pPr>
              <w:jc w:val="center"/>
            </w:pPr>
            <w:r>
              <w:rPr>
                <w:color w:val="000000"/>
              </w:rPr>
              <w:t>0.3241%</w:t>
            </w:r>
          </w:p>
        </w:tc>
        <w:tc>
          <w:tcPr>
            <w:tcW w:w="1267" w:type="dxa"/>
            <w:vAlign w:val="center"/>
          </w:tcPr>
          <w:p w:rsidR="007F31B5" w:rsidRDefault="00F42C14">
            <w:pPr>
              <w:jc w:val="center"/>
            </w:pPr>
            <w:r>
              <w:rPr>
                <w:color w:val="000000"/>
              </w:rPr>
              <w:t>0.0000%</w:t>
            </w:r>
          </w:p>
        </w:tc>
        <w:tc>
          <w:tcPr>
            <w:tcW w:w="1267" w:type="dxa"/>
            <w:vAlign w:val="center"/>
          </w:tcPr>
          <w:p w:rsidR="007F31B5" w:rsidRDefault="00F42C14">
            <w:pPr>
              <w:jc w:val="center"/>
            </w:pPr>
            <w:r>
              <w:rPr>
                <w:color w:val="000000"/>
              </w:rPr>
              <w:t>0.5340%</w:t>
            </w:r>
          </w:p>
        </w:tc>
        <w:tc>
          <w:tcPr>
            <w:tcW w:w="1267" w:type="dxa"/>
            <w:vAlign w:val="center"/>
          </w:tcPr>
          <w:p w:rsidR="007F31B5" w:rsidRDefault="00F42C14">
            <w:pPr>
              <w:jc w:val="center"/>
            </w:pPr>
            <w:r>
              <w:rPr>
                <w:color w:val="000000"/>
              </w:rPr>
              <w:t>0.0022%</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EA0F0C">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D301CB">
        <w:trPr>
          <w:jc w:val="center"/>
        </w:trPr>
        <w:tc>
          <w:tcPr>
            <w:tcW w:w="945"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589"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56"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86"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3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D301CB">
        <w:trPr>
          <w:jc w:val="center"/>
        </w:trPr>
        <w:tc>
          <w:tcPr>
            <w:tcW w:w="945"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589"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7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7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86"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3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7F31B5">
        <w:trPr>
          <w:jc w:val="center"/>
        </w:trPr>
        <w:tc>
          <w:tcPr>
            <w:tcW w:w="945" w:type="dxa"/>
            <w:vAlign w:val="center"/>
          </w:tcPr>
          <w:p w:rsidR="007F31B5" w:rsidRDefault="00F42C14">
            <w:pPr>
              <w:jc w:val="center"/>
            </w:pPr>
            <w:r>
              <w:rPr>
                <w:color w:val="000000"/>
                <w:sz w:val="24"/>
              </w:rPr>
              <w:t>黄莹洁</w:t>
            </w:r>
          </w:p>
        </w:tc>
        <w:tc>
          <w:tcPr>
            <w:tcW w:w="1589" w:type="dxa"/>
            <w:vAlign w:val="center"/>
          </w:tcPr>
          <w:p w:rsidR="007F31B5" w:rsidRDefault="00F42C14">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7F31B5" w:rsidRDefault="00F42C14">
            <w:pPr>
              <w:jc w:val="center"/>
            </w:pPr>
            <w:r>
              <w:rPr>
                <w:color w:val="000000"/>
                <w:sz w:val="24"/>
              </w:rPr>
              <w:t>2015-05-27</w:t>
            </w:r>
          </w:p>
        </w:tc>
        <w:tc>
          <w:tcPr>
            <w:tcW w:w="1478" w:type="dxa"/>
            <w:vAlign w:val="center"/>
          </w:tcPr>
          <w:p w:rsidR="007F31B5" w:rsidRDefault="00F42C14">
            <w:pPr>
              <w:jc w:val="center"/>
            </w:pPr>
            <w:r>
              <w:rPr>
                <w:color w:val="000000"/>
                <w:sz w:val="24"/>
              </w:rPr>
              <w:t>-</w:t>
            </w:r>
          </w:p>
        </w:tc>
        <w:tc>
          <w:tcPr>
            <w:tcW w:w="986" w:type="dxa"/>
            <w:vAlign w:val="center"/>
          </w:tcPr>
          <w:p w:rsidR="007F31B5" w:rsidRDefault="00F42C14">
            <w:pPr>
              <w:jc w:val="center"/>
            </w:pPr>
            <w:r>
              <w:rPr>
                <w:color w:val="000000"/>
                <w:sz w:val="24"/>
              </w:rPr>
              <w:t>9</w:t>
            </w:r>
            <w:r>
              <w:rPr>
                <w:color w:val="000000"/>
                <w:sz w:val="24"/>
              </w:rPr>
              <w:t>年</w:t>
            </w:r>
          </w:p>
        </w:tc>
        <w:tc>
          <w:tcPr>
            <w:tcW w:w="2392" w:type="dxa"/>
            <w:vAlign w:val="center"/>
          </w:tcPr>
          <w:p w:rsidR="007F31B5" w:rsidRDefault="00F42C1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p w:rsidR="007F31B5" w:rsidRDefault="007F31B5"/>
        </w:tc>
      </w:tr>
      <w:tr w:rsidR="007F31B5">
        <w:trPr>
          <w:jc w:val="center"/>
        </w:trPr>
        <w:tc>
          <w:tcPr>
            <w:tcW w:w="945" w:type="dxa"/>
            <w:vAlign w:val="center"/>
          </w:tcPr>
          <w:p w:rsidR="007F31B5" w:rsidRDefault="00F42C14">
            <w:pPr>
              <w:jc w:val="center"/>
            </w:pPr>
            <w:r>
              <w:rPr>
                <w:color w:val="000000"/>
                <w:sz w:val="24"/>
              </w:rPr>
              <w:t>连端清</w:t>
            </w:r>
          </w:p>
        </w:tc>
        <w:tc>
          <w:tcPr>
            <w:tcW w:w="1589" w:type="dxa"/>
            <w:vAlign w:val="center"/>
          </w:tcPr>
          <w:p w:rsidR="007F31B5" w:rsidRDefault="00F42C1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w:t>
            </w:r>
            <w:r>
              <w:rPr>
                <w:color w:val="000000"/>
                <w:sz w:val="24"/>
              </w:rPr>
              <w:lastRenderedPageBreak/>
              <w:t>利宝货币、交银裕兴纯债债券、交银裕盈纯债债券、交银裕利纯债债券、交银裕隆纯债债券、交银天鑫宝货币、交银天益宝货币、交银境尚收益债券的基金经理</w:t>
            </w:r>
          </w:p>
        </w:tc>
        <w:tc>
          <w:tcPr>
            <w:tcW w:w="1478" w:type="dxa"/>
            <w:vAlign w:val="center"/>
          </w:tcPr>
          <w:p w:rsidR="007F31B5" w:rsidRDefault="00F42C14">
            <w:pPr>
              <w:jc w:val="center"/>
            </w:pPr>
            <w:r>
              <w:rPr>
                <w:color w:val="000000"/>
                <w:sz w:val="24"/>
              </w:rPr>
              <w:lastRenderedPageBreak/>
              <w:t>2015-10-16</w:t>
            </w:r>
          </w:p>
        </w:tc>
        <w:tc>
          <w:tcPr>
            <w:tcW w:w="1478" w:type="dxa"/>
            <w:vAlign w:val="center"/>
          </w:tcPr>
          <w:p w:rsidR="007F31B5" w:rsidRDefault="00F42C14">
            <w:pPr>
              <w:jc w:val="center"/>
            </w:pPr>
            <w:r>
              <w:rPr>
                <w:color w:val="000000"/>
                <w:sz w:val="24"/>
              </w:rPr>
              <w:t>-</w:t>
            </w:r>
          </w:p>
        </w:tc>
        <w:tc>
          <w:tcPr>
            <w:tcW w:w="986" w:type="dxa"/>
            <w:vAlign w:val="center"/>
          </w:tcPr>
          <w:p w:rsidR="007F31B5" w:rsidRDefault="00F42C14">
            <w:pPr>
              <w:jc w:val="center"/>
            </w:pPr>
            <w:r>
              <w:rPr>
                <w:color w:val="000000"/>
                <w:sz w:val="24"/>
              </w:rPr>
              <w:t>4</w:t>
            </w:r>
            <w:r>
              <w:rPr>
                <w:color w:val="000000"/>
                <w:sz w:val="24"/>
              </w:rPr>
              <w:t>年</w:t>
            </w:r>
          </w:p>
        </w:tc>
        <w:tc>
          <w:tcPr>
            <w:tcW w:w="2392" w:type="dxa"/>
            <w:vAlign w:val="center"/>
          </w:tcPr>
          <w:p w:rsidR="007F31B5" w:rsidRDefault="00F42C1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7F31B5" w:rsidRDefault="007F31B5"/>
        </w:tc>
      </w:tr>
    </w:tbl>
    <w:p w:rsidR="00D301CB" w:rsidRDefault="00D301CB" w:rsidP="00D301CB">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D301CB" w:rsidRDefault="00D301CB" w:rsidP="00D301CB">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D301CB" w:rsidRPr="007F52FA" w:rsidRDefault="00D301CB" w:rsidP="00D301CB">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902E3F" w:rsidRPr="00D301CB"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7F31B5" w:rsidRDefault="00F42C1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F31B5" w:rsidRDefault="00F42C1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F31B5" w:rsidRDefault="00F42C14">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7F31B5" w:rsidRDefault="00F42C14">
      <w:pPr>
        <w:spacing w:before="29" w:line="288" w:lineRule="auto"/>
        <w:ind w:firstLineChars="200" w:firstLine="480"/>
        <w:rPr>
          <w:color w:val="000000"/>
          <w:sz w:val="24"/>
        </w:rPr>
      </w:pPr>
      <w:r>
        <w:rPr>
          <w:color w:val="000000"/>
          <w:sz w:val="24"/>
        </w:rPr>
        <w:t>本报告期内，在外需改善、基建发力、房地产三四线崛起的背景下，国内经济企稳，微观行业则继续呈现业绩改善的趋势。在</w:t>
      </w:r>
      <w:r>
        <w:rPr>
          <w:color w:val="000000"/>
          <w:sz w:val="24"/>
        </w:rPr>
        <w:t>CPI</w:t>
      </w:r>
      <w:r>
        <w:rPr>
          <w:color w:val="000000"/>
          <w:sz w:val="24"/>
        </w:rPr>
        <w:t>低位徘徊、</w:t>
      </w:r>
      <w:r>
        <w:rPr>
          <w:color w:val="000000"/>
          <w:sz w:val="24"/>
        </w:rPr>
        <w:t>PPI</w:t>
      </w:r>
      <w:r>
        <w:rPr>
          <w:color w:val="000000"/>
          <w:sz w:val="24"/>
        </w:rPr>
        <w:t>处于下降通道、通胀预期回落的宏观背景下，央行货币政策中性偏紧，金融监管趋严。四、五月份流动性整体偏紧，货币市场工具利率持续走高。但六月份以来，央行加大流动性投放力度，维持二季度末资金面平稳过渡的操作意图明显，金融去杠杆节奏也有所放缓，市场的负面情绪有所缓和。六月中旬开始，流动性较为宽松，货币市场工具利率也自高点快速下行。</w:t>
      </w:r>
    </w:p>
    <w:p w:rsidR="007F31B5" w:rsidRDefault="00F42C14">
      <w:pPr>
        <w:spacing w:before="29" w:line="288" w:lineRule="auto"/>
        <w:ind w:firstLineChars="200" w:firstLine="480"/>
        <w:rPr>
          <w:color w:val="000000"/>
          <w:sz w:val="24"/>
        </w:rPr>
      </w:pPr>
      <w:r>
        <w:rPr>
          <w:color w:val="000000"/>
          <w:sz w:val="24"/>
        </w:rPr>
        <w:t>基金操作方面，我们仍旧维持低杠杆、短久期的操作思路，较多投资于没有估值波动的银行存款与回购等，组合整体流动性良好。六月末则适当拉长久期，增配了部分绝对收益较高的资产，提高了组合收益。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三季度，半年末过后，短期资金面有望维持宽松局面，但在金融去杠杆的过程中，我们预计流动性的压力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w:t>
      </w:r>
      <w:proofErr w:type="gramStart"/>
      <w:r w:rsidRPr="000E4C40">
        <w:rPr>
          <w:color w:val="000000"/>
          <w:sz w:val="24"/>
        </w:rPr>
        <w:t>银货币</w:t>
      </w:r>
      <w:proofErr w:type="gramEnd"/>
      <w:r w:rsidRPr="000E4C40">
        <w:rPr>
          <w:color w:val="000000"/>
          <w:sz w:val="24"/>
        </w:rPr>
        <w:t>A</w:t>
      </w:r>
      <w:r w:rsidRPr="000E4C40">
        <w:rPr>
          <w:color w:val="000000"/>
          <w:sz w:val="24"/>
        </w:rPr>
        <w:t>净值收益率为</w:t>
      </w:r>
      <w:bookmarkStart w:id="2" w:name="_GoBack"/>
      <w:r w:rsidR="002914DE" w:rsidRPr="002914DE">
        <w:rPr>
          <w:color w:val="000000"/>
          <w:sz w:val="24"/>
        </w:rPr>
        <w:t>0.7980%</w:t>
      </w:r>
      <w:r w:rsidRPr="002914DE">
        <w:rPr>
          <w:color w:val="000000"/>
          <w:sz w:val="24"/>
        </w:rPr>
        <w:t>，同</w:t>
      </w:r>
      <w:bookmarkEnd w:id="2"/>
      <w:r w:rsidRPr="000E4C40">
        <w:rPr>
          <w:color w:val="000000"/>
          <w:sz w:val="24"/>
        </w:rPr>
        <w:t>期业绩比较基准收益率为</w:t>
      </w:r>
      <w:r w:rsidRPr="000E4C40">
        <w:rPr>
          <w:color w:val="000000"/>
          <w:sz w:val="24"/>
        </w:rPr>
        <w:t>0.3241%</w:t>
      </w:r>
      <w:r w:rsidRPr="000E4C40">
        <w:rPr>
          <w:color w:val="000000"/>
          <w:sz w:val="24"/>
        </w:rPr>
        <w:t>；交</w:t>
      </w:r>
      <w:proofErr w:type="gramStart"/>
      <w:r w:rsidRPr="000E4C40">
        <w:rPr>
          <w:color w:val="000000"/>
          <w:sz w:val="24"/>
        </w:rPr>
        <w:t>银货币</w:t>
      </w:r>
      <w:proofErr w:type="gramEnd"/>
      <w:r w:rsidRPr="000E4C40">
        <w:rPr>
          <w:color w:val="000000"/>
          <w:sz w:val="24"/>
        </w:rPr>
        <w:t>B</w:t>
      </w:r>
      <w:r w:rsidRPr="000E4C40">
        <w:rPr>
          <w:color w:val="000000"/>
          <w:sz w:val="24"/>
        </w:rPr>
        <w:t>净值收益率为</w:t>
      </w:r>
      <w:r w:rsidRPr="000E4C40">
        <w:rPr>
          <w:color w:val="000000"/>
          <w:sz w:val="24"/>
        </w:rPr>
        <w:t>0.8581%</w:t>
      </w:r>
      <w:r w:rsidRPr="000E4C40">
        <w:rPr>
          <w:color w:val="000000"/>
          <w:sz w:val="24"/>
        </w:rPr>
        <w:t>，同期业绩比较基准收益率为</w:t>
      </w:r>
      <w:r w:rsidRPr="000E4C40">
        <w:rPr>
          <w:color w:val="000000"/>
          <w:sz w:val="24"/>
        </w:rPr>
        <w:t>0.3241%</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EA0F0C">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1,264,761,157.34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30.55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1,234,551,157.34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29.82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30,210,000.00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0.73</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729,727,307.09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17.63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2,079,971,748.62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50.25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65,078,981.96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1.57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4,139,539,195.01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F42C14">
            <w:pPr>
              <w:spacing w:before="29" w:line="288" w:lineRule="auto"/>
              <w:jc w:val="right"/>
              <w:rPr>
                <w:sz w:val="24"/>
              </w:rPr>
            </w:pPr>
            <w:r w:rsidRPr="000E4C40">
              <w:rPr>
                <w:sz w:val="24"/>
              </w:rPr>
              <w:t>3.</w:t>
            </w:r>
            <w:r w:rsidR="00F42C14">
              <w:rPr>
                <w:rFonts w:hint="eastAsia"/>
                <w:sz w:val="24"/>
              </w:rPr>
              <w:t>49</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06"/>
        <w:gridCol w:w="1890"/>
        <w:gridCol w:w="2253"/>
        <w:gridCol w:w="1773"/>
        <w:gridCol w:w="2046"/>
      </w:tblGrid>
      <w:tr w:rsidR="007521F9" w:rsidRPr="000E4C40" w:rsidTr="00D671B7">
        <w:trPr>
          <w:jc w:val="center"/>
        </w:trPr>
        <w:tc>
          <w:tcPr>
            <w:tcW w:w="906" w:type="dxa"/>
            <w:vAlign w:val="center"/>
          </w:tcPr>
          <w:p w:rsidR="007521F9" w:rsidRPr="000E4C40" w:rsidRDefault="007521F9" w:rsidP="00281564">
            <w:pPr>
              <w:spacing w:before="29" w:line="288" w:lineRule="auto"/>
              <w:jc w:val="center"/>
              <w:rPr>
                <w:sz w:val="24"/>
              </w:rPr>
            </w:pPr>
            <w:r w:rsidRPr="000E4C40">
              <w:rPr>
                <w:rFonts w:hAnsi="宋体"/>
                <w:sz w:val="24"/>
              </w:rPr>
              <w:t>序号</w:t>
            </w:r>
          </w:p>
        </w:tc>
        <w:tc>
          <w:tcPr>
            <w:tcW w:w="1890" w:type="dxa"/>
            <w:vAlign w:val="center"/>
          </w:tcPr>
          <w:p w:rsidR="007521F9" w:rsidRPr="000E4C40" w:rsidRDefault="007521F9" w:rsidP="00281564">
            <w:pPr>
              <w:spacing w:before="29" w:line="288" w:lineRule="auto"/>
              <w:jc w:val="center"/>
              <w:rPr>
                <w:sz w:val="24"/>
              </w:rPr>
            </w:pPr>
            <w:r w:rsidRPr="000E4C40">
              <w:rPr>
                <w:rFonts w:hAnsi="宋体"/>
                <w:sz w:val="24"/>
              </w:rPr>
              <w:t>发生日期</w:t>
            </w:r>
          </w:p>
        </w:tc>
        <w:tc>
          <w:tcPr>
            <w:tcW w:w="2253" w:type="dxa"/>
            <w:vAlign w:val="center"/>
          </w:tcPr>
          <w:p w:rsidR="007521F9" w:rsidRPr="000E4C40" w:rsidRDefault="007521F9" w:rsidP="00281564">
            <w:pPr>
              <w:spacing w:before="29" w:line="288" w:lineRule="auto"/>
              <w:jc w:val="center"/>
              <w:rPr>
                <w:sz w:val="24"/>
              </w:rPr>
            </w:pPr>
            <w:r w:rsidRPr="000E4C40">
              <w:rPr>
                <w:rFonts w:hAnsi="宋体"/>
                <w:sz w:val="24"/>
              </w:rPr>
              <w:t>融资余额占基金资产净值的比例（</w:t>
            </w:r>
            <w:r w:rsidRPr="000E4C40">
              <w:rPr>
                <w:sz w:val="24"/>
              </w:rPr>
              <w:t>%</w:t>
            </w:r>
            <w:r w:rsidRPr="000E4C40">
              <w:rPr>
                <w:rFonts w:hAnsi="宋体"/>
                <w:sz w:val="24"/>
              </w:rPr>
              <w:t>）</w:t>
            </w:r>
          </w:p>
        </w:tc>
        <w:tc>
          <w:tcPr>
            <w:tcW w:w="1773" w:type="dxa"/>
            <w:vAlign w:val="center"/>
          </w:tcPr>
          <w:p w:rsidR="007521F9" w:rsidRPr="000E4C40" w:rsidRDefault="007521F9" w:rsidP="00281564">
            <w:pPr>
              <w:spacing w:before="29" w:line="288" w:lineRule="auto"/>
              <w:jc w:val="center"/>
              <w:rPr>
                <w:sz w:val="24"/>
              </w:rPr>
            </w:pPr>
            <w:r w:rsidRPr="000E4C40">
              <w:rPr>
                <w:rFonts w:hAnsi="宋体"/>
                <w:sz w:val="24"/>
              </w:rPr>
              <w:t>原因</w:t>
            </w:r>
          </w:p>
        </w:tc>
        <w:tc>
          <w:tcPr>
            <w:tcW w:w="2046" w:type="dxa"/>
            <w:vAlign w:val="center"/>
          </w:tcPr>
          <w:p w:rsidR="007521F9" w:rsidRPr="000E4C40" w:rsidRDefault="007521F9" w:rsidP="00281564">
            <w:pPr>
              <w:spacing w:before="29" w:line="288" w:lineRule="auto"/>
              <w:jc w:val="center"/>
              <w:rPr>
                <w:sz w:val="24"/>
              </w:rPr>
            </w:pPr>
            <w:r w:rsidRPr="000E4C40">
              <w:rPr>
                <w:rFonts w:hAnsi="宋体"/>
                <w:sz w:val="24"/>
              </w:rPr>
              <w:t>调整期</w:t>
            </w:r>
          </w:p>
        </w:tc>
      </w:tr>
      <w:tr w:rsidR="00D671B7">
        <w:trPr>
          <w:jc w:val="center"/>
        </w:trPr>
        <w:tc>
          <w:tcPr>
            <w:tcW w:w="906" w:type="dxa"/>
            <w:vAlign w:val="center"/>
          </w:tcPr>
          <w:p w:rsidR="00D671B7" w:rsidRDefault="00D671B7">
            <w:pPr>
              <w:jc w:val="center"/>
            </w:pPr>
            <w:r>
              <w:rPr>
                <w:color w:val="000000"/>
                <w:sz w:val="24"/>
              </w:rPr>
              <w:lastRenderedPageBreak/>
              <w:t>1</w:t>
            </w:r>
          </w:p>
        </w:tc>
        <w:tc>
          <w:tcPr>
            <w:tcW w:w="1890" w:type="dxa"/>
            <w:vAlign w:val="center"/>
          </w:tcPr>
          <w:p w:rsidR="00D671B7" w:rsidRDefault="00D671B7">
            <w:pPr>
              <w:jc w:val="center"/>
            </w:pPr>
            <w:r>
              <w:rPr>
                <w:color w:val="000000"/>
                <w:sz w:val="24"/>
              </w:rPr>
              <w:t>2017-05-22</w:t>
            </w:r>
          </w:p>
        </w:tc>
        <w:tc>
          <w:tcPr>
            <w:tcW w:w="2253" w:type="dxa"/>
            <w:vAlign w:val="center"/>
          </w:tcPr>
          <w:p w:rsidR="00D671B7" w:rsidRDefault="00D671B7">
            <w:pPr>
              <w:jc w:val="center"/>
            </w:pPr>
            <w:r>
              <w:rPr>
                <w:color w:val="000000"/>
                <w:sz w:val="24"/>
              </w:rPr>
              <w:t>21.72</w:t>
            </w:r>
          </w:p>
        </w:tc>
        <w:tc>
          <w:tcPr>
            <w:tcW w:w="1773" w:type="dxa"/>
            <w:vAlign w:val="center"/>
          </w:tcPr>
          <w:p w:rsidR="00D671B7" w:rsidRPr="002F4E91" w:rsidRDefault="00D671B7">
            <w:pPr>
              <w:jc w:val="center"/>
              <w:rPr>
                <w:rFonts w:ascii="Calibri" w:hAnsi="Calibri" w:cs="宋体"/>
                <w:szCs w:val="21"/>
              </w:rPr>
            </w:pPr>
            <w:r w:rsidRPr="002F4E91">
              <w:rPr>
                <w:rFonts w:ascii="宋体" w:hAnsi="宋体" w:hint="eastAsia"/>
                <w:sz w:val="24"/>
              </w:rPr>
              <w:t>巨额赎回</w:t>
            </w:r>
          </w:p>
        </w:tc>
        <w:tc>
          <w:tcPr>
            <w:tcW w:w="2046" w:type="dxa"/>
            <w:vAlign w:val="center"/>
          </w:tcPr>
          <w:p w:rsidR="00D671B7" w:rsidRPr="002F4E91" w:rsidRDefault="00D671B7">
            <w:pPr>
              <w:jc w:val="center"/>
              <w:rPr>
                <w:rFonts w:ascii="Calibri" w:hAnsi="Calibri" w:cs="宋体"/>
                <w:szCs w:val="21"/>
              </w:rPr>
            </w:pPr>
            <w:r w:rsidRPr="002F4E91">
              <w:rPr>
                <w:sz w:val="24"/>
              </w:rPr>
              <w:t>3</w:t>
            </w:r>
            <w:r w:rsidRPr="002F4E91">
              <w:rPr>
                <w:rFonts w:ascii="宋体" w:hAnsi="宋体" w:hint="eastAsia"/>
                <w:sz w:val="24"/>
              </w:rPr>
              <w:t>个交易日</w:t>
            </w:r>
          </w:p>
        </w:tc>
      </w:tr>
      <w:tr w:rsidR="00D671B7">
        <w:trPr>
          <w:jc w:val="center"/>
        </w:trPr>
        <w:tc>
          <w:tcPr>
            <w:tcW w:w="906" w:type="dxa"/>
            <w:vAlign w:val="center"/>
          </w:tcPr>
          <w:p w:rsidR="00D671B7" w:rsidRDefault="00D671B7">
            <w:pPr>
              <w:jc w:val="center"/>
            </w:pPr>
            <w:r>
              <w:rPr>
                <w:color w:val="000000"/>
                <w:sz w:val="24"/>
              </w:rPr>
              <w:t>2</w:t>
            </w:r>
          </w:p>
        </w:tc>
        <w:tc>
          <w:tcPr>
            <w:tcW w:w="1890" w:type="dxa"/>
            <w:vAlign w:val="center"/>
          </w:tcPr>
          <w:p w:rsidR="00D671B7" w:rsidRDefault="00D671B7">
            <w:pPr>
              <w:jc w:val="center"/>
            </w:pPr>
            <w:r>
              <w:rPr>
                <w:color w:val="000000"/>
                <w:sz w:val="24"/>
              </w:rPr>
              <w:t>2017-05-19</w:t>
            </w:r>
          </w:p>
        </w:tc>
        <w:tc>
          <w:tcPr>
            <w:tcW w:w="2253" w:type="dxa"/>
            <w:vAlign w:val="center"/>
          </w:tcPr>
          <w:p w:rsidR="00D671B7" w:rsidRDefault="00D671B7">
            <w:pPr>
              <w:jc w:val="center"/>
            </w:pPr>
            <w:r>
              <w:rPr>
                <w:color w:val="000000"/>
                <w:sz w:val="24"/>
              </w:rPr>
              <w:t>27.75</w:t>
            </w:r>
          </w:p>
        </w:tc>
        <w:tc>
          <w:tcPr>
            <w:tcW w:w="1773" w:type="dxa"/>
            <w:vAlign w:val="center"/>
          </w:tcPr>
          <w:p w:rsidR="00D671B7" w:rsidRPr="002F4E91" w:rsidRDefault="00D671B7">
            <w:pPr>
              <w:jc w:val="center"/>
              <w:rPr>
                <w:rFonts w:ascii="Calibri" w:hAnsi="Calibri" w:cs="宋体"/>
                <w:szCs w:val="21"/>
              </w:rPr>
            </w:pPr>
            <w:r w:rsidRPr="002F4E91">
              <w:rPr>
                <w:rFonts w:ascii="宋体" w:hAnsi="宋体" w:hint="eastAsia"/>
                <w:sz w:val="24"/>
              </w:rPr>
              <w:t>巨额赎回</w:t>
            </w:r>
          </w:p>
        </w:tc>
        <w:tc>
          <w:tcPr>
            <w:tcW w:w="2046" w:type="dxa"/>
            <w:vAlign w:val="center"/>
          </w:tcPr>
          <w:p w:rsidR="00D671B7" w:rsidRPr="002F4E91" w:rsidRDefault="00D671B7">
            <w:pPr>
              <w:jc w:val="center"/>
              <w:rPr>
                <w:rFonts w:ascii="Calibri" w:hAnsi="Calibri" w:cs="宋体"/>
                <w:szCs w:val="21"/>
              </w:rPr>
            </w:pPr>
            <w:r w:rsidRPr="002F4E91">
              <w:rPr>
                <w:sz w:val="24"/>
              </w:rPr>
              <w:t>3</w:t>
            </w:r>
            <w:r w:rsidRPr="002F4E91">
              <w:rPr>
                <w:rFonts w:ascii="宋体" w:hAnsi="宋体" w:hint="eastAsia"/>
                <w:sz w:val="24"/>
              </w:rPr>
              <w:t>个交易日</w:t>
            </w:r>
          </w:p>
        </w:tc>
      </w:tr>
      <w:tr w:rsidR="00D671B7">
        <w:trPr>
          <w:jc w:val="center"/>
        </w:trPr>
        <w:tc>
          <w:tcPr>
            <w:tcW w:w="906" w:type="dxa"/>
            <w:vAlign w:val="center"/>
          </w:tcPr>
          <w:p w:rsidR="00D671B7" w:rsidRDefault="00D671B7">
            <w:pPr>
              <w:jc w:val="center"/>
            </w:pPr>
            <w:r>
              <w:rPr>
                <w:color w:val="000000"/>
                <w:sz w:val="24"/>
              </w:rPr>
              <w:t>3</w:t>
            </w:r>
          </w:p>
        </w:tc>
        <w:tc>
          <w:tcPr>
            <w:tcW w:w="1890" w:type="dxa"/>
            <w:vAlign w:val="center"/>
          </w:tcPr>
          <w:p w:rsidR="00D671B7" w:rsidRDefault="00D671B7">
            <w:pPr>
              <w:jc w:val="center"/>
            </w:pPr>
            <w:r>
              <w:rPr>
                <w:color w:val="000000"/>
                <w:sz w:val="24"/>
              </w:rPr>
              <w:t>2017-05-18</w:t>
            </w:r>
          </w:p>
        </w:tc>
        <w:tc>
          <w:tcPr>
            <w:tcW w:w="2253" w:type="dxa"/>
            <w:vAlign w:val="center"/>
          </w:tcPr>
          <w:p w:rsidR="00D671B7" w:rsidRDefault="00D671B7">
            <w:pPr>
              <w:jc w:val="center"/>
            </w:pPr>
            <w:r>
              <w:rPr>
                <w:color w:val="000000"/>
                <w:sz w:val="24"/>
              </w:rPr>
              <w:t>23.69</w:t>
            </w:r>
          </w:p>
        </w:tc>
        <w:tc>
          <w:tcPr>
            <w:tcW w:w="1773" w:type="dxa"/>
            <w:vAlign w:val="center"/>
          </w:tcPr>
          <w:p w:rsidR="00D671B7" w:rsidRPr="002F4E91" w:rsidRDefault="00D671B7">
            <w:pPr>
              <w:jc w:val="center"/>
              <w:rPr>
                <w:rFonts w:ascii="Calibri" w:hAnsi="Calibri" w:cs="宋体"/>
                <w:szCs w:val="21"/>
              </w:rPr>
            </w:pPr>
            <w:r w:rsidRPr="002F4E91">
              <w:rPr>
                <w:rFonts w:ascii="宋体" w:hAnsi="宋体" w:hint="eastAsia"/>
                <w:sz w:val="24"/>
              </w:rPr>
              <w:t>巨额赎回</w:t>
            </w:r>
          </w:p>
        </w:tc>
        <w:tc>
          <w:tcPr>
            <w:tcW w:w="2046" w:type="dxa"/>
            <w:vAlign w:val="center"/>
          </w:tcPr>
          <w:p w:rsidR="00D671B7" w:rsidRPr="002F4E91" w:rsidRDefault="00D671B7">
            <w:pPr>
              <w:jc w:val="center"/>
              <w:rPr>
                <w:rFonts w:ascii="Calibri" w:hAnsi="Calibri" w:cs="宋体"/>
                <w:szCs w:val="21"/>
              </w:rPr>
            </w:pPr>
            <w:r w:rsidRPr="002F4E91">
              <w:rPr>
                <w:sz w:val="24"/>
              </w:rPr>
              <w:t>3</w:t>
            </w:r>
            <w:r w:rsidRPr="002F4E91">
              <w:rPr>
                <w:rFonts w:ascii="宋体" w:hAnsi="宋体" w:hint="eastAsia"/>
                <w:sz w:val="24"/>
              </w:rPr>
              <w:t>个交易日</w:t>
            </w:r>
          </w:p>
        </w:tc>
      </w:tr>
    </w:tbl>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75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36</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3A41B9" w:rsidP="00281564">
            <w:pPr>
              <w:autoSpaceDE w:val="0"/>
              <w:autoSpaceDN w:val="0"/>
              <w:adjustRightInd w:val="0"/>
              <w:spacing w:before="29" w:line="288" w:lineRule="auto"/>
              <w:ind w:left="15"/>
              <w:jc w:val="right"/>
              <w:rPr>
                <w:color w:val="000000"/>
                <w:kern w:val="0"/>
                <w:sz w:val="24"/>
              </w:rPr>
            </w:pPr>
            <w:r w:rsidRPr="00473CAD">
              <w:rPr>
                <w:color w:val="000000"/>
                <w:sz w:val="24"/>
              </w:rPr>
              <w:t>27.87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19.14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25.61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14.78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11.36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lastRenderedPageBreak/>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3A41B9" w:rsidP="00EA0F0C">
            <w:pPr>
              <w:autoSpaceDE w:val="0"/>
              <w:autoSpaceDN w:val="0"/>
              <w:adjustRightInd w:val="0"/>
              <w:spacing w:before="29" w:line="288" w:lineRule="auto"/>
              <w:ind w:left="15"/>
              <w:jc w:val="right"/>
              <w:rPr>
                <w:color w:val="000000"/>
                <w:kern w:val="0"/>
                <w:sz w:val="24"/>
              </w:rPr>
            </w:pPr>
            <w:r w:rsidRPr="003A41B9">
              <w:rPr>
                <w:color w:val="000000"/>
                <w:sz w:val="24"/>
              </w:rPr>
              <w:t>98.76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238,682,379.61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5.79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599,719,727.04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14.54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396,149,050.69</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9.60</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1,234,551,157.34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29.93</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44"/>
        <w:gridCol w:w="1296"/>
        <w:gridCol w:w="2143"/>
        <w:gridCol w:w="1207"/>
        <w:gridCol w:w="2051"/>
        <w:gridCol w:w="132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F31B5">
        <w:trPr>
          <w:jc w:val="center"/>
        </w:trPr>
        <w:tc>
          <w:tcPr>
            <w:tcW w:w="0" w:type="auto"/>
            <w:vAlign w:val="center"/>
          </w:tcPr>
          <w:p w:rsidR="007F31B5" w:rsidRDefault="00F42C14">
            <w:pPr>
              <w:jc w:val="center"/>
            </w:pPr>
            <w:r>
              <w:rPr>
                <w:color w:val="000000"/>
                <w:sz w:val="24"/>
              </w:rPr>
              <w:t>1</w:t>
            </w:r>
          </w:p>
        </w:tc>
        <w:tc>
          <w:tcPr>
            <w:tcW w:w="0" w:type="auto"/>
            <w:vAlign w:val="center"/>
          </w:tcPr>
          <w:p w:rsidR="007F31B5" w:rsidRDefault="00F42C14">
            <w:pPr>
              <w:jc w:val="center"/>
            </w:pPr>
            <w:r>
              <w:rPr>
                <w:color w:val="000000"/>
                <w:sz w:val="24"/>
              </w:rPr>
              <w:t>041653060</w:t>
            </w:r>
          </w:p>
        </w:tc>
        <w:tc>
          <w:tcPr>
            <w:tcW w:w="0" w:type="auto"/>
            <w:vAlign w:val="center"/>
          </w:tcPr>
          <w:p w:rsidR="007F31B5" w:rsidRDefault="00F42C14">
            <w:pPr>
              <w:jc w:val="center"/>
            </w:pPr>
            <w:r>
              <w:rPr>
                <w:color w:val="000000"/>
                <w:sz w:val="24"/>
              </w:rPr>
              <w:t>16</w:t>
            </w:r>
            <w:r>
              <w:rPr>
                <w:color w:val="000000"/>
                <w:sz w:val="24"/>
              </w:rPr>
              <w:t>河钢</w:t>
            </w:r>
            <w:r>
              <w:rPr>
                <w:color w:val="000000"/>
                <w:sz w:val="24"/>
              </w:rPr>
              <w:t>CP005</w:t>
            </w:r>
          </w:p>
        </w:tc>
        <w:tc>
          <w:tcPr>
            <w:tcW w:w="0" w:type="auto"/>
            <w:vAlign w:val="center"/>
          </w:tcPr>
          <w:p w:rsidR="007F31B5" w:rsidRDefault="00F42C14">
            <w:pPr>
              <w:jc w:val="right"/>
            </w:pPr>
            <w:r>
              <w:rPr>
                <w:color w:val="000000"/>
                <w:sz w:val="24"/>
              </w:rPr>
              <w:t>2,000,000</w:t>
            </w:r>
          </w:p>
        </w:tc>
        <w:tc>
          <w:tcPr>
            <w:tcW w:w="0" w:type="auto"/>
            <w:vAlign w:val="center"/>
          </w:tcPr>
          <w:p w:rsidR="007F31B5" w:rsidRDefault="00F42C14">
            <w:pPr>
              <w:jc w:val="right"/>
            </w:pPr>
            <w:r>
              <w:rPr>
                <w:color w:val="000000"/>
                <w:sz w:val="24"/>
              </w:rPr>
              <w:t>199,959,426.76</w:t>
            </w:r>
          </w:p>
        </w:tc>
        <w:tc>
          <w:tcPr>
            <w:tcW w:w="0" w:type="auto"/>
            <w:vAlign w:val="center"/>
          </w:tcPr>
          <w:p w:rsidR="007F31B5" w:rsidRDefault="00F42C14">
            <w:pPr>
              <w:jc w:val="right"/>
            </w:pPr>
            <w:r>
              <w:rPr>
                <w:color w:val="000000"/>
                <w:sz w:val="24"/>
              </w:rPr>
              <w:t>4.85</w:t>
            </w:r>
          </w:p>
        </w:tc>
      </w:tr>
      <w:tr w:rsidR="007F31B5">
        <w:trPr>
          <w:jc w:val="center"/>
        </w:trPr>
        <w:tc>
          <w:tcPr>
            <w:tcW w:w="0" w:type="auto"/>
            <w:vAlign w:val="center"/>
          </w:tcPr>
          <w:p w:rsidR="007F31B5" w:rsidRDefault="00F42C14">
            <w:pPr>
              <w:jc w:val="center"/>
            </w:pPr>
            <w:r>
              <w:rPr>
                <w:color w:val="000000"/>
                <w:sz w:val="24"/>
              </w:rPr>
              <w:t>2</w:t>
            </w:r>
          </w:p>
        </w:tc>
        <w:tc>
          <w:tcPr>
            <w:tcW w:w="0" w:type="auto"/>
            <w:vAlign w:val="center"/>
          </w:tcPr>
          <w:p w:rsidR="007F31B5" w:rsidRDefault="00F42C14">
            <w:pPr>
              <w:jc w:val="center"/>
            </w:pPr>
            <w:r>
              <w:rPr>
                <w:color w:val="000000"/>
                <w:sz w:val="24"/>
              </w:rPr>
              <w:t>041658038</w:t>
            </w:r>
          </w:p>
        </w:tc>
        <w:tc>
          <w:tcPr>
            <w:tcW w:w="0" w:type="auto"/>
            <w:vAlign w:val="center"/>
          </w:tcPr>
          <w:p w:rsidR="007F31B5" w:rsidRDefault="00F42C14">
            <w:pPr>
              <w:jc w:val="center"/>
            </w:pPr>
            <w:r>
              <w:rPr>
                <w:color w:val="000000"/>
                <w:sz w:val="24"/>
              </w:rPr>
              <w:t>16</w:t>
            </w:r>
            <w:r>
              <w:rPr>
                <w:color w:val="000000"/>
                <w:sz w:val="24"/>
              </w:rPr>
              <w:t>津铁路</w:t>
            </w:r>
            <w:r>
              <w:rPr>
                <w:color w:val="000000"/>
                <w:sz w:val="24"/>
              </w:rPr>
              <w:t>CP001</w:t>
            </w:r>
          </w:p>
        </w:tc>
        <w:tc>
          <w:tcPr>
            <w:tcW w:w="0" w:type="auto"/>
            <w:vAlign w:val="center"/>
          </w:tcPr>
          <w:p w:rsidR="007F31B5" w:rsidRDefault="00F42C14">
            <w:pPr>
              <w:jc w:val="right"/>
            </w:pPr>
            <w:r>
              <w:rPr>
                <w:color w:val="000000"/>
                <w:sz w:val="24"/>
              </w:rPr>
              <w:t>1,600,000</w:t>
            </w:r>
          </w:p>
        </w:tc>
        <w:tc>
          <w:tcPr>
            <w:tcW w:w="0" w:type="auto"/>
            <w:vAlign w:val="center"/>
          </w:tcPr>
          <w:p w:rsidR="007F31B5" w:rsidRDefault="00F42C14">
            <w:pPr>
              <w:jc w:val="right"/>
            </w:pPr>
            <w:r>
              <w:rPr>
                <w:color w:val="000000"/>
                <w:sz w:val="24"/>
              </w:rPr>
              <w:t>159,998,450.52</w:t>
            </w:r>
          </w:p>
        </w:tc>
        <w:tc>
          <w:tcPr>
            <w:tcW w:w="0" w:type="auto"/>
            <w:vAlign w:val="center"/>
          </w:tcPr>
          <w:p w:rsidR="007F31B5" w:rsidRDefault="00F42C14">
            <w:pPr>
              <w:jc w:val="right"/>
            </w:pPr>
            <w:r>
              <w:rPr>
                <w:color w:val="000000"/>
                <w:sz w:val="24"/>
              </w:rPr>
              <w:t>3.88</w:t>
            </w:r>
          </w:p>
        </w:tc>
      </w:tr>
      <w:tr w:rsidR="007F31B5">
        <w:trPr>
          <w:jc w:val="center"/>
        </w:trPr>
        <w:tc>
          <w:tcPr>
            <w:tcW w:w="0" w:type="auto"/>
            <w:vAlign w:val="center"/>
          </w:tcPr>
          <w:p w:rsidR="007F31B5" w:rsidRDefault="00F42C14">
            <w:pPr>
              <w:jc w:val="center"/>
            </w:pPr>
            <w:r>
              <w:rPr>
                <w:color w:val="000000"/>
                <w:sz w:val="24"/>
              </w:rPr>
              <w:t>3</w:t>
            </w:r>
          </w:p>
        </w:tc>
        <w:tc>
          <w:tcPr>
            <w:tcW w:w="0" w:type="auto"/>
            <w:vAlign w:val="center"/>
          </w:tcPr>
          <w:p w:rsidR="007F31B5" w:rsidRDefault="00F42C14">
            <w:pPr>
              <w:jc w:val="center"/>
            </w:pPr>
            <w:r>
              <w:rPr>
                <w:color w:val="000000"/>
                <w:sz w:val="24"/>
              </w:rPr>
              <w:t>020183</w:t>
            </w:r>
          </w:p>
        </w:tc>
        <w:tc>
          <w:tcPr>
            <w:tcW w:w="0" w:type="auto"/>
            <w:vAlign w:val="center"/>
          </w:tcPr>
          <w:p w:rsidR="007F31B5" w:rsidRDefault="00F42C14">
            <w:pPr>
              <w:jc w:val="center"/>
            </w:pPr>
            <w:r>
              <w:rPr>
                <w:color w:val="000000"/>
                <w:sz w:val="24"/>
              </w:rPr>
              <w:t>17</w:t>
            </w:r>
            <w:r>
              <w:rPr>
                <w:color w:val="000000"/>
                <w:sz w:val="24"/>
              </w:rPr>
              <w:t>贴债</w:t>
            </w:r>
            <w:r>
              <w:rPr>
                <w:color w:val="000000"/>
                <w:sz w:val="24"/>
              </w:rPr>
              <w:t>27</w:t>
            </w:r>
          </w:p>
        </w:tc>
        <w:tc>
          <w:tcPr>
            <w:tcW w:w="0" w:type="auto"/>
            <w:vAlign w:val="center"/>
          </w:tcPr>
          <w:p w:rsidR="007F31B5" w:rsidRDefault="00F42C14">
            <w:pPr>
              <w:jc w:val="right"/>
            </w:pPr>
            <w:r>
              <w:rPr>
                <w:color w:val="000000"/>
                <w:sz w:val="24"/>
              </w:rPr>
              <w:t>1,500,000</w:t>
            </w:r>
          </w:p>
        </w:tc>
        <w:tc>
          <w:tcPr>
            <w:tcW w:w="0" w:type="auto"/>
            <w:vAlign w:val="center"/>
          </w:tcPr>
          <w:p w:rsidR="007F31B5" w:rsidRDefault="00F42C14">
            <w:pPr>
              <w:jc w:val="right"/>
            </w:pPr>
            <w:r>
              <w:rPr>
                <w:color w:val="000000"/>
                <w:sz w:val="24"/>
              </w:rPr>
              <w:t>148,974,616.45</w:t>
            </w:r>
          </w:p>
        </w:tc>
        <w:tc>
          <w:tcPr>
            <w:tcW w:w="0" w:type="auto"/>
            <w:vAlign w:val="center"/>
          </w:tcPr>
          <w:p w:rsidR="007F31B5" w:rsidRDefault="00F42C14">
            <w:pPr>
              <w:jc w:val="right"/>
            </w:pPr>
            <w:r>
              <w:rPr>
                <w:color w:val="000000"/>
                <w:sz w:val="24"/>
              </w:rPr>
              <w:t>3.61</w:t>
            </w:r>
          </w:p>
        </w:tc>
      </w:tr>
      <w:tr w:rsidR="007F31B5">
        <w:trPr>
          <w:jc w:val="center"/>
        </w:trPr>
        <w:tc>
          <w:tcPr>
            <w:tcW w:w="0" w:type="auto"/>
            <w:vAlign w:val="center"/>
          </w:tcPr>
          <w:p w:rsidR="007F31B5" w:rsidRDefault="00F42C14">
            <w:pPr>
              <w:jc w:val="center"/>
            </w:pPr>
            <w:r>
              <w:rPr>
                <w:color w:val="000000"/>
                <w:sz w:val="24"/>
              </w:rPr>
              <w:t>4</w:t>
            </w:r>
          </w:p>
        </w:tc>
        <w:tc>
          <w:tcPr>
            <w:tcW w:w="0" w:type="auto"/>
            <w:vAlign w:val="center"/>
          </w:tcPr>
          <w:p w:rsidR="007F31B5" w:rsidRDefault="00F42C14">
            <w:pPr>
              <w:jc w:val="center"/>
            </w:pPr>
            <w:r>
              <w:rPr>
                <w:color w:val="000000"/>
                <w:sz w:val="24"/>
              </w:rPr>
              <w:t>111697913</w:t>
            </w:r>
          </w:p>
        </w:tc>
        <w:tc>
          <w:tcPr>
            <w:tcW w:w="0" w:type="auto"/>
            <w:vAlign w:val="center"/>
          </w:tcPr>
          <w:p w:rsidR="007F31B5" w:rsidRDefault="00F42C14">
            <w:pPr>
              <w:jc w:val="center"/>
            </w:pPr>
            <w:r>
              <w:rPr>
                <w:color w:val="000000"/>
                <w:sz w:val="24"/>
              </w:rPr>
              <w:t>16</w:t>
            </w:r>
            <w:r>
              <w:rPr>
                <w:color w:val="000000"/>
                <w:sz w:val="24"/>
              </w:rPr>
              <w:t>吉林银行</w:t>
            </w:r>
            <w:r>
              <w:rPr>
                <w:color w:val="000000"/>
                <w:sz w:val="24"/>
              </w:rPr>
              <w:t>CD162</w:t>
            </w:r>
          </w:p>
        </w:tc>
        <w:tc>
          <w:tcPr>
            <w:tcW w:w="0" w:type="auto"/>
            <w:vAlign w:val="center"/>
          </w:tcPr>
          <w:p w:rsidR="007F31B5" w:rsidRDefault="00F42C14">
            <w:pPr>
              <w:jc w:val="right"/>
            </w:pPr>
            <w:r>
              <w:rPr>
                <w:color w:val="000000"/>
                <w:sz w:val="24"/>
              </w:rPr>
              <w:t>1,500,000</w:t>
            </w:r>
          </w:p>
        </w:tc>
        <w:tc>
          <w:tcPr>
            <w:tcW w:w="0" w:type="auto"/>
            <w:vAlign w:val="center"/>
          </w:tcPr>
          <w:p w:rsidR="007F31B5" w:rsidRDefault="00F42C14">
            <w:pPr>
              <w:jc w:val="right"/>
            </w:pPr>
            <w:r>
              <w:rPr>
                <w:color w:val="000000"/>
                <w:sz w:val="24"/>
              </w:rPr>
              <w:t>148,899,979.48</w:t>
            </w:r>
          </w:p>
        </w:tc>
        <w:tc>
          <w:tcPr>
            <w:tcW w:w="0" w:type="auto"/>
            <w:vAlign w:val="center"/>
          </w:tcPr>
          <w:p w:rsidR="007F31B5" w:rsidRDefault="00F42C14">
            <w:pPr>
              <w:jc w:val="right"/>
            </w:pPr>
            <w:r>
              <w:rPr>
                <w:color w:val="000000"/>
                <w:sz w:val="24"/>
              </w:rPr>
              <w:t>3.61</w:t>
            </w:r>
          </w:p>
        </w:tc>
      </w:tr>
      <w:tr w:rsidR="007F31B5">
        <w:trPr>
          <w:jc w:val="center"/>
        </w:trPr>
        <w:tc>
          <w:tcPr>
            <w:tcW w:w="0" w:type="auto"/>
            <w:vAlign w:val="center"/>
          </w:tcPr>
          <w:p w:rsidR="007F31B5" w:rsidRDefault="00F42C14">
            <w:pPr>
              <w:jc w:val="center"/>
            </w:pPr>
            <w:r>
              <w:rPr>
                <w:color w:val="000000"/>
                <w:sz w:val="24"/>
              </w:rPr>
              <w:lastRenderedPageBreak/>
              <w:t>5</w:t>
            </w:r>
          </w:p>
        </w:tc>
        <w:tc>
          <w:tcPr>
            <w:tcW w:w="0" w:type="auto"/>
            <w:vAlign w:val="center"/>
          </w:tcPr>
          <w:p w:rsidR="007F31B5" w:rsidRDefault="00F42C14">
            <w:pPr>
              <w:jc w:val="center"/>
            </w:pPr>
            <w:r>
              <w:rPr>
                <w:color w:val="000000"/>
                <w:sz w:val="24"/>
              </w:rPr>
              <w:t>111680260</w:t>
            </w:r>
          </w:p>
        </w:tc>
        <w:tc>
          <w:tcPr>
            <w:tcW w:w="0" w:type="auto"/>
            <w:vAlign w:val="center"/>
          </w:tcPr>
          <w:p w:rsidR="007F31B5" w:rsidRDefault="00F42C14">
            <w:pPr>
              <w:jc w:val="center"/>
            </w:pPr>
            <w:r>
              <w:rPr>
                <w:color w:val="000000"/>
                <w:sz w:val="24"/>
              </w:rPr>
              <w:t>16</w:t>
            </w:r>
            <w:r>
              <w:rPr>
                <w:color w:val="000000"/>
                <w:sz w:val="24"/>
              </w:rPr>
              <w:t>九台农村商业银行</w:t>
            </w:r>
            <w:r>
              <w:rPr>
                <w:color w:val="000000"/>
                <w:sz w:val="24"/>
              </w:rPr>
              <w:t>CD040</w:t>
            </w:r>
          </w:p>
        </w:tc>
        <w:tc>
          <w:tcPr>
            <w:tcW w:w="0" w:type="auto"/>
            <w:vAlign w:val="center"/>
          </w:tcPr>
          <w:p w:rsidR="007F31B5" w:rsidRDefault="00F42C14">
            <w:pPr>
              <w:jc w:val="right"/>
            </w:pPr>
            <w:r>
              <w:rPr>
                <w:color w:val="000000"/>
                <w:sz w:val="24"/>
              </w:rPr>
              <w:t>1,000,000</w:t>
            </w:r>
          </w:p>
        </w:tc>
        <w:tc>
          <w:tcPr>
            <w:tcW w:w="0" w:type="auto"/>
            <w:vAlign w:val="center"/>
          </w:tcPr>
          <w:p w:rsidR="007F31B5" w:rsidRDefault="00F42C14">
            <w:pPr>
              <w:jc w:val="right"/>
            </w:pPr>
            <w:r>
              <w:rPr>
                <w:color w:val="000000"/>
                <w:sz w:val="24"/>
              </w:rPr>
              <w:t>98,716,643.54</w:t>
            </w:r>
          </w:p>
        </w:tc>
        <w:tc>
          <w:tcPr>
            <w:tcW w:w="0" w:type="auto"/>
            <w:vAlign w:val="center"/>
          </w:tcPr>
          <w:p w:rsidR="007F31B5" w:rsidRDefault="00F42C14">
            <w:pPr>
              <w:jc w:val="right"/>
            </w:pPr>
            <w:r>
              <w:rPr>
                <w:color w:val="000000"/>
                <w:sz w:val="24"/>
              </w:rPr>
              <w:t>2.39</w:t>
            </w:r>
          </w:p>
        </w:tc>
      </w:tr>
      <w:tr w:rsidR="007F31B5">
        <w:trPr>
          <w:jc w:val="center"/>
        </w:trPr>
        <w:tc>
          <w:tcPr>
            <w:tcW w:w="0" w:type="auto"/>
            <w:vAlign w:val="center"/>
          </w:tcPr>
          <w:p w:rsidR="007F31B5" w:rsidRDefault="00F42C14">
            <w:pPr>
              <w:jc w:val="center"/>
            </w:pPr>
            <w:r>
              <w:rPr>
                <w:color w:val="000000"/>
                <w:sz w:val="24"/>
              </w:rPr>
              <w:t>6</w:t>
            </w:r>
          </w:p>
        </w:tc>
        <w:tc>
          <w:tcPr>
            <w:tcW w:w="0" w:type="auto"/>
            <w:vAlign w:val="center"/>
          </w:tcPr>
          <w:p w:rsidR="007F31B5" w:rsidRDefault="00F42C14">
            <w:pPr>
              <w:jc w:val="center"/>
            </w:pPr>
            <w:r>
              <w:rPr>
                <w:color w:val="000000"/>
                <w:sz w:val="24"/>
              </w:rPr>
              <w:t>041764008</w:t>
            </w:r>
          </w:p>
        </w:tc>
        <w:tc>
          <w:tcPr>
            <w:tcW w:w="0" w:type="auto"/>
            <w:vAlign w:val="center"/>
          </w:tcPr>
          <w:p w:rsidR="007F31B5" w:rsidRDefault="00F42C14">
            <w:pPr>
              <w:jc w:val="center"/>
            </w:pPr>
            <w:r>
              <w:rPr>
                <w:color w:val="000000"/>
                <w:sz w:val="24"/>
              </w:rPr>
              <w:t>17</w:t>
            </w:r>
            <w:r>
              <w:rPr>
                <w:color w:val="000000"/>
                <w:sz w:val="24"/>
              </w:rPr>
              <w:t>武清国资</w:t>
            </w:r>
            <w:r>
              <w:rPr>
                <w:color w:val="000000"/>
                <w:sz w:val="24"/>
              </w:rPr>
              <w:t>CP001</w:t>
            </w:r>
          </w:p>
        </w:tc>
        <w:tc>
          <w:tcPr>
            <w:tcW w:w="0" w:type="auto"/>
            <w:vAlign w:val="center"/>
          </w:tcPr>
          <w:p w:rsidR="007F31B5" w:rsidRDefault="00F42C14">
            <w:pPr>
              <w:jc w:val="right"/>
            </w:pPr>
            <w:r>
              <w:rPr>
                <w:color w:val="000000"/>
                <w:sz w:val="24"/>
              </w:rPr>
              <w:t>600,000</w:t>
            </w:r>
          </w:p>
        </w:tc>
        <w:tc>
          <w:tcPr>
            <w:tcW w:w="0" w:type="auto"/>
            <w:vAlign w:val="center"/>
          </w:tcPr>
          <w:p w:rsidR="007F31B5" w:rsidRDefault="00F42C14">
            <w:pPr>
              <w:jc w:val="right"/>
            </w:pPr>
            <w:r>
              <w:rPr>
                <w:color w:val="000000"/>
                <w:sz w:val="24"/>
              </w:rPr>
              <w:t>59,970,423.59</w:t>
            </w:r>
          </w:p>
        </w:tc>
        <w:tc>
          <w:tcPr>
            <w:tcW w:w="0" w:type="auto"/>
            <w:vAlign w:val="center"/>
          </w:tcPr>
          <w:p w:rsidR="007F31B5" w:rsidRDefault="00F42C14">
            <w:pPr>
              <w:jc w:val="right"/>
            </w:pPr>
            <w:r>
              <w:rPr>
                <w:color w:val="000000"/>
                <w:sz w:val="24"/>
              </w:rPr>
              <w:t>1.45</w:t>
            </w:r>
          </w:p>
        </w:tc>
      </w:tr>
      <w:tr w:rsidR="007F31B5">
        <w:trPr>
          <w:jc w:val="center"/>
        </w:trPr>
        <w:tc>
          <w:tcPr>
            <w:tcW w:w="0" w:type="auto"/>
            <w:vAlign w:val="center"/>
          </w:tcPr>
          <w:p w:rsidR="007F31B5" w:rsidRDefault="00F42C14">
            <w:pPr>
              <w:jc w:val="center"/>
            </w:pPr>
            <w:r>
              <w:rPr>
                <w:color w:val="000000"/>
                <w:sz w:val="24"/>
              </w:rPr>
              <w:t>7</w:t>
            </w:r>
          </w:p>
        </w:tc>
        <w:tc>
          <w:tcPr>
            <w:tcW w:w="0" w:type="auto"/>
            <w:vAlign w:val="center"/>
          </w:tcPr>
          <w:p w:rsidR="007F31B5" w:rsidRDefault="00F42C14">
            <w:pPr>
              <w:jc w:val="center"/>
            </w:pPr>
            <w:r>
              <w:rPr>
                <w:color w:val="000000"/>
                <w:sz w:val="24"/>
              </w:rPr>
              <w:t>011751030</w:t>
            </w:r>
          </w:p>
        </w:tc>
        <w:tc>
          <w:tcPr>
            <w:tcW w:w="0" w:type="auto"/>
            <w:vAlign w:val="center"/>
          </w:tcPr>
          <w:p w:rsidR="007F31B5" w:rsidRDefault="00F42C14">
            <w:pPr>
              <w:jc w:val="center"/>
            </w:pPr>
            <w:r>
              <w:rPr>
                <w:color w:val="000000"/>
                <w:sz w:val="24"/>
              </w:rPr>
              <w:t>17</w:t>
            </w:r>
            <w:r>
              <w:rPr>
                <w:color w:val="000000"/>
                <w:sz w:val="24"/>
              </w:rPr>
              <w:t>供销</w:t>
            </w:r>
            <w:r>
              <w:rPr>
                <w:color w:val="000000"/>
                <w:sz w:val="24"/>
              </w:rPr>
              <w:t>SCP001</w:t>
            </w:r>
          </w:p>
        </w:tc>
        <w:tc>
          <w:tcPr>
            <w:tcW w:w="0" w:type="auto"/>
            <w:vAlign w:val="center"/>
          </w:tcPr>
          <w:p w:rsidR="007F31B5" w:rsidRDefault="00F42C14">
            <w:pPr>
              <w:jc w:val="right"/>
            </w:pPr>
            <w:r>
              <w:rPr>
                <w:color w:val="000000"/>
                <w:sz w:val="24"/>
              </w:rPr>
              <w:t>500,000</w:t>
            </w:r>
          </w:p>
        </w:tc>
        <w:tc>
          <w:tcPr>
            <w:tcW w:w="0" w:type="auto"/>
            <w:vAlign w:val="center"/>
          </w:tcPr>
          <w:p w:rsidR="007F31B5" w:rsidRDefault="00F42C14">
            <w:pPr>
              <w:jc w:val="right"/>
            </w:pPr>
            <w:r>
              <w:rPr>
                <w:color w:val="000000"/>
                <w:sz w:val="24"/>
              </w:rPr>
              <w:t>49,986,280.37</w:t>
            </w:r>
          </w:p>
        </w:tc>
        <w:tc>
          <w:tcPr>
            <w:tcW w:w="0" w:type="auto"/>
            <w:vAlign w:val="center"/>
          </w:tcPr>
          <w:p w:rsidR="007F31B5" w:rsidRDefault="00F42C14">
            <w:pPr>
              <w:jc w:val="right"/>
            </w:pPr>
            <w:r>
              <w:rPr>
                <w:color w:val="000000"/>
                <w:sz w:val="24"/>
              </w:rPr>
              <w:t>1.21</w:t>
            </w:r>
          </w:p>
        </w:tc>
      </w:tr>
      <w:tr w:rsidR="007F31B5">
        <w:trPr>
          <w:jc w:val="center"/>
        </w:trPr>
        <w:tc>
          <w:tcPr>
            <w:tcW w:w="0" w:type="auto"/>
            <w:vAlign w:val="center"/>
          </w:tcPr>
          <w:p w:rsidR="007F31B5" w:rsidRDefault="00F42C14">
            <w:pPr>
              <w:jc w:val="center"/>
            </w:pPr>
            <w:r>
              <w:rPr>
                <w:color w:val="000000"/>
                <w:sz w:val="24"/>
              </w:rPr>
              <w:t>8</w:t>
            </w:r>
          </w:p>
        </w:tc>
        <w:tc>
          <w:tcPr>
            <w:tcW w:w="0" w:type="auto"/>
            <w:vAlign w:val="center"/>
          </w:tcPr>
          <w:p w:rsidR="007F31B5" w:rsidRDefault="00F42C14">
            <w:pPr>
              <w:jc w:val="center"/>
            </w:pPr>
            <w:r>
              <w:rPr>
                <w:color w:val="000000"/>
                <w:sz w:val="24"/>
              </w:rPr>
              <w:t>011785002</w:t>
            </w:r>
          </w:p>
        </w:tc>
        <w:tc>
          <w:tcPr>
            <w:tcW w:w="0" w:type="auto"/>
            <w:vAlign w:val="center"/>
          </w:tcPr>
          <w:p w:rsidR="007F31B5" w:rsidRDefault="00F42C14">
            <w:pPr>
              <w:jc w:val="center"/>
            </w:pPr>
            <w:r>
              <w:rPr>
                <w:color w:val="000000"/>
                <w:sz w:val="24"/>
              </w:rPr>
              <w:t>17</w:t>
            </w:r>
            <w:r>
              <w:rPr>
                <w:color w:val="000000"/>
                <w:sz w:val="24"/>
              </w:rPr>
              <w:t>皖交控</w:t>
            </w:r>
            <w:r>
              <w:rPr>
                <w:color w:val="000000"/>
                <w:sz w:val="24"/>
              </w:rPr>
              <w:t>SCP002</w:t>
            </w:r>
          </w:p>
        </w:tc>
        <w:tc>
          <w:tcPr>
            <w:tcW w:w="0" w:type="auto"/>
            <w:vAlign w:val="center"/>
          </w:tcPr>
          <w:p w:rsidR="007F31B5" w:rsidRDefault="00F42C14">
            <w:pPr>
              <w:jc w:val="right"/>
            </w:pPr>
            <w:r>
              <w:rPr>
                <w:color w:val="000000"/>
                <w:sz w:val="24"/>
              </w:rPr>
              <w:t>500,000</w:t>
            </w:r>
          </w:p>
        </w:tc>
        <w:tc>
          <w:tcPr>
            <w:tcW w:w="0" w:type="auto"/>
            <w:vAlign w:val="center"/>
          </w:tcPr>
          <w:p w:rsidR="007F31B5" w:rsidRDefault="00F42C14">
            <w:pPr>
              <w:jc w:val="right"/>
            </w:pPr>
            <w:r>
              <w:rPr>
                <w:color w:val="000000"/>
                <w:sz w:val="24"/>
              </w:rPr>
              <w:t>49,945,494.70</w:t>
            </w:r>
          </w:p>
        </w:tc>
        <w:tc>
          <w:tcPr>
            <w:tcW w:w="0" w:type="auto"/>
            <w:vAlign w:val="center"/>
          </w:tcPr>
          <w:p w:rsidR="007F31B5" w:rsidRDefault="00F42C14">
            <w:pPr>
              <w:jc w:val="right"/>
            </w:pPr>
            <w:r>
              <w:rPr>
                <w:color w:val="000000"/>
                <w:sz w:val="24"/>
              </w:rPr>
              <w:t>1.21</w:t>
            </w:r>
          </w:p>
        </w:tc>
      </w:tr>
      <w:tr w:rsidR="007F31B5">
        <w:trPr>
          <w:jc w:val="center"/>
        </w:trPr>
        <w:tc>
          <w:tcPr>
            <w:tcW w:w="0" w:type="auto"/>
            <w:vAlign w:val="center"/>
          </w:tcPr>
          <w:p w:rsidR="007F31B5" w:rsidRDefault="00F42C14">
            <w:pPr>
              <w:jc w:val="center"/>
            </w:pPr>
            <w:r>
              <w:rPr>
                <w:color w:val="000000"/>
                <w:sz w:val="24"/>
              </w:rPr>
              <w:t>9</w:t>
            </w:r>
          </w:p>
        </w:tc>
        <w:tc>
          <w:tcPr>
            <w:tcW w:w="0" w:type="auto"/>
            <w:vAlign w:val="center"/>
          </w:tcPr>
          <w:p w:rsidR="007F31B5" w:rsidRDefault="00F42C14">
            <w:pPr>
              <w:jc w:val="center"/>
            </w:pPr>
            <w:r>
              <w:rPr>
                <w:color w:val="000000"/>
                <w:sz w:val="24"/>
              </w:rPr>
              <w:t>011758030</w:t>
            </w:r>
          </w:p>
        </w:tc>
        <w:tc>
          <w:tcPr>
            <w:tcW w:w="0" w:type="auto"/>
            <w:vAlign w:val="center"/>
          </w:tcPr>
          <w:p w:rsidR="007F31B5" w:rsidRDefault="00F42C14">
            <w:pPr>
              <w:jc w:val="center"/>
            </w:pPr>
            <w:r>
              <w:rPr>
                <w:color w:val="000000"/>
                <w:sz w:val="24"/>
              </w:rPr>
              <w:t>17</w:t>
            </w:r>
            <w:r>
              <w:rPr>
                <w:color w:val="000000"/>
                <w:sz w:val="24"/>
              </w:rPr>
              <w:t>津渤海</w:t>
            </w:r>
            <w:r>
              <w:rPr>
                <w:color w:val="000000"/>
                <w:sz w:val="24"/>
              </w:rPr>
              <w:t>SCP002</w:t>
            </w:r>
          </w:p>
        </w:tc>
        <w:tc>
          <w:tcPr>
            <w:tcW w:w="0" w:type="auto"/>
            <w:vAlign w:val="center"/>
          </w:tcPr>
          <w:p w:rsidR="007F31B5" w:rsidRDefault="00F42C14">
            <w:pPr>
              <w:jc w:val="right"/>
            </w:pPr>
            <w:r>
              <w:rPr>
                <w:color w:val="000000"/>
                <w:sz w:val="24"/>
              </w:rPr>
              <w:t>500,000</w:t>
            </w:r>
          </w:p>
        </w:tc>
        <w:tc>
          <w:tcPr>
            <w:tcW w:w="0" w:type="auto"/>
            <w:vAlign w:val="center"/>
          </w:tcPr>
          <w:p w:rsidR="007F31B5" w:rsidRDefault="00F42C14">
            <w:pPr>
              <w:jc w:val="right"/>
            </w:pPr>
            <w:r>
              <w:rPr>
                <w:color w:val="000000"/>
                <w:sz w:val="24"/>
              </w:rPr>
              <w:t>49,934,852.13</w:t>
            </w:r>
          </w:p>
        </w:tc>
        <w:tc>
          <w:tcPr>
            <w:tcW w:w="0" w:type="auto"/>
            <w:vAlign w:val="center"/>
          </w:tcPr>
          <w:p w:rsidR="007F31B5" w:rsidRDefault="00F42C14">
            <w:pPr>
              <w:jc w:val="right"/>
            </w:pPr>
            <w:r>
              <w:rPr>
                <w:color w:val="000000"/>
                <w:sz w:val="24"/>
              </w:rPr>
              <w:t>1.21</w:t>
            </w:r>
          </w:p>
        </w:tc>
      </w:tr>
      <w:tr w:rsidR="007F31B5">
        <w:trPr>
          <w:jc w:val="center"/>
        </w:trPr>
        <w:tc>
          <w:tcPr>
            <w:tcW w:w="0" w:type="auto"/>
            <w:vAlign w:val="center"/>
          </w:tcPr>
          <w:p w:rsidR="007F31B5" w:rsidRDefault="00F42C14">
            <w:pPr>
              <w:jc w:val="center"/>
            </w:pPr>
            <w:r>
              <w:rPr>
                <w:color w:val="000000"/>
                <w:sz w:val="24"/>
              </w:rPr>
              <w:t>10</w:t>
            </w:r>
          </w:p>
        </w:tc>
        <w:tc>
          <w:tcPr>
            <w:tcW w:w="0" w:type="auto"/>
            <w:vAlign w:val="center"/>
          </w:tcPr>
          <w:p w:rsidR="007F31B5" w:rsidRDefault="00F42C14">
            <w:pPr>
              <w:jc w:val="center"/>
            </w:pPr>
            <w:r>
              <w:rPr>
                <w:color w:val="000000"/>
                <w:sz w:val="24"/>
              </w:rPr>
              <w:t>179924</w:t>
            </w:r>
          </w:p>
        </w:tc>
        <w:tc>
          <w:tcPr>
            <w:tcW w:w="0" w:type="auto"/>
            <w:vAlign w:val="center"/>
          </w:tcPr>
          <w:p w:rsidR="007F31B5" w:rsidRDefault="00F42C14">
            <w:pPr>
              <w:jc w:val="center"/>
            </w:pPr>
            <w:r>
              <w:rPr>
                <w:color w:val="000000"/>
                <w:sz w:val="24"/>
              </w:rPr>
              <w:t>17</w:t>
            </w:r>
            <w:r>
              <w:rPr>
                <w:color w:val="000000"/>
                <w:sz w:val="24"/>
              </w:rPr>
              <w:t>贴现国债</w:t>
            </w:r>
            <w:r>
              <w:rPr>
                <w:color w:val="000000"/>
                <w:sz w:val="24"/>
              </w:rPr>
              <w:t>24</w:t>
            </w:r>
          </w:p>
        </w:tc>
        <w:tc>
          <w:tcPr>
            <w:tcW w:w="0" w:type="auto"/>
            <w:vAlign w:val="center"/>
          </w:tcPr>
          <w:p w:rsidR="007F31B5" w:rsidRDefault="00F42C14">
            <w:pPr>
              <w:jc w:val="right"/>
            </w:pPr>
            <w:r>
              <w:rPr>
                <w:color w:val="000000"/>
                <w:sz w:val="24"/>
              </w:rPr>
              <w:t>500,000</w:t>
            </w:r>
          </w:p>
        </w:tc>
        <w:tc>
          <w:tcPr>
            <w:tcW w:w="0" w:type="auto"/>
            <w:vAlign w:val="center"/>
          </w:tcPr>
          <w:p w:rsidR="007F31B5" w:rsidRDefault="00F42C14">
            <w:pPr>
              <w:jc w:val="right"/>
            </w:pPr>
            <w:r>
              <w:rPr>
                <w:color w:val="000000"/>
                <w:sz w:val="24"/>
              </w:rPr>
              <w:t>49,774,669.95</w:t>
            </w:r>
          </w:p>
        </w:tc>
        <w:tc>
          <w:tcPr>
            <w:tcW w:w="0" w:type="auto"/>
            <w:vAlign w:val="center"/>
          </w:tcPr>
          <w:p w:rsidR="007F31B5" w:rsidRDefault="00F42C14">
            <w:pPr>
              <w:jc w:val="right"/>
            </w:pPr>
            <w:r>
              <w:rPr>
                <w:color w:val="000000"/>
                <w:sz w:val="24"/>
              </w:rPr>
              <w:t>1.21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51FCB">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51FCB">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51FCB">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0.0073%</w:t>
            </w:r>
          </w:p>
        </w:tc>
      </w:tr>
      <w:tr w:rsidR="00A009F0" w:rsidRPr="00A009F0" w:rsidTr="00C51FCB">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A009F0" w:rsidRPr="000E4C40" w:rsidRDefault="00A009F0" w:rsidP="00A009F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rsidR="00A009F0" w:rsidRPr="00A009F0" w:rsidRDefault="00A009F0" w:rsidP="00A009F0">
            <w:pPr>
              <w:spacing w:before="29" w:line="288" w:lineRule="auto"/>
              <w:jc w:val="right"/>
              <w:rPr>
                <w:sz w:val="24"/>
              </w:rPr>
            </w:pPr>
            <w:r w:rsidRPr="00A009F0">
              <w:rPr>
                <w:color w:val="000000"/>
                <w:sz w:val="24"/>
              </w:rPr>
              <w:t>-0.0898%</w:t>
            </w:r>
          </w:p>
        </w:tc>
      </w:tr>
      <w:tr w:rsidR="00A009F0" w:rsidRPr="00A009F0" w:rsidTr="00C51FCB">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A009F0" w:rsidRPr="000E4C40" w:rsidRDefault="00A009F0" w:rsidP="00A009F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rsidR="00A009F0" w:rsidRPr="00A009F0" w:rsidRDefault="00A009F0" w:rsidP="00A009F0">
            <w:pPr>
              <w:spacing w:before="29" w:line="288" w:lineRule="auto"/>
              <w:jc w:val="right"/>
              <w:rPr>
                <w:sz w:val="24"/>
              </w:rPr>
            </w:pPr>
            <w:r w:rsidRPr="00A009F0">
              <w:rPr>
                <w:color w:val="000000"/>
                <w:sz w:val="24"/>
              </w:rPr>
              <w:t>0.0511%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09"/>
        <w:gridCol w:w="1485"/>
        <w:gridCol w:w="1430"/>
        <w:gridCol w:w="1477"/>
        <w:gridCol w:w="1596"/>
        <w:gridCol w:w="147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F31B5">
        <w:trPr>
          <w:jc w:val="center"/>
        </w:trPr>
        <w:tc>
          <w:tcPr>
            <w:tcW w:w="0" w:type="auto"/>
            <w:vAlign w:val="center"/>
          </w:tcPr>
          <w:p w:rsidR="007F31B5" w:rsidRDefault="00F42C14">
            <w:pPr>
              <w:jc w:val="center"/>
            </w:pPr>
            <w:r>
              <w:rPr>
                <w:color w:val="000000"/>
                <w:sz w:val="24"/>
              </w:rPr>
              <w:t>1</w:t>
            </w:r>
          </w:p>
        </w:tc>
        <w:tc>
          <w:tcPr>
            <w:tcW w:w="0" w:type="auto"/>
            <w:vAlign w:val="center"/>
          </w:tcPr>
          <w:p w:rsidR="007F31B5" w:rsidRDefault="00F42C14">
            <w:pPr>
              <w:jc w:val="center"/>
            </w:pPr>
            <w:r>
              <w:rPr>
                <w:color w:val="000000"/>
                <w:sz w:val="24"/>
              </w:rPr>
              <w:t>1789045</w:t>
            </w:r>
          </w:p>
        </w:tc>
        <w:tc>
          <w:tcPr>
            <w:tcW w:w="0" w:type="auto"/>
            <w:vAlign w:val="center"/>
          </w:tcPr>
          <w:p w:rsidR="007F31B5" w:rsidRDefault="00F42C14" w:rsidP="005F606B">
            <w:pPr>
              <w:jc w:val="center"/>
            </w:pPr>
            <w:r>
              <w:rPr>
                <w:color w:val="000000"/>
                <w:sz w:val="24"/>
              </w:rPr>
              <w:t>17</w:t>
            </w:r>
            <w:r>
              <w:rPr>
                <w:color w:val="000000"/>
                <w:sz w:val="24"/>
              </w:rPr>
              <w:t>上和</w:t>
            </w:r>
            <w:r>
              <w:rPr>
                <w:color w:val="000000"/>
                <w:sz w:val="24"/>
              </w:rPr>
              <w:t>1A1</w:t>
            </w:r>
          </w:p>
        </w:tc>
        <w:tc>
          <w:tcPr>
            <w:tcW w:w="0" w:type="auto"/>
            <w:vAlign w:val="center"/>
          </w:tcPr>
          <w:p w:rsidR="007F31B5" w:rsidRDefault="00F42C14">
            <w:pPr>
              <w:jc w:val="right"/>
            </w:pPr>
            <w:r>
              <w:rPr>
                <w:color w:val="000000"/>
                <w:sz w:val="24"/>
              </w:rPr>
              <w:t>500,000</w:t>
            </w:r>
          </w:p>
        </w:tc>
        <w:tc>
          <w:tcPr>
            <w:tcW w:w="0" w:type="auto"/>
            <w:vAlign w:val="center"/>
          </w:tcPr>
          <w:p w:rsidR="007F31B5" w:rsidRDefault="00F42C14">
            <w:pPr>
              <w:jc w:val="right"/>
            </w:pPr>
            <w:r>
              <w:rPr>
                <w:color w:val="000000"/>
                <w:sz w:val="24"/>
              </w:rPr>
              <w:t>30,210,000.00</w:t>
            </w:r>
          </w:p>
        </w:tc>
        <w:tc>
          <w:tcPr>
            <w:tcW w:w="0" w:type="auto"/>
            <w:vAlign w:val="center"/>
          </w:tcPr>
          <w:p w:rsidR="007F31B5" w:rsidRDefault="00F42C14">
            <w:pPr>
              <w:jc w:val="right"/>
            </w:pPr>
            <w:r>
              <w:rPr>
                <w:color w:val="000000"/>
                <w:sz w:val="24"/>
              </w:rPr>
              <w:t>0.73</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lastRenderedPageBreak/>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3,944.60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11,571,191.20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53,503,696.16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150.00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65,078,981.96</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EA0F0C">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504,573,199.08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4,244,378,092.48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1,645,774,633.31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5,237,278,119.97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1,652,093,492.04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5,854,495,341.08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498,254,340.35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3,627,160,871.37</w:t>
            </w:r>
          </w:p>
        </w:tc>
      </w:tr>
    </w:tbl>
    <w:p w:rsidR="007F31B5" w:rsidRDefault="00F42C1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7F31B5" w:rsidRDefault="00F42C14">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、如果本报告期间发生转换出、份额级别调整业务，则总赎回份额中包含该业务。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EA0F0C">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7F31B5">
        <w:trPr>
          <w:jc w:val="center"/>
        </w:trPr>
        <w:tc>
          <w:tcPr>
            <w:tcW w:w="1454" w:type="dxa"/>
            <w:vAlign w:val="center"/>
          </w:tcPr>
          <w:p w:rsidR="007F31B5" w:rsidRDefault="00F42C14">
            <w:pPr>
              <w:jc w:val="center"/>
            </w:pPr>
            <w:r>
              <w:rPr>
                <w:color w:val="000000"/>
                <w:sz w:val="24"/>
              </w:rPr>
              <w:t>1</w:t>
            </w:r>
          </w:p>
        </w:tc>
        <w:tc>
          <w:tcPr>
            <w:tcW w:w="1678" w:type="dxa"/>
            <w:vAlign w:val="center"/>
          </w:tcPr>
          <w:p w:rsidR="007F31B5" w:rsidRDefault="00F42C14">
            <w:pPr>
              <w:jc w:val="center"/>
            </w:pPr>
            <w:r>
              <w:rPr>
                <w:color w:val="000000"/>
                <w:sz w:val="24"/>
              </w:rPr>
              <w:t>B</w:t>
            </w:r>
            <w:r>
              <w:rPr>
                <w:color w:val="000000"/>
                <w:sz w:val="24"/>
              </w:rPr>
              <w:t>类份额红利再投</w:t>
            </w:r>
          </w:p>
        </w:tc>
        <w:tc>
          <w:tcPr>
            <w:tcW w:w="1249" w:type="dxa"/>
            <w:vAlign w:val="center"/>
          </w:tcPr>
          <w:p w:rsidR="007F31B5" w:rsidRDefault="00F42C14">
            <w:pPr>
              <w:jc w:val="center"/>
            </w:pPr>
            <w:r>
              <w:rPr>
                <w:color w:val="000000"/>
                <w:sz w:val="24"/>
              </w:rPr>
              <w:t>2017-04-06</w:t>
            </w:r>
          </w:p>
        </w:tc>
        <w:tc>
          <w:tcPr>
            <w:tcW w:w="1544" w:type="dxa"/>
            <w:vAlign w:val="center"/>
          </w:tcPr>
          <w:p w:rsidR="007F31B5" w:rsidRDefault="00F42C14">
            <w:pPr>
              <w:jc w:val="right"/>
            </w:pPr>
            <w:r>
              <w:rPr>
                <w:color w:val="000000"/>
                <w:sz w:val="24"/>
              </w:rPr>
              <w:t>161,513.47</w:t>
            </w:r>
          </w:p>
        </w:tc>
        <w:tc>
          <w:tcPr>
            <w:tcW w:w="1670" w:type="dxa"/>
            <w:vAlign w:val="center"/>
          </w:tcPr>
          <w:p w:rsidR="007F31B5" w:rsidRDefault="00F42C14">
            <w:pPr>
              <w:jc w:val="right"/>
            </w:pPr>
            <w:r>
              <w:rPr>
                <w:color w:val="000000"/>
                <w:sz w:val="24"/>
              </w:rPr>
              <w:t>161,513.47</w:t>
            </w:r>
          </w:p>
        </w:tc>
        <w:tc>
          <w:tcPr>
            <w:tcW w:w="1273" w:type="dxa"/>
            <w:vAlign w:val="center"/>
          </w:tcPr>
          <w:p w:rsidR="007F31B5" w:rsidRDefault="00F42C14">
            <w:pPr>
              <w:jc w:val="center"/>
            </w:pPr>
            <w:r>
              <w:rPr>
                <w:color w:val="000000"/>
                <w:sz w:val="24"/>
              </w:rPr>
              <w:t>-</w:t>
            </w:r>
          </w:p>
        </w:tc>
      </w:tr>
      <w:tr w:rsidR="007F31B5">
        <w:trPr>
          <w:jc w:val="center"/>
        </w:trPr>
        <w:tc>
          <w:tcPr>
            <w:tcW w:w="1454" w:type="dxa"/>
            <w:vAlign w:val="center"/>
          </w:tcPr>
          <w:p w:rsidR="007F31B5" w:rsidRDefault="00F42C14">
            <w:pPr>
              <w:jc w:val="center"/>
            </w:pPr>
            <w:r>
              <w:rPr>
                <w:color w:val="000000"/>
                <w:sz w:val="24"/>
              </w:rPr>
              <w:t>2</w:t>
            </w:r>
          </w:p>
        </w:tc>
        <w:tc>
          <w:tcPr>
            <w:tcW w:w="1678" w:type="dxa"/>
            <w:vAlign w:val="center"/>
          </w:tcPr>
          <w:p w:rsidR="007F31B5" w:rsidRDefault="00F42C14">
            <w:pPr>
              <w:jc w:val="center"/>
            </w:pPr>
            <w:r>
              <w:rPr>
                <w:color w:val="000000"/>
                <w:sz w:val="24"/>
              </w:rPr>
              <w:t>B</w:t>
            </w:r>
            <w:r>
              <w:rPr>
                <w:color w:val="000000"/>
                <w:sz w:val="24"/>
              </w:rPr>
              <w:t>类份额红利再投</w:t>
            </w:r>
          </w:p>
        </w:tc>
        <w:tc>
          <w:tcPr>
            <w:tcW w:w="1249" w:type="dxa"/>
            <w:vAlign w:val="center"/>
          </w:tcPr>
          <w:p w:rsidR="007F31B5" w:rsidRDefault="00F42C14">
            <w:pPr>
              <w:jc w:val="center"/>
            </w:pPr>
            <w:r>
              <w:rPr>
                <w:color w:val="000000"/>
                <w:sz w:val="24"/>
              </w:rPr>
              <w:t>2017-05-03</w:t>
            </w:r>
          </w:p>
        </w:tc>
        <w:tc>
          <w:tcPr>
            <w:tcW w:w="1544" w:type="dxa"/>
            <w:vAlign w:val="center"/>
          </w:tcPr>
          <w:p w:rsidR="007F31B5" w:rsidRDefault="00F42C14">
            <w:pPr>
              <w:jc w:val="right"/>
            </w:pPr>
            <w:r>
              <w:rPr>
                <w:color w:val="000000"/>
                <w:sz w:val="24"/>
              </w:rPr>
              <w:t>151,499.37</w:t>
            </w:r>
          </w:p>
        </w:tc>
        <w:tc>
          <w:tcPr>
            <w:tcW w:w="1670" w:type="dxa"/>
            <w:vAlign w:val="center"/>
          </w:tcPr>
          <w:p w:rsidR="007F31B5" w:rsidRDefault="00F42C14">
            <w:pPr>
              <w:jc w:val="right"/>
            </w:pPr>
            <w:r>
              <w:rPr>
                <w:color w:val="000000"/>
                <w:sz w:val="24"/>
              </w:rPr>
              <w:t>151,499.37</w:t>
            </w:r>
          </w:p>
        </w:tc>
        <w:tc>
          <w:tcPr>
            <w:tcW w:w="1273" w:type="dxa"/>
            <w:vAlign w:val="center"/>
          </w:tcPr>
          <w:p w:rsidR="007F31B5" w:rsidRDefault="00F42C14">
            <w:pPr>
              <w:jc w:val="center"/>
            </w:pPr>
            <w:r>
              <w:rPr>
                <w:color w:val="000000"/>
                <w:sz w:val="24"/>
              </w:rPr>
              <w:t>-</w:t>
            </w:r>
          </w:p>
        </w:tc>
      </w:tr>
      <w:tr w:rsidR="007F31B5">
        <w:trPr>
          <w:jc w:val="center"/>
        </w:trPr>
        <w:tc>
          <w:tcPr>
            <w:tcW w:w="1454" w:type="dxa"/>
            <w:vAlign w:val="center"/>
          </w:tcPr>
          <w:p w:rsidR="007F31B5" w:rsidRDefault="00F42C14">
            <w:pPr>
              <w:jc w:val="center"/>
            </w:pPr>
            <w:r>
              <w:rPr>
                <w:color w:val="000000"/>
                <w:sz w:val="24"/>
              </w:rPr>
              <w:t>3</w:t>
            </w:r>
          </w:p>
        </w:tc>
        <w:tc>
          <w:tcPr>
            <w:tcW w:w="1678" w:type="dxa"/>
            <w:vAlign w:val="center"/>
          </w:tcPr>
          <w:p w:rsidR="007F31B5" w:rsidRDefault="00F42C14">
            <w:pPr>
              <w:jc w:val="center"/>
            </w:pPr>
            <w:r>
              <w:rPr>
                <w:color w:val="000000"/>
                <w:sz w:val="24"/>
              </w:rPr>
              <w:t>B</w:t>
            </w:r>
            <w:r>
              <w:rPr>
                <w:color w:val="000000"/>
                <w:sz w:val="24"/>
              </w:rPr>
              <w:t>类份额红利再投</w:t>
            </w:r>
          </w:p>
        </w:tc>
        <w:tc>
          <w:tcPr>
            <w:tcW w:w="1249" w:type="dxa"/>
            <w:vAlign w:val="center"/>
          </w:tcPr>
          <w:p w:rsidR="007F31B5" w:rsidRDefault="00F42C14">
            <w:pPr>
              <w:jc w:val="center"/>
            </w:pPr>
            <w:r>
              <w:rPr>
                <w:color w:val="000000"/>
                <w:sz w:val="24"/>
              </w:rPr>
              <w:t>2017-06-02</w:t>
            </w:r>
          </w:p>
        </w:tc>
        <w:tc>
          <w:tcPr>
            <w:tcW w:w="1544" w:type="dxa"/>
            <w:vAlign w:val="center"/>
          </w:tcPr>
          <w:p w:rsidR="007F31B5" w:rsidRDefault="00F42C14">
            <w:pPr>
              <w:jc w:val="right"/>
            </w:pPr>
            <w:r>
              <w:rPr>
                <w:color w:val="000000"/>
                <w:sz w:val="24"/>
              </w:rPr>
              <w:t>176,449.48</w:t>
            </w:r>
          </w:p>
        </w:tc>
        <w:tc>
          <w:tcPr>
            <w:tcW w:w="1670" w:type="dxa"/>
            <w:vAlign w:val="center"/>
          </w:tcPr>
          <w:p w:rsidR="007F31B5" w:rsidRDefault="00F42C14">
            <w:pPr>
              <w:jc w:val="right"/>
            </w:pPr>
            <w:r>
              <w:rPr>
                <w:color w:val="000000"/>
                <w:sz w:val="24"/>
              </w:rPr>
              <w:t>176,449.48</w:t>
            </w:r>
          </w:p>
        </w:tc>
        <w:tc>
          <w:tcPr>
            <w:tcW w:w="1273" w:type="dxa"/>
            <w:vAlign w:val="center"/>
          </w:tcPr>
          <w:p w:rsidR="007F31B5" w:rsidRDefault="00F42C14">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489,462.32</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489,462.32</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注：本基金管理人本报告期末持有本基金份额</w:t>
      </w:r>
      <w:r w:rsidRPr="000E4C40">
        <w:rPr>
          <w:color w:val="000000"/>
          <w:sz w:val="24"/>
        </w:rPr>
        <w:t>60,879,124.81</w:t>
      </w:r>
      <w:r w:rsidRPr="000E4C40">
        <w:rPr>
          <w:color w:val="000000"/>
          <w:sz w:val="24"/>
        </w:rPr>
        <w:t>份，占本基金期末总份额的</w:t>
      </w:r>
      <w:r w:rsidRPr="000E4C40">
        <w:rPr>
          <w:color w:val="000000"/>
          <w:sz w:val="24"/>
        </w:rPr>
        <w:t>1.48%</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Pr="003A7B72" w:rsidRDefault="003D1E1A" w:rsidP="00EA0F0C">
      <w:pPr>
        <w:pStyle w:val="1"/>
        <w:spacing w:beforeLines="100" w:before="312" w:afterLines="100" w:after="312" w:line="360" w:lineRule="auto"/>
        <w:jc w:val="center"/>
        <w:rPr>
          <w:rFonts w:eastAsiaTheme="minorEastAsia"/>
          <w:color w:val="000000" w:themeColor="text1"/>
          <w:kern w:val="0"/>
          <w:sz w:val="24"/>
          <w:szCs w:val="24"/>
        </w:rPr>
      </w:pPr>
      <w:r w:rsidRPr="003A7B72">
        <w:rPr>
          <w:rFonts w:eastAsiaTheme="minorEastAsia" w:hint="eastAsia"/>
          <w:color w:val="000000" w:themeColor="text1"/>
          <w:kern w:val="0"/>
          <w:sz w:val="24"/>
          <w:szCs w:val="24"/>
        </w:rPr>
        <w:t>§</w:t>
      </w:r>
      <w:r w:rsidRPr="003A7B72">
        <w:rPr>
          <w:rFonts w:eastAsiaTheme="minorEastAsia"/>
          <w:color w:val="000000" w:themeColor="text1"/>
          <w:kern w:val="0"/>
          <w:sz w:val="24"/>
          <w:szCs w:val="24"/>
        </w:rPr>
        <w:t>8</w:t>
      </w:r>
      <w:r w:rsidRPr="003A7B72">
        <w:rPr>
          <w:rFonts w:eastAsiaTheme="minorEastAsia" w:hint="eastAsia"/>
          <w:color w:val="000000" w:themeColor="text1"/>
          <w:kern w:val="0"/>
          <w:sz w:val="24"/>
          <w:szCs w:val="24"/>
        </w:rPr>
        <w:t>影响投资者决策的其他重要信息</w:t>
      </w:r>
    </w:p>
    <w:p w:rsidR="003D1E1A" w:rsidRPr="003A7B72" w:rsidRDefault="003D1E1A" w:rsidP="003D1E1A">
      <w:pPr>
        <w:autoSpaceDE w:val="0"/>
        <w:autoSpaceDN w:val="0"/>
        <w:adjustRightInd w:val="0"/>
        <w:spacing w:line="360" w:lineRule="auto"/>
        <w:jc w:val="left"/>
        <w:rPr>
          <w:b/>
          <w:bCs/>
          <w:color w:val="000000"/>
          <w:kern w:val="0"/>
          <w:sz w:val="24"/>
        </w:rPr>
      </w:pPr>
      <w:r w:rsidRPr="003A7B72">
        <w:rPr>
          <w:b/>
          <w:bCs/>
          <w:color w:val="000000"/>
          <w:kern w:val="0"/>
          <w:sz w:val="24"/>
        </w:rPr>
        <w:t xml:space="preserve">8.1 </w:t>
      </w:r>
      <w:r w:rsidRPr="003A7B72">
        <w:rPr>
          <w:rFonts w:hint="eastAsia"/>
          <w:b/>
          <w:bCs/>
          <w:color w:val="000000"/>
          <w:kern w:val="0"/>
          <w:sz w:val="24"/>
        </w:rPr>
        <w:t>报告期内单一投资者持有基金份额比例达到或超过</w:t>
      </w:r>
      <w:r w:rsidRPr="003A7B72">
        <w:rPr>
          <w:b/>
          <w:bCs/>
          <w:color w:val="000000"/>
          <w:kern w:val="0"/>
          <w:sz w:val="24"/>
        </w:rPr>
        <w:t>20%</w:t>
      </w:r>
      <w:r w:rsidRPr="003A7B72">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00743E"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3A7B72" w:rsidRDefault="003D1E1A">
            <w:pPr>
              <w:autoSpaceDE w:val="0"/>
              <w:autoSpaceDN w:val="0"/>
              <w:adjustRightInd w:val="0"/>
              <w:jc w:val="center"/>
              <w:rPr>
                <w:b/>
                <w:bCs/>
                <w:color w:val="000000"/>
                <w:kern w:val="0"/>
                <w:sz w:val="24"/>
              </w:rPr>
            </w:pPr>
            <w:r w:rsidRPr="003A7B72">
              <w:rPr>
                <w:rFonts w:hint="eastAsia"/>
                <w:color w:val="000000"/>
                <w:kern w:val="0"/>
                <w:sz w:val="24"/>
              </w:rPr>
              <w:t>投资者类别</w:t>
            </w:r>
            <w:r w:rsidRPr="003A7B72">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3A7B72" w:rsidRDefault="003D1E1A">
            <w:pPr>
              <w:autoSpaceDE w:val="0"/>
              <w:autoSpaceDN w:val="0"/>
              <w:adjustRightInd w:val="0"/>
              <w:jc w:val="center"/>
              <w:rPr>
                <w:b/>
                <w:bCs/>
                <w:color w:val="000000"/>
                <w:kern w:val="0"/>
                <w:sz w:val="24"/>
              </w:rPr>
            </w:pPr>
            <w:r w:rsidRPr="003A7B72">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3A7B72" w:rsidRDefault="003D1E1A">
            <w:pPr>
              <w:autoSpaceDE w:val="0"/>
              <w:autoSpaceDN w:val="0"/>
              <w:adjustRightInd w:val="0"/>
              <w:jc w:val="center"/>
              <w:rPr>
                <w:b/>
                <w:bCs/>
                <w:color w:val="000000"/>
                <w:kern w:val="0"/>
                <w:sz w:val="24"/>
              </w:rPr>
            </w:pPr>
            <w:r w:rsidRPr="003A7B72">
              <w:rPr>
                <w:rFonts w:hint="eastAsia"/>
                <w:color w:val="000000"/>
                <w:kern w:val="0"/>
                <w:sz w:val="24"/>
              </w:rPr>
              <w:t>报告期末持有基金情况</w:t>
            </w:r>
          </w:p>
        </w:tc>
      </w:tr>
      <w:tr w:rsidR="003D1E1A" w:rsidRPr="0000743E"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3A7B72" w:rsidRDefault="003D1E1A">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3A7B72" w:rsidRDefault="003D1E1A">
            <w:pPr>
              <w:autoSpaceDE w:val="0"/>
              <w:autoSpaceDN w:val="0"/>
              <w:adjustRightInd w:val="0"/>
              <w:jc w:val="center"/>
              <w:rPr>
                <w:b/>
                <w:bCs/>
                <w:color w:val="000000"/>
                <w:kern w:val="0"/>
                <w:sz w:val="24"/>
              </w:rPr>
            </w:pPr>
            <w:r w:rsidRPr="003A7B72">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3A7B72" w:rsidRDefault="003D1E1A">
            <w:pPr>
              <w:autoSpaceDE w:val="0"/>
              <w:autoSpaceDN w:val="0"/>
              <w:adjustRightInd w:val="0"/>
              <w:jc w:val="center"/>
              <w:rPr>
                <w:b/>
                <w:bCs/>
                <w:color w:val="000000"/>
                <w:kern w:val="0"/>
                <w:sz w:val="24"/>
              </w:rPr>
            </w:pPr>
            <w:r w:rsidRPr="003A7B72">
              <w:rPr>
                <w:rFonts w:hint="eastAsia"/>
                <w:color w:val="000000"/>
                <w:kern w:val="0"/>
                <w:sz w:val="24"/>
              </w:rPr>
              <w:t>持有基金份额比例达到或者超过</w:t>
            </w:r>
            <w:r w:rsidRPr="003A7B72">
              <w:rPr>
                <w:color w:val="000000"/>
                <w:kern w:val="0"/>
                <w:sz w:val="24"/>
              </w:rPr>
              <w:t>20%</w:t>
            </w:r>
            <w:r w:rsidRPr="003A7B72">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3A7B72" w:rsidRDefault="003D1E1A">
            <w:pPr>
              <w:widowControl/>
              <w:jc w:val="center"/>
              <w:rPr>
                <w:b/>
                <w:bCs/>
                <w:color w:val="000000"/>
                <w:kern w:val="0"/>
                <w:sz w:val="24"/>
              </w:rPr>
            </w:pPr>
            <w:r w:rsidRPr="003A7B72">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3A7B72" w:rsidRDefault="003D1E1A">
            <w:pPr>
              <w:widowControl/>
              <w:jc w:val="center"/>
              <w:rPr>
                <w:b/>
                <w:bCs/>
                <w:color w:val="000000"/>
                <w:kern w:val="0"/>
                <w:sz w:val="24"/>
              </w:rPr>
            </w:pPr>
            <w:r w:rsidRPr="003A7B72">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3A7B72" w:rsidRDefault="003D1E1A">
            <w:pPr>
              <w:widowControl/>
              <w:jc w:val="center"/>
              <w:rPr>
                <w:b/>
                <w:bCs/>
                <w:color w:val="000000"/>
                <w:kern w:val="0"/>
                <w:sz w:val="24"/>
              </w:rPr>
            </w:pPr>
            <w:r w:rsidRPr="003A7B72">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3A7B72" w:rsidRDefault="003D1E1A">
            <w:pPr>
              <w:autoSpaceDE w:val="0"/>
              <w:autoSpaceDN w:val="0"/>
              <w:adjustRightInd w:val="0"/>
              <w:jc w:val="center"/>
              <w:rPr>
                <w:b/>
                <w:bCs/>
                <w:color w:val="000000"/>
                <w:kern w:val="0"/>
                <w:sz w:val="24"/>
              </w:rPr>
            </w:pPr>
            <w:r w:rsidRPr="003A7B72">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3A7B72" w:rsidRDefault="003D1E1A">
            <w:pPr>
              <w:autoSpaceDE w:val="0"/>
              <w:autoSpaceDN w:val="0"/>
              <w:adjustRightInd w:val="0"/>
              <w:jc w:val="center"/>
              <w:rPr>
                <w:b/>
                <w:bCs/>
                <w:color w:val="000000"/>
                <w:kern w:val="0"/>
                <w:sz w:val="24"/>
              </w:rPr>
            </w:pPr>
            <w:r w:rsidRPr="003A7B72">
              <w:rPr>
                <w:rFonts w:hint="eastAsia"/>
                <w:color w:val="000000"/>
                <w:kern w:val="0"/>
                <w:sz w:val="24"/>
              </w:rPr>
              <w:t>份额占比</w:t>
            </w:r>
          </w:p>
        </w:tc>
      </w:tr>
      <w:tr w:rsidR="007F31B5" w:rsidRPr="0000743E">
        <w:tc>
          <w:tcPr>
            <w:tcW w:w="992" w:type="dxa"/>
            <w:vMerge w:val="restart"/>
          </w:tcPr>
          <w:p w:rsidR="007F31B5" w:rsidRPr="003A7B72" w:rsidRDefault="007F31B5">
            <w:pPr>
              <w:rPr>
                <w:sz w:val="24"/>
              </w:rPr>
            </w:pPr>
          </w:p>
          <w:p w:rsidR="007F31B5" w:rsidRPr="003A7B72" w:rsidRDefault="00F42C14">
            <w:pPr>
              <w:rPr>
                <w:sz w:val="24"/>
              </w:rPr>
            </w:pPr>
            <w:r w:rsidRPr="003A7B72">
              <w:rPr>
                <w:rFonts w:hint="eastAsia"/>
                <w:bCs/>
                <w:color w:val="000000"/>
                <w:kern w:val="0"/>
                <w:sz w:val="24"/>
              </w:rPr>
              <w:t>机构</w:t>
            </w:r>
          </w:p>
        </w:tc>
        <w:tc>
          <w:tcPr>
            <w:tcW w:w="991" w:type="dxa"/>
            <w:vAlign w:val="center"/>
          </w:tcPr>
          <w:p w:rsidR="007F31B5" w:rsidRPr="003A7B72" w:rsidRDefault="00F42C14">
            <w:pPr>
              <w:jc w:val="center"/>
              <w:rPr>
                <w:sz w:val="24"/>
              </w:rPr>
            </w:pPr>
            <w:r w:rsidRPr="003A7B72">
              <w:rPr>
                <w:color w:val="000000"/>
                <w:kern w:val="0"/>
                <w:sz w:val="24"/>
              </w:rPr>
              <w:t>1</w:t>
            </w:r>
          </w:p>
        </w:tc>
        <w:tc>
          <w:tcPr>
            <w:tcW w:w="1843" w:type="dxa"/>
            <w:vAlign w:val="center"/>
          </w:tcPr>
          <w:p w:rsidR="007F31B5" w:rsidRPr="003A7B72" w:rsidRDefault="00F42C14">
            <w:pPr>
              <w:jc w:val="center"/>
              <w:rPr>
                <w:sz w:val="24"/>
              </w:rPr>
            </w:pPr>
            <w:r w:rsidRPr="003A7B72">
              <w:rPr>
                <w:color w:val="000000"/>
                <w:kern w:val="0"/>
                <w:sz w:val="24"/>
              </w:rPr>
              <w:t>2017/4/1-2017/6/30</w:t>
            </w:r>
          </w:p>
        </w:tc>
        <w:tc>
          <w:tcPr>
            <w:tcW w:w="851" w:type="dxa"/>
            <w:vAlign w:val="center"/>
          </w:tcPr>
          <w:p w:rsidR="007F31B5" w:rsidRPr="003A7B72" w:rsidRDefault="00F42C14">
            <w:pPr>
              <w:jc w:val="center"/>
              <w:rPr>
                <w:sz w:val="24"/>
              </w:rPr>
            </w:pPr>
            <w:r w:rsidRPr="003A7B72">
              <w:rPr>
                <w:color w:val="000000"/>
                <w:kern w:val="0"/>
                <w:sz w:val="24"/>
              </w:rPr>
              <w:t>1,003,324,618.42</w:t>
            </w:r>
          </w:p>
        </w:tc>
        <w:tc>
          <w:tcPr>
            <w:tcW w:w="850" w:type="dxa"/>
            <w:vAlign w:val="center"/>
          </w:tcPr>
          <w:p w:rsidR="007F31B5" w:rsidRPr="003A7B72" w:rsidRDefault="00F42C14">
            <w:pPr>
              <w:jc w:val="center"/>
              <w:rPr>
                <w:sz w:val="24"/>
              </w:rPr>
            </w:pPr>
            <w:r w:rsidRPr="003A7B72">
              <w:rPr>
                <w:color w:val="000000"/>
                <w:kern w:val="0"/>
                <w:sz w:val="24"/>
              </w:rPr>
              <w:t>6,337,667.77</w:t>
            </w:r>
          </w:p>
        </w:tc>
        <w:tc>
          <w:tcPr>
            <w:tcW w:w="1134" w:type="dxa"/>
            <w:vAlign w:val="center"/>
          </w:tcPr>
          <w:p w:rsidR="007F31B5" w:rsidRPr="003A7B72" w:rsidRDefault="00F42C14">
            <w:pPr>
              <w:jc w:val="center"/>
              <w:rPr>
                <w:sz w:val="24"/>
              </w:rPr>
            </w:pPr>
            <w:r w:rsidRPr="003A7B72">
              <w:rPr>
                <w:color w:val="000000"/>
                <w:kern w:val="0"/>
                <w:sz w:val="24"/>
              </w:rPr>
              <w:t>505,414,408.57</w:t>
            </w:r>
          </w:p>
        </w:tc>
        <w:tc>
          <w:tcPr>
            <w:tcW w:w="1419" w:type="dxa"/>
            <w:vAlign w:val="center"/>
          </w:tcPr>
          <w:p w:rsidR="007F31B5" w:rsidRPr="003A7B72" w:rsidRDefault="00F42C14">
            <w:pPr>
              <w:jc w:val="center"/>
              <w:rPr>
                <w:sz w:val="24"/>
              </w:rPr>
            </w:pPr>
            <w:r w:rsidRPr="003A7B72">
              <w:rPr>
                <w:color w:val="000000"/>
                <w:kern w:val="0"/>
                <w:sz w:val="24"/>
              </w:rPr>
              <w:t>504,247,877.62</w:t>
            </w:r>
          </w:p>
        </w:tc>
        <w:tc>
          <w:tcPr>
            <w:tcW w:w="1130" w:type="dxa"/>
            <w:vAlign w:val="center"/>
          </w:tcPr>
          <w:p w:rsidR="007F31B5" w:rsidRPr="003A7B72" w:rsidRDefault="00F42C14">
            <w:pPr>
              <w:jc w:val="center"/>
              <w:rPr>
                <w:sz w:val="24"/>
              </w:rPr>
            </w:pPr>
            <w:r w:rsidRPr="003A7B72">
              <w:rPr>
                <w:color w:val="000000"/>
                <w:kern w:val="0"/>
                <w:sz w:val="24"/>
              </w:rPr>
              <w:t>12.22%</w:t>
            </w:r>
          </w:p>
        </w:tc>
      </w:tr>
      <w:tr w:rsidR="007F31B5" w:rsidRPr="0000743E">
        <w:tc>
          <w:tcPr>
            <w:tcW w:w="992" w:type="dxa"/>
            <w:vMerge/>
          </w:tcPr>
          <w:p w:rsidR="007F31B5" w:rsidRPr="003A7B72" w:rsidRDefault="007F31B5">
            <w:pPr>
              <w:rPr>
                <w:sz w:val="24"/>
              </w:rPr>
            </w:pPr>
          </w:p>
        </w:tc>
        <w:tc>
          <w:tcPr>
            <w:tcW w:w="991" w:type="dxa"/>
            <w:vAlign w:val="center"/>
          </w:tcPr>
          <w:p w:rsidR="007F31B5" w:rsidRPr="003A7B72" w:rsidRDefault="00F42C14">
            <w:pPr>
              <w:jc w:val="center"/>
              <w:rPr>
                <w:sz w:val="24"/>
              </w:rPr>
            </w:pPr>
            <w:r w:rsidRPr="003A7B72">
              <w:rPr>
                <w:color w:val="000000"/>
                <w:kern w:val="0"/>
                <w:sz w:val="24"/>
              </w:rPr>
              <w:t>2</w:t>
            </w:r>
          </w:p>
        </w:tc>
        <w:tc>
          <w:tcPr>
            <w:tcW w:w="1843" w:type="dxa"/>
            <w:vAlign w:val="center"/>
          </w:tcPr>
          <w:p w:rsidR="007F31B5" w:rsidRPr="003A7B72" w:rsidRDefault="00F42C14">
            <w:pPr>
              <w:jc w:val="center"/>
              <w:rPr>
                <w:sz w:val="24"/>
              </w:rPr>
            </w:pPr>
            <w:r w:rsidRPr="003A7B72">
              <w:rPr>
                <w:color w:val="000000"/>
                <w:kern w:val="0"/>
                <w:sz w:val="24"/>
              </w:rPr>
              <w:t>2017/4/1-2017/6/30</w:t>
            </w:r>
          </w:p>
        </w:tc>
        <w:tc>
          <w:tcPr>
            <w:tcW w:w="851" w:type="dxa"/>
            <w:vAlign w:val="center"/>
          </w:tcPr>
          <w:p w:rsidR="007F31B5" w:rsidRPr="003A7B72" w:rsidRDefault="00F42C14">
            <w:pPr>
              <w:jc w:val="center"/>
              <w:rPr>
                <w:sz w:val="24"/>
              </w:rPr>
            </w:pPr>
            <w:r w:rsidRPr="003A7B72">
              <w:rPr>
                <w:color w:val="000000"/>
                <w:kern w:val="0"/>
                <w:sz w:val="24"/>
              </w:rPr>
              <w:t>1,017,379,446.43</w:t>
            </w:r>
          </w:p>
        </w:tc>
        <w:tc>
          <w:tcPr>
            <w:tcW w:w="850" w:type="dxa"/>
            <w:vAlign w:val="center"/>
          </w:tcPr>
          <w:p w:rsidR="007F31B5" w:rsidRPr="003A7B72" w:rsidRDefault="00F42C14">
            <w:pPr>
              <w:jc w:val="center"/>
              <w:rPr>
                <w:sz w:val="24"/>
              </w:rPr>
            </w:pPr>
            <w:r w:rsidRPr="003A7B72">
              <w:rPr>
                <w:color w:val="000000"/>
                <w:kern w:val="0"/>
                <w:sz w:val="24"/>
              </w:rPr>
              <w:t>5,273,300.80</w:t>
            </w:r>
          </w:p>
        </w:tc>
        <w:tc>
          <w:tcPr>
            <w:tcW w:w="1134" w:type="dxa"/>
            <w:vAlign w:val="center"/>
          </w:tcPr>
          <w:p w:rsidR="007F31B5" w:rsidRPr="003A7B72" w:rsidRDefault="00F42C14">
            <w:pPr>
              <w:jc w:val="center"/>
              <w:rPr>
                <w:sz w:val="24"/>
              </w:rPr>
            </w:pPr>
            <w:r w:rsidRPr="003A7B72">
              <w:rPr>
                <w:color w:val="000000"/>
                <w:kern w:val="0"/>
                <w:sz w:val="24"/>
              </w:rPr>
              <w:t>1,022,652,747.23</w:t>
            </w:r>
          </w:p>
        </w:tc>
        <w:tc>
          <w:tcPr>
            <w:tcW w:w="1419" w:type="dxa"/>
            <w:vAlign w:val="center"/>
          </w:tcPr>
          <w:p w:rsidR="007F31B5" w:rsidRPr="003A7B72" w:rsidRDefault="00F42C14">
            <w:pPr>
              <w:jc w:val="center"/>
              <w:rPr>
                <w:sz w:val="24"/>
              </w:rPr>
            </w:pPr>
            <w:r w:rsidRPr="003A7B72">
              <w:rPr>
                <w:color w:val="000000"/>
                <w:kern w:val="0"/>
                <w:sz w:val="24"/>
              </w:rPr>
              <w:t>-</w:t>
            </w:r>
          </w:p>
        </w:tc>
        <w:tc>
          <w:tcPr>
            <w:tcW w:w="1130" w:type="dxa"/>
            <w:vAlign w:val="center"/>
          </w:tcPr>
          <w:p w:rsidR="007F31B5" w:rsidRPr="003A7B72" w:rsidRDefault="00F42C14">
            <w:pPr>
              <w:jc w:val="center"/>
              <w:rPr>
                <w:sz w:val="24"/>
              </w:rPr>
            </w:pPr>
            <w:r w:rsidRPr="003A7B72">
              <w:rPr>
                <w:color w:val="000000"/>
                <w:kern w:val="0"/>
                <w:sz w:val="24"/>
              </w:rPr>
              <w:t>-</w:t>
            </w:r>
          </w:p>
        </w:tc>
      </w:tr>
      <w:tr w:rsidR="007F31B5" w:rsidRPr="0000743E">
        <w:tc>
          <w:tcPr>
            <w:tcW w:w="992" w:type="dxa"/>
            <w:vMerge/>
          </w:tcPr>
          <w:p w:rsidR="007F31B5" w:rsidRPr="003A7B72" w:rsidRDefault="007F31B5">
            <w:pPr>
              <w:rPr>
                <w:sz w:val="24"/>
              </w:rPr>
            </w:pPr>
          </w:p>
        </w:tc>
        <w:tc>
          <w:tcPr>
            <w:tcW w:w="991" w:type="dxa"/>
            <w:vAlign w:val="center"/>
          </w:tcPr>
          <w:p w:rsidR="007F31B5" w:rsidRPr="003A7B72" w:rsidRDefault="00F42C14">
            <w:pPr>
              <w:jc w:val="center"/>
              <w:rPr>
                <w:sz w:val="24"/>
              </w:rPr>
            </w:pPr>
            <w:r w:rsidRPr="003A7B72">
              <w:rPr>
                <w:color w:val="000000"/>
                <w:kern w:val="0"/>
                <w:sz w:val="24"/>
              </w:rPr>
              <w:t>3</w:t>
            </w:r>
          </w:p>
        </w:tc>
        <w:tc>
          <w:tcPr>
            <w:tcW w:w="1843" w:type="dxa"/>
            <w:vAlign w:val="center"/>
          </w:tcPr>
          <w:p w:rsidR="007F31B5" w:rsidRPr="003A7B72" w:rsidRDefault="00F42C14">
            <w:pPr>
              <w:jc w:val="center"/>
              <w:rPr>
                <w:sz w:val="24"/>
              </w:rPr>
            </w:pPr>
            <w:r w:rsidRPr="003A7B72">
              <w:rPr>
                <w:color w:val="000000"/>
                <w:kern w:val="0"/>
                <w:sz w:val="24"/>
              </w:rPr>
              <w:t>2017/4/1-2017/6/30</w:t>
            </w:r>
          </w:p>
        </w:tc>
        <w:tc>
          <w:tcPr>
            <w:tcW w:w="851" w:type="dxa"/>
            <w:vAlign w:val="center"/>
          </w:tcPr>
          <w:p w:rsidR="007F31B5" w:rsidRPr="003A7B72" w:rsidRDefault="00F42C14">
            <w:pPr>
              <w:jc w:val="center"/>
              <w:rPr>
                <w:sz w:val="24"/>
              </w:rPr>
            </w:pPr>
            <w:r w:rsidRPr="003A7B72">
              <w:rPr>
                <w:color w:val="000000"/>
                <w:kern w:val="0"/>
                <w:sz w:val="24"/>
              </w:rPr>
              <w:t>-</w:t>
            </w:r>
          </w:p>
        </w:tc>
        <w:tc>
          <w:tcPr>
            <w:tcW w:w="850" w:type="dxa"/>
            <w:vAlign w:val="center"/>
          </w:tcPr>
          <w:p w:rsidR="007F31B5" w:rsidRPr="003A7B72" w:rsidRDefault="00F42C14">
            <w:pPr>
              <w:jc w:val="center"/>
              <w:rPr>
                <w:sz w:val="24"/>
              </w:rPr>
            </w:pPr>
            <w:r w:rsidRPr="003A7B72">
              <w:rPr>
                <w:color w:val="000000"/>
                <w:kern w:val="0"/>
                <w:sz w:val="24"/>
              </w:rPr>
              <w:t>1,000,779,271.02</w:t>
            </w:r>
          </w:p>
        </w:tc>
        <w:tc>
          <w:tcPr>
            <w:tcW w:w="1134" w:type="dxa"/>
            <w:vAlign w:val="center"/>
          </w:tcPr>
          <w:p w:rsidR="007F31B5" w:rsidRPr="003A7B72" w:rsidRDefault="00F42C14">
            <w:pPr>
              <w:jc w:val="center"/>
              <w:rPr>
                <w:sz w:val="24"/>
              </w:rPr>
            </w:pPr>
            <w:r w:rsidRPr="003A7B72">
              <w:rPr>
                <w:color w:val="000000"/>
                <w:kern w:val="0"/>
                <w:sz w:val="24"/>
              </w:rPr>
              <w:t>-</w:t>
            </w:r>
          </w:p>
        </w:tc>
        <w:tc>
          <w:tcPr>
            <w:tcW w:w="1419" w:type="dxa"/>
            <w:vAlign w:val="center"/>
          </w:tcPr>
          <w:p w:rsidR="007F31B5" w:rsidRPr="003A7B72" w:rsidRDefault="00F42C14">
            <w:pPr>
              <w:jc w:val="center"/>
              <w:rPr>
                <w:sz w:val="24"/>
              </w:rPr>
            </w:pPr>
            <w:r w:rsidRPr="003A7B72">
              <w:rPr>
                <w:color w:val="000000"/>
                <w:kern w:val="0"/>
                <w:sz w:val="24"/>
              </w:rPr>
              <w:t>1,000,779,271.02</w:t>
            </w:r>
          </w:p>
        </w:tc>
        <w:tc>
          <w:tcPr>
            <w:tcW w:w="1130" w:type="dxa"/>
            <w:vAlign w:val="center"/>
          </w:tcPr>
          <w:p w:rsidR="007F31B5" w:rsidRPr="003A7B72" w:rsidRDefault="00F42C14">
            <w:pPr>
              <w:jc w:val="center"/>
              <w:rPr>
                <w:sz w:val="24"/>
              </w:rPr>
            </w:pPr>
            <w:r w:rsidRPr="003A7B72">
              <w:rPr>
                <w:color w:val="000000"/>
                <w:kern w:val="0"/>
                <w:sz w:val="24"/>
              </w:rPr>
              <w:t>24.26%</w:t>
            </w:r>
          </w:p>
        </w:tc>
      </w:tr>
    </w:tbl>
    <w:p w:rsidR="003D1E1A" w:rsidRPr="003A7B72" w:rsidRDefault="003D1E1A" w:rsidP="003D1E1A">
      <w:pPr>
        <w:autoSpaceDE w:val="0"/>
        <w:autoSpaceDN w:val="0"/>
        <w:adjustRightInd w:val="0"/>
        <w:spacing w:line="360" w:lineRule="auto"/>
        <w:jc w:val="left"/>
        <w:rPr>
          <w:bCs/>
          <w:color w:val="000000"/>
          <w:kern w:val="0"/>
          <w:sz w:val="24"/>
        </w:rPr>
      </w:pPr>
      <w:r w:rsidRPr="003A7B72">
        <w:rPr>
          <w:rFonts w:hint="eastAsia"/>
          <w:bCs/>
          <w:color w:val="000000"/>
          <w:kern w:val="0"/>
          <w:sz w:val="24"/>
        </w:rPr>
        <w:t>注：本基金本报告期内出现单一投资者持有基金份额比例超过基金总份额</w:t>
      </w:r>
      <w:r w:rsidRPr="003A7B72">
        <w:rPr>
          <w:bCs/>
          <w:color w:val="000000"/>
          <w:kern w:val="0"/>
          <w:sz w:val="24"/>
        </w:rPr>
        <w:t>20%</w:t>
      </w:r>
      <w:r w:rsidRPr="003A7B72">
        <w:rPr>
          <w:rFonts w:hint="eastAsia"/>
          <w:bCs/>
          <w:color w:val="000000"/>
          <w:kern w:val="0"/>
          <w:sz w:val="24"/>
        </w:rPr>
        <w:t>的情况。</w:t>
      </w:r>
      <w:r w:rsidRPr="003A7B72">
        <w:rPr>
          <w:rFonts w:hint="eastAsia"/>
          <w:bCs/>
          <w:color w:val="000000"/>
          <w:kern w:val="0"/>
          <w:sz w:val="24"/>
        </w:rPr>
        <w:lastRenderedPageBreak/>
        <w:t>如该类投资者集中赎回，可能会对本基金带来流动性冲击，从而影响基金的投资运作和收益水平。基金管理人将加强流动性管理，防范相关风险，保护持有人利益。</w:t>
      </w:r>
    </w:p>
    <w:p w:rsidR="00C03EF8" w:rsidRPr="009268A2" w:rsidRDefault="009D74FC" w:rsidP="00EA0F0C">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7F31B5" w:rsidRDefault="00F42C14">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7F31B5" w:rsidRDefault="00F42C14">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7F31B5" w:rsidRDefault="00F42C14">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7F31B5" w:rsidRDefault="00F42C14">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7F31B5" w:rsidRDefault="00F42C14">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7F31B5" w:rsidRDefault="00F42C1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F31B5" w:rsidRDefault="00F42C1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7F31B5" w:rsidRDefault="00F42C1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AB" w:rsidRDefault="008402AB">
      <w:r>
        <w:separator/>
      </w:r>
    </w:p>
  </w:endnote>
  <w:endnote w:type="continuationSeparator" w:id="0">
    <w:p w:rsidR="008402AB" w:rsidRDefault="0084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B0160">
      <w:rPr>
        <w:kern w:val="0"/>
        <w:szCs w:val="21"/>
      </w:rPr>
      <w:fldChar w:fldCharType="begin"/>
    </w:r>
    <w:r>
      <w:rPr>
        <w:kern w:val="0"/>
        <w:szCs w:val="21"/>
      </w:rPr>
      <w:instrText xml:space="preserve"> PAGE </w:instrText>
    </w:r>
    <w:r w:rsidR="009B0160">
      <w:rPr>
        <w:kern w:val="0"/>
        <w:szCs w:val="21"/>
      </w:rPr>
      <w:fldChar w:fldCharType="separate"/>
    </w:r>
    <w:r w:rsidR="002914DE">
      <w:rPr>
        <w:noProof/>
        <w:kern w:val="0"/>
        <w:szCs w:val="21"/>
      </w:rPr>
      <w:t>15</w:t>
    </w:r>
    <w:r w:rsidR="009B0160">
      <w:rPr>
        <w:kern w:val="0"/>
        <w:szCs w:val="21"/>
      </w:rPr>
      <w:fldChar w:fldCharType="end"/>
    </w:r>
    <w:proofErr w:type="gramStart"/>
    <w:r>
      <w:rPr>
        <w:rFonts w:hint="eastAsia"/>
        <w:kern w:val="0"/>
        <w:szCs w:val="21"/>
      </w:rPr>
      <w:t>页共</w:t>
    </w:r>
    <w:proofErr w:type="gramEnd"/>
    <w:r w:rsidR="009B0160">
      <w:rPr>
        <w:rFonts w:hint="eastAsia"/>
        <w:kern w:val="0"/>
        <w:szCs w:val="21"/>
      </w:rPr>
      <w:fldChar w:fldCharType="begin"/>
    </w:r>
    <w:r>
      <w:rPr>
        <w:kern w:val="0"/>
        <w:szCs w:val="21"/>
      </w:rPr>
      <w:instrText xml:space="preserve"> NUMPAGES </w:instrText>
    </w:r>
    <w:r w:rsidR="009B0160">
      <w:rPr>
        <w:rFonts w:hint="eastAsia"/>
        <w:kern w:val="0"/>
        <w:szCs w:val="21"/>
      </w:rPr>
      <w:fldChar w:fldCharType="separate"/>
    </w:r>
    <w:r w:rsidR="002914DE">
      <w:rPr>
        <w:noProof/>
        <w:kern w:val="0"/>
        <w:szCs w:val="21"/>
      </w:rPr>
      <w:t>15</w:t>
    </w:r>
    <w:r w:rsidR="009B0160">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AB" w:rsidRDefault="008402AB">
      <w:r>
        <w:separator/>
      </w:r>
    </w:p>
  </w:footnote>
  <w:footnote w:type="continuationSeparator" w:id="0">
    <w:p w:rsidR="008402AB" w:rsidRDefault="00840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0743E"/>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14DE"/>
    <w:rsid w:val="0029349C"/>
    <w:rsid w:val="002A4B7F"/>
    <w:rsid w:val="002A55E5"/>
    <w:rsid w:val="002B45A4"/>
    <w:rsid w:val="002C019C"/>
    <w:rsid w:val="002C1941"/>
    <w:rsid w:val="002C29B1"/>
    <w:rsid w:val="002C4FBF"/>
    <w:rsid w:val="002D3ADF"/>
    <w:rsid w:val="002E040C"/>
    <w:rsid w:val="002E0F4A"/>
    <w:rsid w:val="002F0E9D"/>
    <w:rsid w:val="002F4E91"/>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A41B9"/>
    <w:rsid w:val="003A7B72"/>
    <w:rsid w:val="003B36B4"/>
    <w:rsid w:val="003B6DC6"/>
    <w:rsid w:val="003B7322"/>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2B72"/>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06B"/>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31B5"/>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02AB"/>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B634A"/>
    <w:rsid w:val="008D0A39"/>
    <w:rsid w:val="008D2405"/>
    <w:rsid w:val="008D2CC7"/>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FEA"/>
    <w:rsid w:val="0097021E"/>
    <w:rsid w:val="00971744"/>
    <w:rsid w:val="00971C19"/>
    <w:rsid w:val="00971D35"/>
    <w:rsid w:val="0097206C"/>
    <w:rsid w:val="00984D79"/>
    <w:rsid w:val="00985C3A"/>
    <w:rsid w:val="0099296A"/>
    <w:rsid w:val="009965A5"/>
    <w:rsid w:val="009A56D7"/>
    <w:rsid w:val="009A755D"/>
    <w:rsid w:val="009B0160"/>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09F0"/>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52E1"/>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1FCB"/>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1CB"/>
    <w:rsid w:val="00D30BD3"/>
    <w:rsid w:val="00D33791"/>
    <w:rsid w:val="00D33BA8"/>
    <w:rsid w:val="00D364EB"/>
    <w:rsid w:val="00D40363"/>
    <w:rsid w:val="00D451BC"/>
    <w:rsid w:val="00D51E96"/>
    <w:rsid w:val="00D5661A"/>
    <w:rsid w:val="00D568BB"/>
    <w:rsid w:val="00D63B9E"/>
    <w:rsid w:val="00D6565D"/>
    <w:rsid w:val="00D65D90"/>
    <w:rsid w:val="00D66016"/>
    <w:rsid w:val="00D671B7"/>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0F0C"/>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42C14"/>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FF61EAE9-2448-4B84-B90B-AC7E3498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48B3EB-38AE-485E-B535-4CA5B998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15</Pages>
  <Words>1279</Words>
  <Characters>7291</Characters>
  <Application>Microsoft Office Word</Application>
  <DocSecurity>0</DocSecurity>
  <Lines>60</Lines>
  <Paragraphs>17</Paragraphs>
  <ScaleCrop>false</ScaleCrop>
  <Company>jysld</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328</cp:revision>
  <cp:lastPrinted>2009-01-22T10:11:00Z</cp:lastPrinted>
  <dcterms:created xsi:type="dcterms:W3CDTF">2012-11-21T05:49:00Z</dcterms:created>
  <dcterms:modified xsi:type="dcterms:W3CDTF">2017-07-19T06:36:00Z</dcterms:modified>
</cp:coreProperties>
</file>