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DA" w:rsidRPr="00EA22DA" w:rsidRDefault="006E689E" w:rsidP="006E689E">
      <w:pPr>
        <w:jc w:val="center"/>
        <w:rPr>
          <w:rFonts w:asciiTheme="minorEastAsia" w:eastAsiaTheme="minorEastAsia" w:hAnsiTheme="minorEastAsia"/>
          <w:b/>
          <w:sz w:val="36"/>
          <w:szCs w:val="40"/>
        </w:rPr>
      </w:pPr>
      <w:r>
        <w:rPr>
          <w:rFonts w:asciiTheme="minorEastAsia" w:eastAsiaTheme="minorEastAsia" w:hAnsiTheme="minorEastAsia" w:hint="eastAsia"/>
          <w:b/>
          <w:sz w:val="36"/>
          <w:szCs w:val="40"/>
        </w:rPr>
        <w:t>交银</w:t>
      </w:r>
      <w:r>
        <w:rPr>
          <w:rFonts w:asciiTheme="minorEastAsia" w:eastAsiaTheme="minorEastAsia" w:hAnsiTheme="minorEastAsia"/>
          <w:b/>
          <w:sz w:val="36"/>
          <w:szCs w:val="40"/>
        </w:rPr>
        <w:t>施罗德基金管理有限公司关于</w:t>
      </w:r>
      <w:r w:rsidR="00EA22DA" w:rsidRPr="00EA22DA">
        <w:rPr>
          <w:rFonts w:asciiTheme="minorEastAsia" w:eastAsiaTheme="minorEastAsia" w:hAnsiTheme="minorEastAsia" w:hint="eastAsia"/>
          <w:b/>
          <w:sz w:val="36"/>
          <w:szCs w:val="40"/>
        </w:rPr>
        <w:t>《深圳证券交易所分级基金业务管理指引》实施</w:t>
      </w:r>
      <w:r>
        <w:rPr>
          <w:rFonts w:asciiTheme="minorEastAsia" w:eastAsiaTheme="minorEastAsia" w:hAnsiTheme="minorEastAsia" w:hint="eastAsia"/>
          <w:b/>
          <w:sz w:val="36"/>
          <w:szCs w:val="40"/>
        </w:rPr>
        <w:t>的</w:t>
      </w:r>
      <w:r w:rsidR="00EA22DA" w:rsidRPr="00EA22DA">
        <w:rPr>
          <w:rFonts w:asciiTheme="minorEastAsia" w:eastAsiaTheme="minorEastAsia" w:hAnsiTheme="minorEastAsia" w:hint="eastAsia"/>
          <w:b/>
          <w:sz w:val="36"/>
          <w:szCs w:val="40"/>
        </w:rPr>
        <w:t>风险提示公告</w:t>
      </w:r>
    </w:p>
    <w:p w:rsidR="00EA22DA" w:rsidRPr="00EA22DA" w:rsidRDefault="00EA22DA" w:rsidP="00EA22DA">
      <w:pPr>
        <w:spacing w:line="240" w:lineRule="exact"/>
        <w:rPr>
          <w:rFonts w:asciiTheme="minorEastAsia" w:eastAsiaTheme="minorEastAsia" w:hAnsiTheme="minorEastAsia"/>
          <w:color w:val="000000"/>
          <w:sz w:val="30"/>
          <w:szCs w:val="30"/>
        </w:rPr>
      </w:pPr>
    </w:p>
    <w:p w:rsidR="00EA22DA" w:rsidRPr="00EA22DA" w:rsidRDefault="00EA22DA" w:rsidP="00EA22DA">
      <w:pPr>
        <w:spacing w:line="240" w:lineRule="exact"/>
        <w:rPr>
          <w:rFonts w:asciiTheme="minorEastAsia" w:eastAsiaTheme="minorEastAsia" w:hAnsiTheme="minorEastAsia"/>
          <w:color w:val="000000"/>
          <w:sz w:val="30"/>
          <w:szCs w:val="30"/>
        </w:rPr>
      </w:pPr>
    </w:p>
    <w:p w:rsidR="006E689E" w:rsidRPr="006E689E" w:rsidRDefault="006E689E" w:rsidP="006E689E">
      <w:pPr>
        <w:spacing w:line="560" w:lineRule="exact"/>
        <w:rPr>
          <w:rFonts w:asciiTheme="minorEastAsia" w:eastAsiaTheme="minorEastAsia" w:hAnsiTheme="minorEastAsia"/>
          <w:sz w:val="24"/>
          <w:szCs w:val="30"/>
        </w:rPr>
      </w:pP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一、《深圳证券交易所分级基金业务管理指引》（以下简称</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《指引》</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）将于</w:t>
      </w:r>
      <w:r w:rsidRPr="00EA22DA">
        <w:rPr>
          <w:rFonts w:eastAsiaTheme="minorEastAsia"/>
          <w:sz w:val="24"/>
          <w:szCs w:val="30"/>
        </w:rPr>
        <w:t>2017</w:t>
      </w:r>
      <w:r w:rsidRPr="00EA22DA">
        <w:rPr>
          <w:rFonts w:eastAsiaTheme="minorEastAsia"/>
          <w:sz w:val="24"/>
          <w:szCs w:val="30"/>
        </w:rPr>
        <w:t>年</w:t>
      </w:r>
      <w:r w:rsidRPr="00EA22DA">
        <w:rPr>
          <w:rFonts w:eastAsiaTheme="minorEastAsia"/>
          <w:sz w:val="24"/>
          <w:szCs w:val="30"/>
        </w:rPr>
        <w:t>5</w:t>
      </w:r>
      <w:r w:rsidRPr="00EA22DA">
        <w:rPr>
          <w:rFonts w:eastAsiaTheme="minorEastAsia"/>
          <w:sz w:val="24"/>
          <w:szCs w:val="30"/>
        </w:rPr>
        <w:t>月</w:t>
      </w:r>
      <w:r w:rsidRPr="00EA22DA">
        <w:rPr>
          <w:rFonts w:eastAsiaTheme="minorEastAsia"/>
          <w:sz w:val="24"/>
          <w:szCs w:val="30"/>
        </w:rPr>
        <w:t>1</w:t>
      </w:r>
      <w:r w:rsidRPr="00EA22DA">
        <w:rPr>
          <w:rFonts w:eastAsiaTheme="minorEastAsia"/>
          <w:sz w:val="24"/>
          <w:szCs w:val="30"/>
        </w:rPr>
        <w:t>日</w:t>
      </w:r>
      <w:r w:rsidRPr="00EA22DA">
        <w:rPr>
          <w:rFonts w:asciiTheme="minorEastAsia" w:eastAsiaTheme="minorEastAsia" w:hAnsiTheme="minorEastAsia" w:hint="eastAsia"/>
          <w:sz w:val="24"/>
          <w:szCs w:val="30"/>
        </w:rPr>
        <w:t>起施行</w:t>
      </w:r>
      <w:r>
        <w:rPr>
          <w:rFonts w:asciiTheme="minorEastAsia" w:eastAsiaTheme="minorEastAsia" w:hAnsiTheme="minorEastAsia" w:hint="eastAsia"/>
          <w:sz w:val="24"/>
          <w:szCs w:val="30"/>
        </w:rPr>
        <w:t>，</w:t>
      </w:r>
      <w:r w:rsidRPr="00EA22DA">
        <w:rPr>
          <w:rFonts w:asciiTheme="minorEastAsia" w:eastAsiaTheme="minorEastAsia" w:hAnsiTheme="minorEastAsia" w:hint="eastAsia"/>
          <w:sz w:val="24"/>
          <w:szCs w:val="30"/>
        </w:rPr>
        <w:t>届时仍未在券商营业部开通分级基金相应权限的投资者，将不能买入分级基金子份额或分拆基础份额。</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二、根据《指引》规定，个人和一般机构投资者应当符合</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申请开通权限前二十个交易日日均证券类资产不低于人民币三十万元</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等条件并在券商营业部现场以书面方式签署《分级基金投资风险揭示书》，才能申请开通分级基金相关权限。投资者可向相关券商了解权限开通的具体要求和情况，提前做好相应的投资准备。</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三、《指引》实施初期，分级基金子份额可能出现交易价格波动加大的情形，投资者可根据自身情况，提前做好相应的投资安排。</w:t>
      </w:r>
    </w:p>
    <w:p w:rsidR="00EA22DA" w:rsidRDefault="00EA22DA" w:rsidP="00EA22DA">
      <w:pPr>
        <w:pStyle w:val="a3"/>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四、分级基金是带有杠杆特性的金融产品，运作机制复杂，投资风险较高。投资者应当遵循买者自负的原则，根据自身风险承受能力，审慎决定是否参与分级基金交易及相关业务。</w:t>
      </w:r>
    </w:p>
    <w:p w:rsidR="00EA22DA" w:rsidRPr="00EA22DA" w:rsidRDefault="00EA22DA" w:rsidP="00EA22DA">
      <w:pPr>
        <w:pStyle w:val="a3"/>
        <w:spacing w:line="560" w:lineRule="exact"/>
        <w:ind w:firstLine="600"/>
        <w:rPr>
          <w:rFonts w:asciiTheme="minorEastAsia" w:eastAsiaTheme="minorEastAsia" w:hAnsiTheme="minorEastAsia" w:cs="Times New Roman"/>
          <w:sz w:val="24"/>
          <w:szCs w:val="30"/>
        </w:rPr>
      </w:pPr>
    </w:p>
    <w:p w:rsidR="00EA22DA" w:rsidRPr="00EA22DA" w:rsidRDefault="00EA22DA" w:rsidP="00EA22DA">
      <w:pPr>
        <w:rPr>
          <w:rFonts w:asciiTheme="minorEastAsia" w:eastAsiaTheme="minorEastAsia" w:hAnsiTheme="minorEastAsia"/>
          <w:sz w:val="18"/>
        </w:rPr>
      </w:pPr>
    </w:p>
    <w:p w:rsidR="005305F5" w:rsidRPr="00EA22DA" w:rsidRDefault="00EA22DA" w:rsidP="00EA22DA">
      <w:pPr>
        <w:pStyle w:val="a3"/>
        <w:spacing w:line="560" w:lineRule="exact"/>
        <w:ind w:firstLine="600"/>
        <w:jc w:val="right"/>
        <w:rPr>
          <w:rFonts w:ascii="Times New Roman" w:eastAsiaTheme="minorEastAsia" w:hAnsi="Times New Roman" w:cs="Times New Roman"/>
          <w:sz w:val="24"/>
          <w:szCs w:val="30"/>
        </w:rPr>
      </w:pPr>
      <w:r w:rsidRPr="00EA22DA">
        <w:rPr>
          <w:rFonts w:ascii="Times New Roman" w:eastAsiaTheme="minorEastAsia" w:hAnsi="Times New Roman" w:cs="Times New Roman"/>
          <w:sz w:val="24"/>
          <w:szCs w:val="30"/>
        </w:rPr>
        <w:t>交银施罗德基金管理有限公司</w:t>
      </w:r>
    </w:p>
    <w:p w:rsidR="006E689E" w:rsidRPr="005675C0" w:rsidRDefault="006E689E" w:rsidP="006E689E">
      <w:pPr>
        <w:wordWrap w:val="0"/>
        <w:spacing w:line="360" w:lineRule="auto"/>
        <w:jc w:val="right"/>
      </w:pPr>
      <w:r w:rsidRPr="005566A6">
        <w:rPr>
          <w:rFonts w:hAnsi="宋体"/>
          <w:sz w:val="24"/>
        </w:rPr>
        <w:t>二〇一</w:t>
      </w:r>
      <w:r>
        <w:rPr>
          <w:rFonts w:hAnsi="宋体" w:hint="eastAsia"/>
          <w:sz w:val="24"/>
        </w:rPr>
        <w:t>七</w:t>
      </w:r>
      <w:r w:rsidRPr="005566A6">
        <w:rPr>
          <w:rFonts w:hAnsi="宋体"/>
          <w:sz w:val="24"/>
        </w:rPr>
        <w:t>年</w:t>
      </w:r>
      <w:r>
        <w:rPr>
          <w:rFonts w:hAnsi="宋体" w:hint="eastAsia"/>
          <w:sz w:val="24"/>
        </w:rPr>
        <w:t>四</w:t>
      </w:r>
      <w:r w:rsidRPr="005566A6">
        <w:rPr>
          <w:rFonts w:hAnsi="宋体"/>
          <w:sz w:val="24"/>
        </w:rPr>
        <w:t>月</w:t>
      </w:r>
      <w:r>
        <w:rPr>
          <w:rFonts w:hAnsi="宋体" w:hint="eastAsia"/>
          <w:sz w:val="24"/>
        </w:rPr>
        <w:t>二十</w:t>
      </w:r>
      <w:r w:rsidR="003305F4">
        <w:rPr>
          <w:rFonts w:hAnsi="宋体" w:hint="eastAsia"/>
          <w:sz w:val="24"/>
        </w:rPr>
        <w:t>六</w:t>
      </w:r>
      <w:bookmarkStart w:id="0" w:name="_GoBack"/>
      <w:bookmarkEnd w:id="0"/>
      <w:r w:rsidRPr="005566A6">
        <w:rPr>
          <w:rFonts w:hAnsi="宋体"/>
          <w:sz w:val="24"/>
        </w:rPr>
        <w:t>日</w:t>
      </w:r>
    </w:p>
    <w:p w:rsidR="00EA22DA" w:rsidRPr="00EA22DA" w:rsidRDefault="00EA22DA" w:rsidP="006E689E">
      <w:pPr>
        <w:pStyle w:val="a3"/>
        <w:spacing w:line="560" w:lineRule="exact"/>
        <w:ind w:firstLine="600"/>
        <w:jc w:val="right"/>
        <w:rPr>
          <w:rFonts w:ascii="Times New Roman" w:eastAsiaTheme="minorEastAsia" w:hAnsi="Times New Roman" w:cs="Times New Roman"/>
          <w:sz w:val="24"/>
          <w:szCs w:val="30"/>
        </w:rPr>
      </w:pPr>
    </w:p>
    <w:sectPr w:rsidR="00EA22DA" w:rsidRPr="00EA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DA"/>
    <w:rsid w:val="0002074E"/>
    <w:rsid w:val="003305F4"/>
    <w:rsid w:val="006E689E"/>
    <w:rsid w:val="00BA20A0"/>
    <w:rsid w:val="00EA22DA"/>
    <w:rsid w:val="00F4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6520B-86A5-4C37-8E13-6864648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2DA"/>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A22DA"/>
    <w:rPr>
      <w:rFonts w:ascii="宋体" w:hAnsi="宋体" w:cs="宋体"/>
    </w:rPr>
  </w:style>
  <w:style w:type="character" w:customStyle="1" w:styleId="Char">
    <w:name w:val="纯文本 Char"/>
    <w:basedOn w:val="a0"/>
    <w:link w:val="a3"/>
    <w:uiPriority w:val="99"/>
    <w:rsid w:val="00EA22DA"/>
    <w:rPr>
      <w:rFonts w:ascii="宋体" w:eastAsia="宋体" w:hAnsi="宋体" w:cs="宋体"/>
      <w:kern w:val="0"/>
      <w:szCs w:val="21"/>
    </w:rPr>
  </w:style>
  <w:style w:type="paragraph" w:styleId="a4">
    <w:name w:val="Balloon Text"/>
    <w:basedOn w:val="a"/>
    <w:link w:val="Char0"/>
    <w:uiPriority w:val="99"/>
    <w:semiHidden/>
    <w:unhideWhenUsed/>
    <w:rsid w:val="006E689E"/>
    <w:rPr>
      <w:sz w:val="18"/>
      <w:szCs w:val="18"/>
    </w:rPr>
  </w:style>
  <w:style w:type="character" w:customStyle="1" w:styleId="Char0">
    <w:name w:val="批注框文本 Char"/>
    <w:basedOn w:val="a0"/>
    <w:link w:val="a4"/>
    <w:uiPriority w:val="99"/>
    <w:semiHidden/>
    <w:rsid w:val="006E689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383</Characters>
  <Application>Microsoft Office Word</Application>
  <DocSecurity>0</DocSecurity>
  <Lines>3</Lines>
  <Paragraphs>1</Paragraphs>
  <ScaleCrop>false</ScaleCrop>
  <Company>Microsoft</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许帆</dc:creator>
  <cp:keywords/>
  <dc:description/>
  <cp:lastModifiedBy>许帆</cp:lastModifiedBy>
  <cp:revision>4</cp:revision>
  <dcterms:created xsi:type="dcterms:W3CDTF">2017-04-24T10:13:00Z</dcterms:created>
  <dcterms:modified xsi:type="dcterms:W3CDTF">2017-04-25T10:00:00Z</dcterms:modified>
</cp:coreProperties>
</file>