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26FED" w:rsidRDefault="002158C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367,494,108.89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158CC" w:rsidRPr="00414345" w:rsidTr="00AF634B">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158CC" w:rsidRPr="00414345" w:rsidTr="00AF634B">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2,781,688.96</w:t>
            </w:r>
          </w:p>
        </w:tc>
      </w:tr>
      <w:tr w:rsidR="002158CC" w:rsidRPr="00414345" w:rsidTr="00AF634B">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23,238,710.55</w:t>
            </w:r>
          </w:p>
        </w:tc>
      </w:tr>
      <w:tr w:rsidR="002158CC" w:rsidRPr="00414345" w:rsidTr="00AF634B">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FC7449" w:rsidP="00C15CAC">
            <w:pPr>
              <w:adjustRightInd w:val="0"/>
              <w:spacing w:before="29" w:line="288" w:lineRule="auto"/>
              <w:ind w:left="17"/>
              <w:jc w:val="right"/>
              <w:rPr>
                <w:color w:val="000000"/>
                <w:sz w:val="24"/>
                <w:szCs w:val="24"/>
              </w:rPr>
            </w:pPr>
            <w:bookmarkStart w:id="0" w:name="_GoBack"/>
            <w:bookmarkEnd w:id="0"/>
            <w:r w:rsidRPr="00FC7449">
              <w:rPr>
                <w:color w:val="000000"/>
                <w:sz w:val="24"/>
                <w:szCs w:val="24"/>
              </w:rPr>
              <w:t>0.0455</w:t>
            </w:r>
          </w:p>
        </w:tc>
      </w:tr>
      <w:tr w:rsidR="002158CC" w:rsidRPr="00414345" w:rsidTr="0095058D">
        <w:trPr>
          <w:jc w:val="center"/>
        </w:trPr>
        <w:tc>
          <w:tcPr>
            <w:tcW w:w="3607" w:type="dxa"/>
            <w:tcBorders>
              <w:bottom w:val="single" w:sz="4" w:space="0" w:color="auto"/>
            </w:tcBorders>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tcBorders>
              <w:bottom w:val="single" w:sz="4" w:space="0" w:color="auto"/>
            </w:tcBorders>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373,322,324.99</w:t>
            </w:r>
          </w:p>
        </w:tc>
      </w:tr>
      <w:tr w:rsidR="002158CC" w:rsidRPr="00414345" w:rsidTr="0095058D">
        <w:trPr>
          <w:trHeight w:val="158"/>
          <w:jc w:val="center"/>
        </w:trPr>
        <w:tc>
          <w:tcPr>
            <w:tcW w:w="3607" w:type="dxa"/>
            <w:tcBorders>
              <w:bottom w:val="single" w:sz="4" w:space="0" w:color="auto"/>
            </w:tcBorders>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tcBorders>
              <w:bottom w:val="single" w:sz="4" w:space="0" w:color="auto"/>
            </w:tcBorders>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1.016</w:t>
            </w:r>
          </w:p>
        </w:tc>
      </w:tr>
    </w:tbl>
    <w:p w:rsidR="00AF634B" w:rsidRDefault="00AF634B" w:rsidP="00AF634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4061AC" w:rsidRDefault="00AF634B" w:rsidP="00AF634B">
      <w:pPr>
        <w:autoSpaceDE w:val="0"/>
        <w:autoSpaceDN w:val="0"/>
        <w:adjustRightInd w:val="0"/>
        <w:spacing w:before="29" w:line="288" w:lineRule="auto"/>
        <w:ind w:firstLine="480"/>
        <w:jc w:val="left"/>
        <w:rPr>
          <w:rFonts w:eastAsiaTheme="minorEastAsia"/>
          <w:color w:val="000000"/>
          <w:sz w:val="24"/>
        </w:rPr>
      </w:pPr>
      <w:r w:rsidRPr="00405493">
        <w:rPr>
          <w:rFonts w:eastAsiaTheme="minorEastAsia"/>
          <w:color w:val="000000"/>
          <w:sz w:val="24"/>
        </w:rPr>
        <w:t>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AF634B" w:rsidRPr="00414345" w:rsidRDefault="00AF634B" w:rsidP="00AF634B">
      <w:pPr>
        <w:autoSpaceDE w:val="0"/>
        <w:autoSpaceDN w:val="0"/>
        <w:adjustRightInd w:val="0"/>
        <w:spacing w:before="29" w:line="288" w:lineRule="auto"/>
        <w:ind w:firstLine="480"/>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26FED">
        <w:trPr>
          <w:jc w:val="center"/>
        </w:trPr>
        <w:tc>
          <w:tcPr>
            <w:tcW w:w="1701" w:type="dxa"/>
            <w:vAlign w:val="center"/>
          </w:tcPr>
          <w:p w:rsidR="00C26FED" w:rsidRDefault="002158CC">
            <w:pPr>
              <w:jc w:val="left"/>
            </w:pPr>
            <w:r>
              <w:rPr>
                <w:color w:val="000000"/>
                <w:sz w:val="24"/>
                <w:szCs w:val="24"/>
              </w:rPr>
              <w:t>过去三个月</w:t>
            </w:r>
          </w:p>
        </w:tc>
        <w:tc>
          <w:tcPr>
            <w:tcW w:w="1045" w:type="dxa"/>
            <w:vAlign w:val="center"/>
          </w:tcPr>
          <w:p w:rsidR="00C26FED" w:rsidRDefault="002158CC">
            <w:pPr>
              <w:jc w:val="center"/>
            </w:pPr>
            <w:r>
              <w:rPr>
                <w:color w:val="000000"/>
                <w:sz w:val="24"/>
                <w:szCs w:val="24"/>
              </w:rPr>
              <w:t>3.99%</w:t>
            </w:r>
          </w:p>
        </w:tc>
        <w:tc>
          <w:tcPr>
            <w:tcW w:w="1344" w:type="dxa"/>
            <w:vAlign w:val="center"/>
          </w:tcPr>
          <w:p w:rsidR="00C26FED" w:rsidRDefault="002158CC">
            <w:pPr>
              <w:jc w:val="center"/>
            </w:pPr>
            <w:r>
              <w:rPr>
                <w:color w:val="000000"/>
                <w:sz w:val="24"/>
                <w:szCs w:val="24"/>
              </w:rPr>
              <w:t>0.78%</w:t>
            </w:r>
          </w:p>
        </w:tc>
        <w:tc>
          <w:tcPr>
            <w:tcW w:w="1194" w:type="dxa"/>
            <w:vAlign w:val="center"/>
          </w:tcPr>
          <w:p w:rsidR="00C26FED" w:rsidRDefault="002158CC">
            <w:pPr>
              <w:jc w:val="center"/>
            </w:pPr>
            <w:r>
              <w:rPr>
                <w:color w:val="000000"/>
                <w:sz w:val="24"/>
                <w:szCs w:val="24"/>
              </w:rPr>
              <w:t>2.59%</w:t>
            </w:r>
          </w:p>
        </w:tc>
        <w:tc>
          <w:tcPr>
            <w:tcW w:w="1492" w:type="dxa"/>
            <w:vAlign w:val="center"/>
          </w:tcPr>
          <w:p w:rsidR="00C26FED" w:rsidRDefault="002158CC">
            <w:pPr>
              <w:jc w:val="center"/>
            </w:pPr>
            <w:r>
              <w:rPr>
                <w:color w:val="000000"/>
                <w:sz w:val="24"/>
                <w:szCs w:val="24"/>
              </w:rPr>
              <w:t>0.31%</w:t>
            </w:r>
          </w:p>
        </w:tc>
        <w:tc>
          <w:tcPr>
            <w:tcW w:w="1194" w:type="dxa"/>
            <w:vAlign w:val="center"/>
          </w:tcPr>
          <w:p w:rsidR="00C26FED" w:rsidRDefault="002158CC">
            <w:pPr>
              <w:jc w:val="center"/>
            </w:pPr>
            <w:r>
              <w:rPr>
                <w:color w:val="000000"/>
                <w:sz w:val="24"/>
                <w:szCs w:val="24"/>
              </w:rPr>
              <w:t>1.40%</w:t>
            </w:r>
          </w:p>
        </w:tc>
        <w:tc>
          <w:tcPr>
            <w:tcW w:w="898" w:type="dxa"/>
            <w:vAlign w:val="center"/>
          </w:tcPr>
          <w:p w:rsidR="00C26FED" w:rsidRDefault="002158CC">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26FED">
        <w:trPr>
          <w:jc w:val="center"/>
        </w:trPr>
        <w:tc>
          <w:tcPr>
            <w:tcW w:w="846" w:type="dxa"/>
            <w:vAlign w:val="center"/>
          </w:tcPr>
          <w:p w:rsidR="00C26FED" w:rsidRDefault="002158CC">
            <w:pPr>
              <w:jc w:val="center"/>
            </w:pPr>
            <w:r>
              <w:rPr>
                <w:color w:val="000000"/>
                <w:sz w:val="24"/>
                <w:szCs w:val="24"/>
              </w:rPr>
              <w:t>杨浩</w:t>
            </w:r>
          </w:p>
        </w:tc>
        <w:tc>
          <w:tcPr>
            <w:tcW w:w="845" w:type="dxa"/>
            <w:vAlign w:val="center"/>
          </w:tcPr>
          <w:p w:rsidR="00C26FED" w:rsidRDefault="002158CC">
            <w:pPr>
              <w:jc w:val="center"/>
            </w:pPr>
            <w:r>
              <w:rPr>
                <w:color w:val="000000"/>
                <w:sz w:val="24"/>
                <w:szCs w:val="24"/>
              </w:rPr>
              <w:t>交银定期支付双息平衡混合、交银新生活力灵活配置混合的基金经理</w:t>
            </w:r>
          </w:p>
        </w:tc>
        <w:tc>
          <w:tcPr>
            <w:tcW w:w="1549" w:type="dxa"/>
            <w:vAlign w:val="center"/>
          </w:tcPr>
          <w:p w:rsidR="00C26FED" w:rsidRDefault="002158CC">
            <w:pPr>
              <w:jc w:val="center"/>
            </w:pPr>
            <w:r>
              <w:rPr>
                <w:color w:val="000000"/>
                <w:sz w:val="24"/>
                <w:szCs w:val="24"/>
              </w:rPr>
              <w:t>2016-11-11</w:t>
            </w:r>
          </w:p>
        </w:tc>
        <w:tc>
          <w:tcPr>
            <w:tcW w:w="1548" w:type="dxa"/>
            <w:vAlign w:val="center"/>
          </w:tcPr>
          <w:p w:rsidR="00C26FED" w:rsidRDefault="002158CC">
            <w:pPr>
              <w:jc w:val="center"/>
            </w:pPr>
            <w:r>
              <w:rPr>
                <w:color w:val="000000"/>
                <w:sz w:val="24"/>
                <w:szCs w:val="24"/>
              </w:rPr>
              <w:t>-</w:t>
            </w:r>
          </w:p>
        </w:tc>
        <w:tc>
          <w:tcPr>
            <w:tcW w:w="1407" w:type="dxa"/>
            <w:vAlign w:val="center"/>
          </w:tcPr>
          <w:p w:rsidR="00C26FED" w:rsidRDefault="002158CC">
            <w:pPr>
              <w:jc w:val="center"/>
            </w:pPr>
            <w:r>
              <w:rPr>
                <w:color w:val="000000"/>
                <w:sz w:val="24"/>
                <w:szCs w:val="24"/>
              </w:rPr>
              <w:t>7</w:t>
            </w:r>
            <w:r>
              <w:rPr>
                <w:color w:val="000000"/>
                <w:sz w:val="24"/>
                <w:szCs w:val="24"/>
              </w:rPr>
              <w:t>年</w:t>
            </w:r>
          </w:p>
        </w:tc>
        <w:tc>
          <w:tcPr>
            <w:tcW w:w="2673" w:type="dxa"/>
            <w:vAlign w:val="center"/>
          </w:tcPr>
          <w:p w:rsidR="00C26FED" w:rsidRDefault="002158CC">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26FED" w:rsidRDefault="002158C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26FED" w:rsidRDefault="002158C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26FED" w:rsidRDefault="002158C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26FED" w:rsidRDefault="002158CC">
      <w:pPr>
        <w:spacing w:before="29" w:line="288" w:lineRule="auto"/>
        <w:ind w:firstLineChars="200" w:firstLine="480"/>
        <w:rPr>
          <w:color w:val="000000"/>
          <w:sz w:val="24"/>
          <w:szCs w:val="24"/>
        </w:rPr>
      </w:pPr>
      <w:r>
        <w:rPr>
          <w:color w:val="000000"/>
          <w:sz w:val="24"/>
          <w:szCs w:val="24"/>
        </w:rPr>
        <w:t>2017</w:t>
      </w:r>
      <w:r>
        <w:rPr>
          <w:color w:val="000000"/>
          <w:sz w:val="24"/>
          <w:szCs w:val="24"/>
        </w:rPr>
        <w:t>年一季度宏观方面维持中性偏紧的政策，美国加息，全球流动性边际紧缩。三四线城市地产成交超预期，整体房价继续上涨。</w:t>
      </w:r>
      <w:r>
        <w:rPr>
          <w:color w:val="000000"/>
          <w:sz w:val="24"/>
          <w:szCs w:val="24"/>
        </w:rPr>
        <w:t>A</w:t>
      </w:r>
      <w:r>
        <w:rPr>
          <w:color w:val="000000"/>
          <w:sz w:val="24"/>
          <w:szCs w:val="24"/>
        </w:rPr>
        <w:t>股市场</w:t>
      </w:r>
      <w:r>
        <w:rPr>
          <w:color w:val="000000"/>
          <w:sz w:val="24"/>
          <w:szCs w:val="24"/>
        </w:rPr>
        <w:t>2017</w:t>
      </w:r>
      <w:r>
        <w:rPr>
          <w:color w:val="000000"/>
          <w:sz w:val="24"/>
          <w:szCs w:val="24"/>
        </w:rPr>
        <w:t>年开年先跌后涨，分化明显，与地产基建相关联的周期性行业、避险低估值消费品行业涨幅靠前，而中小型公司基本面在此时期受制于各类创业成本的上升，收购并购重组审批难度加大，弯道超车的概率降低，表现较差。</w:t>
      </w:r>
    </w:p>
    <w:p w:rsidR="00C26FED" w:rsidRDefault="002158CC">
      <w:pPr>
        <w:spacing w:before="29" w:line="288" w:lineRule="auto"/>
        <w:ind w:firstLineChars="200" w:firstLine="480"/>
        <w:rPr>
          <w:color w:val="000000"/>
          <w:sz w:val="24"/>
          <w:szCs w:val="24"/>
        </w:rPr>
      </w:pPr>
      <w:r>
        <w:rPr>
          <w:color w:val="000000"/>
          <w:sz w:val="24"/>
          <w:szCs w:val="24"/>
        </w:rPr>
        <w:t>一季度本基金处于建仓期，目前位置上，我们认为周期性行业的库存周期见顶迹象明显，消费品中单纯的低估值修复空间已不大。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展望二季度，未来将围绕下述两个中长期成长方向，不断地甄选标的：（</w:t>
      </w:r>
      <w:r w:rsidRPr="00414345">
        <w:rPr>
          <w:color w:val="000000"/>
          <w:sz w:val="24"/>
          <w:szCs w:val="24"/>
        </w:rPr>
        <w:t>1</w:t>
      </w:r>
      <w:r w:rsidRPr="00414345">
        <w:rPr>
          <w:color w:val="000000"/>
          <w:sz w:val="24"/>
          <w:szCs w:val="24"/>
        </w:rPr>
        <w:t>）</w:t>
      </w:r>
      <w:r w:rsidRPr="00414345">
        <w:rPr>
          <w:color w:val="000000"/>
          <w:sz w:val="24"/>
          <w:szCs w:val="24"/>
        </w:rPr>
        <w:t>G2</w:t>
      </w:r>
      <w:r w:rsidRPr="00414345">
        <w:rPr>
          <w:color w:val="000000"/>
          <w:sz w:val="24"/>
          <w:szCs w:val="24"/>
        </w:rPr>
        <w:t>（中美两极）概念，我们观察到越来越多的中国高端科技服务与制造企业开始具有全球竞争力，在一带一路政策的带领下获得加速发展，同时又具备长期持续性。信息设备、机械设备仪表、</w:t>
      </w:r>
      <w:r w:rsidRPr="00414345">
        <w:rPr>
          <w:color w:val="000000"/>
          <w:sz w:val="24"/>
          <w:szCs w:val="24"/>
        </w:rPr>
        <w:t>3C</w:t>
      </w:r>
      <w:r w:rsidRPr="00414345">
        <w:rPr>
          <w:color w:val="000000"/>
          <w:sz w:val="24"/>
          <w:szCs w:val="24"/>
        </w:rPr>
        <w:t>电子与电动汽车、建筑工程等细分行业中不乏有投资机会。（</w:t>
      </w:r>
      <w:r w:rsidRPr="00414345">
        <w:rPr>
          <w:color w:val="000000"/>
          <w:sz w:val="24"/>
          <w:szCs w:val="24"/>
        </w:rPr>
        <w:t>2</w:t>
      </w:r>
      <w:r w:rsidRPr="00414345">
        <w:rPr>
          <w:color w:val="000000"/>
          <w:sz w:val="24"/>
          <w:szCs w:val="24"/>
        </w:rPr>
        <w:t>）消费升级，我们认为消费升级的含义在不断深化，除了延续去年至今的经济后周期拉动，我们往后更关注代际消费习惯、媒介变革新品牌构建、物流供应链变革、消费金融这些更深层次的变化对消费的增量影响，在食品饮料、酒店、服装、文化等细分行业中不断找寻出新的消费品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1.016</w:t>
      </w:r>
      <w:r w:rsidRPr="00414345">
        <w:rPr>
          <w:color w:val="000000"/>
          <w:sz w:val="24"/>
          <w:szCs w:val="24"/>
        </w:rPr>
        <w:t>元，本报告期份额净值增长率为</w:t>
      </w:r>
      <w:r w:rsidRPr="00414345">
        <w:rPr>
          <w:color w:val="000000"/>
          <w:sz w:val="24"/>
          <w:szCs w:val="24"/>
        </w:rPr>
        <w:t>3.99%</w:t>
      </w:r>
      <w:r w:rsidRPr="00414345">
        <w:rPr>
          <w:color w:val="000000"/>
          <w:sz w:val="24"/>
          <w:szCs w:val="24"/>
        </w:rPr>
        <w:t>，同期业绩比较基准增长率为</w:t>
      </w:r>
      <w:r w:rsidR="002158CC">
        <w:rPr>
          <w:color w:val="000000"/>
          <w:sz w:val="24"/>
          <w:szCs w:val="24"/>
        </w:rPr>
        <w:t>2.59</w:t>
      </w:r>
      <w:r w:rsidRPr="00414345">
        <w:rPr>
          <w:color w:val="000000"/>
          <w:sz w:val="24"/>
          <w:szCs w:val="24"/>
        </w:rPr>
        <w:t>%</w:t>
      </w:r>
      <w:r w:rsidRPr="00414345">
        <w:rPr>
          <w:color w:val="000000"/>
          <w:sz w:val="24"/>
          <w:szCs w:val="24"/>
        </w:rPr>
        <w:t>。</w:t>
      </w:r>
    </w:p>
    <w:p w:rsidR="00C6537E" w:rsidRPr="00414345" w:rsidRDefault="00C6537E" w:rsidP="00C15CAC">
      <w:pPr>
        <w:spacing w:before="29" w:line="288" w:lineRule="auto"/>
        <w:ind w:firstLineChars="200" w:firstLine="480"/>
        <w:rPr>
          <w:color w:val="000000"/>
          <w:sz w:val="24"/>
          <w:szCs w:val="24"/>
        </w:rPr>
      </w:pPr>
    </w:p>
    <w:p w:rsidR="00C6537E" w:rsidRPr="002070B4" w:rsidRDefault="00C6537E" w:rsidP="00C6537E">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6537E" w:rsidRDefault="00C6537E" w:rsidP="00C6537E">
      <w:pPr>
        <w:spacing w:before="29" w:line="288" w:lineRule="auto"/>
        <w:ind w:firstLineChars="200" w:firstLine="480"/>
        <w:rPr>
          <w:color w:val="000000"/>
          <w:sz w:val="24"/>
        </w:rPr>
      </w:pPr>
      <w:r w:rsidRPr="002070B4">
        <w:rPr>
          <w:color w:val="000000"/>
          <w:sz w:val="24"/>
        </w:rPr>
        <w:t>本基金本报告期内无需预警说明。</w:t>
      </w:r>
    </w:p>
    <w:p w:rsidR="009C5186" w:rsidRPr="00C6537E" w:rsidRDefault="009C5186" w:rsidP="00C6537E">
      <w:pPr>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336,223,830.55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336,223,830.55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40,103,601.50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10.54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4,248,135.88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380,575,567.93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4038"/>
        <w:gridCol w:w="2347"/>
        <w:gridCol w:w="1638"/>
      </w:tblGrid>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代码</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行业类别</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3C18DD">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sz w:val="24"/>
                <w:szCs w:val="24"/>
              </w:rPr>
            </w:pPr>
            <w:r w:rsidRPr="00414345">
              <w:rPr>
                <w:sz w:val="24"/>
                <w:szCs w:val="24"/>
              </w:rPr>
              <w:t>占基金资产净值比例（％）</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A</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农、林、牧、渔业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B</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采矿业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C</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制造业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244,643,219.00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65.53</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D</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电力、热力、燃气及水生产和供应业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E</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建筑业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212,404.44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0.06</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F</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批发和零售业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15,073,033.63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4.04</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G</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交通运输、仓储和邮政业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6,236,106.45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1.67</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H</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住宿和餐饮业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16,652,597.25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4.46</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5874AF" w:rsidRDefault="005874AF" w:rsidP="003C18DD">
            <w:pPr>
              <w:adjustRightInd w:val="0"/>
              <w:snapToGrid w:val="0"/>
              <w:spacing w:before="29" w:line="288" w:lineRule="auto"/>
              <w:jc w:val="center"/>
              <w:rPr>
                <w:color w:val="000000"/>
                <w:sz w:val="24"/>
                <w:szCs w:val="24"/>
              </w:rPr>
            </w:pPr>
            <w:r w:rsidRPr="005874AF">
              <w:rPr>
                <w:color w:val="000000"/>
                <w:sz w:val="24"/>
                <w:szCs w:val="24"/>
              </w:rPr>
              <w:t>I</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5874AF" w:rsidRDefault="005874AF" w:rsidP="00154529">
            <w:pPr>
              <w:adjustRightInd w:val="0"/>
              <w:snapToGrid w:val="0"/>
              <w:spacing w:before="29" w:line="288" w:lineRule="auto"/>
              <w:jc w:val="left"/>
              <w:rPr>
                <w:color w:val="000000"/>
                <w:sz w:val="24"/>
                <w:szCs w:val="24"/>
              </w:rPr>
            </w:pPr>
            <w:r w:rsidRPr="005874AF">
              <w:rPr>
                <w:color w:val="000000"/>
                <w:sz w:val="24"/>
                <w:szCs w:val="24"/>
              </w:rPr>
              <w:t>信息传输、软件和信息技术服务业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31,292,731.70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8.38</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J</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金融业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K</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房地产业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L</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M</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0.00</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N</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8,114,696.02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2.17</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O</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P</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教育</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Q</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10,153,097.48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2.72</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R</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3,829,014.42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1.03</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r w:rsidRPr="00414345">
              <w:rPr>
                <w:color w:val="000000"/>
                <w:sz w:val="24"/>
                <w:szCs w:val="24"/>
              </w:rPr>
              <w:t>S</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综合</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w:t>
            </w:r>
          </w:p>
        </w:tc>
      </w:tr>
      <w:tr w:rsidR="005874AF" w:rsidRPr="00414345" w:rsidTr="005874A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3C18DD">
            <w:pPr>
              <w:adjustRightInd w:val="0"/>
              <w:snapToGrid w:val="0"/>
              <w:spacing w:before="29" w:line="288" w:lineRule="auto"/>
              <w:jc w:val="center"/>
              <w:rPr>
                <w:color w:val="000000"/>
                <w:sz w:val="24"/>
                <w:szCs w:val="24"/>
              </w:rPr>
            </w:pP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left"/>
              <w:rPr>
                <w:color w:val="000000"/>
                <w:sz w:val="24"/>
                <w:szCs w:val="24"/>
              </w:rPr>
            </w:pPr>
            <w:r w:rsidRPr="00414345">
              <w:rPr>
                <w:color w:val="000000"/>
                <w:sz w:val="24"/>
                <w:szCs w:val="24"/>
              </w:rPr>
              <w:t>合计</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336,223,830.55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4AF" w:rsidRPr="00414345" w:rsidRDefault="005874AF" w:rsidP="00154529">
            <w:pPr>
              <w:adjustRightInd w:val="0"/>
              <w:snapToGrid w:val="0"/>
              <w:spacing w:before="29" w:line="288" w:lineRule="auto"/>
              <w:jc w:val="right"/>
              <w:rPr>
                <w:sz w:val="24"/>
                <w:szCs w:val="24"/>
              </w:rPr>
            </w:pPr>
            <w:r w:rsidRPr="00414345">
              <w:rPr>
                <w:sz w:val="24"/>
                <w:szCs w:val="24"/>
              </w:rPr>
              <w:t>90.06</w:t>
            </w:r>
          </w:p>
        </w:tc>
      </w:tr>
    </w:tbl>
    <w:p w:rsidR="00B00B08" w:rsidRDefault="00B00B08" w:rsidP="00C15CAC">
      <w:pPr>
        <w:autoSpaceDE w:val="0"/>
        <w:autoSpaceDN w:val="0"/>
        <w:adjustRightInd w:val="0"/>
        <w:spacing w:before="29" w:line="288" w:lineRule="auto"/>
        <w:jc w:val="left"/>
        <w:rPr>
          <w:b/>
          <w:bCs/>
          <w:color w:val="000000"/>
          <w:kern w:val="0"/>
          <w:sz w:val="24"/>
          <w:szCs w:val="24"/>
        </w:rPr>
      </w:pPr>
    </w:p>
    <w:p w:rsidR="00B00B08" w:rsidRPr="00154529" w:rsidRDefault="00B00B08" w:rsidP="00B00B08">
      <w:pPr>
        <w:jc w:val="left"/>
        <w:rPr>
          <w:rFonts w:asciiTheme="minorEastAsia" w:hAnsiTheme="minorEastAsia"/>
          <w:b/>
          <w:bCs/>
          <w:kern w:val="0"/>
          <w:sz w:val="24"/>
          <w:szCs w:val="24"/>
        </w:rPr>
      </w:pPr>
      <w:r w:rsidRPr="00154529">
        <w:rPr>
          <w:b/>
          <w:bCs/>
          <w:color w:val="000000"/>
          <w:kern w:val="0"/>
          <w:sz w:val="24"/>
          <w:szCs w:val="24"/>
        </w:rPr>
        <w:t>5.2.2</w:t>
      </w:r>
      <w:r>
        <w:rPr>
          <w:b/>
          <w:bCs/>
          <w:color w:val="000000"/>
          <w:kern w:val="0"/>
          <w:sz w:val="24"/>
          <w:szCs w:val="24"/>
        </w:rPr>
        <w:t xml:space="preserve"> </w:t>
      </w:r>
      <w:r w:rsidRPr="00154529">
        <w:rPr>
          <w:rFonts w:asciiTheme="minorEastAsia" w:hAnsiTheme="minorEastAsia"/>
          <w:b/>
          <w:bCs/>
          <w:kern w:val="0"/>
          <w:sz w:val="24"/>
          <w:szCs w:val="24"/>
        </w:rPr>
        <w:t>报告期末按行业分类的沪港通投资股票投资组合</w:t>
      </w:r>
    </w:p>
    <w:p w:rsidR="00B00B08" w:rsidRPr="00154529" w:rsidRDefault="00B00B08" w:rsidP="00B00B08">
      <w:pPr>
        <w:spacing w:before="29" w:line="360" w:lineRule="auto"/>
        <w:ind w:left="17"/>
        <w:rPr>
          <w:sz w:val="24"/>
          <w:szCs w:val="24"/>
        </w:rPr>
      </w:pPr>
      <w:r w:rsidRPr="00154529">
        <w:rPr>
          <w:rFonts w:hint="eastAsia"/>
          <w:sz w:val="24"/>
          <w:szCs w:val="24"/>
        </w:rPr>
        <w:t>本基金本报告期末未持有通过沪港通投资的股票。</w:t>
      </w:r>
    </w:p>
    <w:p w:rsidR="00B00B08" w:rsidRPr="00B00B08" w:rsidRDefault="00B00B08"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26FED">
        <w:trPr>
          <w:jc w:val="center"/>
        </w:trPr>
        <w:tc>
          <w:tcPr>
            <w:tcW w:w="855" w:type="dxa"/>
            <w:vAlign w:val="center"/>
          </w:tcPr>
          <w:p w:rsidR="00C26FED" w:rsidRDefault="002158CC">
            <w:pPr>
              <w:jc w:val="center"/>
            </w:pPr>
            <w:r>
              <w:rPr>
                <w:color w:val="000000"/>
                <w:sz w:val="24"/>
                <w:szCs w:val="24"/>
              </w:rPr>
              <w:t>1</w:t>
            </w:r>
          </w:p>
        </w:tc>
        <w:tc>
          <w:tcPr>
            <w:tcW w:w="1334" w:type="dxa"/>
            <w:vAlign w:val="center"/>
          </w:tcPr>
          <w:p w:rsidR="00C26FED" w:rsidRDefault="002158CC">
            <w:pPr>
              <w:jc w:val="center"/>
            </w:pPr>
            <w:r>
              <w:rPr>
                <w:color w:val="000000"/>
                <w:sz w:val="24"/>
                <w:szCs w:val="24"/>
              </w:rPr>
              <w:t>002583</w:t>
            </w:r>
          </w:p>
        </w:tc>
        <w:tc>
          <w:tcPr>
            <w:tcW w:w="1777" w:type="dxa"/>
            <w:vAlign w:val="center"/>
          </w:tcPr>
          <w:p w:rsidR="00C26FED" w:rsidRDefault="002158CC">
            <w:pPr>
              <w:jc w:val="center"/>
            </w:pPr>
            <w:r>
              <w:rPr>
                <w:color w:val="000000"/>
                <w:sz w:val="24"/>
                <w:szCs w:val="24"/>
              </w:rPr>
              <w:t>海能达</w:t>
            </w:r>
          </w:p>
        </w:tc>
        <w:tc>
          <w:tcPr>
            <w:tcW w:w="1334" w:type="dxa"/>
            <w:vAlign w:val="center"/>
          </w:tcPr>
          <w:p w:rsidR="00C26FED" w:rsidRDefault="002158CC">
            <w:pPr>
              <w:jc w:val="right"/>
            </w:pPr>
            <w:r>
              <w:rPr>
                <w:color w:val="000000"/>
                <w:sz w:val="24"/>
                <w:szCs w:val="24"/>
              </w:rPr>
              <w:t>2,218,705</w:t>
            </w:r>
          </w:p>
        </w:tc>
        <w:tc>
          <w:tcPr>
            <w:tcW w:w="1924" w:type="dxa"/>
            <w:vAlign w:val="center"/>
          </w:tcPr>
          <w:p w:rsidR="00C26FED" w:rsidRDefault="002158CC">
            <w:pPr>
              <w:jc w:val="right"/>
            </w:pPr>
            <w:r>
              <w:rPr>
                <w:color w:val="000000"/>
                <w:sz w:val="24"/>
                <w:szCs w:val="24"/>
              </w:rPr>
              <w:t>32,370,905.95</w:t>
            </w:r>
          </w:p>
        </w:tc>
        <w:tc>
          <w:tcPr>
            <w:tcW w:w="1644" w:type="dxa"/>
            <w:vAlign w:val="center"/>
          </w:tcPr>
          <w:p w:rsidR="00C26FED" w:rsidRDefault="002158CC">
            <w:pPr>
              <w:jc w:val="right"/>
            </w:pPr>
            <w:r>
              <w:rPr>
                <w:color w:val="000000"/>
                <w:sz w:val="24"/>
                <w:szCs w:val="24"/>
              </w:rPr>
              <w:t>8.67</w:t>
            </w:r>
          </w:p>
        </w:tc>
      </w:tr>
      <w:tr w:rsidR="00C26FED">
        <w:trPr>
          <w:jc w:val="center"/>
        </w:trPr>
        <w:tc>
          <w:tcPr>
            <w:tcW w:w="855" w:type="dxa"/>
            <w:vAlign w:val="center"/>
          </w:tcPr>
          <w:p w:rsidR="00C26FED" w:rsidRDefault="002158CC">
            <w:pPr>
              <w:jc w:val="center"/>
            </w:pPr>
            <w:r>
              <w:rPr>
                <w:color w:val="000000"/>
                <w:sz w:val="24"/>
                <w:szCs w:val="24"/>
              </w:rPr>
              <w:t>2</w:t>
            </w:r>
          </w:p>
        </w:tc>
        <w:tc>
          <w:tcPr>
            <w:tcW w:w="1334" w:type="dxa"/>
            <w:vAlign w:val="center"/>
          </w:tcPr>
          <w:p w:rsidR="00C26FED" w:rsidRDefault="002158CC">
            <w:pPr>
              <w:jc w:val="center"/>
            </w:pPr>
            <w:r>
              <w:rPr>
                <w:color w:val="000000"/>
                <w:sz w:val="24"/>
                <w:szCs w:val="24"/>
              </w:rPr>
              <w:t>002195</w:t>
            </w:r>
          </w:p>
        </w:tc>
        <w:tc>
          <w:tcPr>
            <w:tcW w:w="1777" w:type="dxa"/>
            <w:vAlign w:val="center"/>
          </w:tcPr>
          <w:p w:rsidR="00C26FED" w:rsidRDefault="002158CC">
            <w:pPr>
              <w:jc w:val="center"/>
            </w:pPr>
            <w:r>
              <w:rPr>
                <w:color w:val="000000"/>
                <w:sz w:val="24"/>
                <w:szCs w:val="24"/>
              </w:rPr>
              <w:t>二三四五</w:t>
            </w:r>
          </w:p>
        </w:tc>
        <w:tc>
          <w:tcPr>
            <w:tcW w:w="1334" w:type="dxa"/>
            <w:vAlign w:val="center"/>
          </w:tcPr>
          <w:p w:rsidR="00C26FED" w:rsidRDefault="002158CC">
            <w:pPr>
              <w:jc w:val="right"/>
            </w:pPr>
            <w:r>
              <w:rPr>
                <w:color w:val="000000"/>
                <w:sz w:val="24"/>
                <w:szCs w:val="24"/>
              </w:rPr>
              <w:t>2,695,475</w:t>
            </w:r>
          </w:p>
        </w:tc>
        <w:tc>
          <w:tcPr>
            <w:tcW w:w="1924" w:type="dxa"/>
            <w:vAlign w:val="center"/>
          </w:tcPr>
          <w:p w:rsidR="00C26FED" w:rsidRDefault="002158CC">
            <w:pPr>
              <w:jc w:val="right"/>
            </w:pPr>
            <w:r>
              <w:rPr>
                <w:color w:val="000000"/>
                <w:sz w:val="24"/>
                <w:szCs w:val="24"/>
              </w:rPr>
              <w:t>31,213,600.50</w:t>
            </w:r>
          </w:p>
        </w:tc>
        <w:tc>
          <w:tcPr>
            <w:tcW w:w="1644" w:type="dxa"/>
            <w:vAlign w:val="center"/>
          </w:tcPr>
          <w:p w:rsidR="00C26FED" w:rsidRDefault="002158CC">
            <w:pPr>
              <w:jc w:val="right"/>
            </w:pPr>
            <w:r>
              <w:rPr>
                <w:color w:val="000000"/>
                <w:sz w:val="24"/>
                <w:szCs w:val="24"/>
              </w:rPr>
              <w:t>8.36</w:t>
            </w:r>
          </w:p>
        </w:tc>
      </w:tr>
      <w:tr w:rsidR="00C26FED">
        <w:trPr>
          <w:jc w:val="center"/>
        </w:trPr>
        <w:tc>
          <w:tcPr>
            <w:tcW w:w="855" w:type="dxa"/>
            <w:vAlign w:val="center"/>
          </w:tcPr>
          <w:p w:rsidR="00C26FED" w:rsidRDefault="002158CC">
            <w:pPr>
              <w:jc w:val="center"/>
            </w:pPr>
            <w:r>
              <w:rPr>
                <w:color w:val="000000"/>
                <w:sz w:val="24"/>
                <w:szCs w:val="24"/>
              </w:rPr>
              <w:t>3</w:t>
            </w:r>
          </w:p>
        </w:tc>
        <w:tc>
          <w:tcPr>
            <w:tcW w:w="1334" w:type="dxa"/>
            <w:vAlign w:val="center"/>
          </w:tcPr>
          <w:p w:rsidR="00C26FED" w:rsidRDefault="002158CC">
            <w:pPr>
              <w:jc w:val="center"/>
            </w:pPr>
            <w:r>
              <w:rPr>
                <w:color w:val="000000"/>
                <w:sz w:val="24"/>
                <w:szCs w:val="24"/>
              </w:rPr>
              <w:t>300308</w:t>
            </w:r>
          </w:p>
        </w:tc>
        <w:tc>
          <w:tcPr>
            <w:tcW w:w="1777" w:type="dxa"/>
            <w:vAlign w:val="center"/>
          </w:tcPr>
          <w:p w:rsidR="00C26FED" w:rsidRDefault="002158CC">
            <w:pPr>
              <w:jc w:val="center"/>
            </w:pPr>
            <w:r>
              <w:rPr>
                <w:color w:val="000000"/>
                <w:sz w:val="24"/>
                <w:szCs w:val="24"/>
              </w:rPr>
              <w:t>中际装备</w:t>
            </w:r>
          </w:p>
        </w:tc>
        <w:tc>
          <w:tcPr>
            <w:tcW w:w="1334" w:type="dxa"/>
            <w:vAlign w:val="center"/>
          </w:tcPr>
          <w:p w:rsidR="00C26FED" w:rsidRDefault="002158CC">
            <w:pPr>
              <w:jc w:val="right"/>
            </w:pPr>
            <w:r>
              <w:rPr>
                <w:color w:val="000000"/>
                <w:sz w:val="24"/>
                <w:szCs w:val="24"/>
              </w:rPr>
              <w:t>809,822</w:t>
            </w:r>
          </w:p>
        </w:tc>
        <w:tc>
          <w:tcPr>
            <w:tcW w:w="1924" w:type="dxa"/>
            <w:vAlign w:val="center"/>
          </w:tcPr>
          <w:p w:rsidR="00C26FED" w:rsidRDefault="002158CC">
            <w:pPr>
              <w:jc w:val="right"/>
            </w:pPr>
            <w:r>
              <w:rPr>
                <w:color w:val="000000"/>
                <w:sz w:val="24"/>
                <w:szCs w:val="24"/>
              </w:rPr>
              <w:t>27,776,894.60</w:t>
            </w:r>
          </w:p>
        </w:tc>
        <w:tc>
          <w:tcPr>
            <w:tcW w:w="1644" w:type="dxa"/>
            <w:vAlign w:val="center"/>
          </w:tcPr>
          <w:p w:rsidR="00C26FED" w:rsidRDefault="002158CC">
            <w:pPr>
              <w:jc w:val="right"/>
            </w:pPr>
            <w:r>
              <w:rPr>
                <w:color w:val="000000"/>
                <w:sz w:val="24"/>
                <w:szCs w:val="24"/>
              </w:rPr>
              <w:t>7.44</w:t>
            </w:r>
          </w:p>
        </w:tc>
      </w:tr>
      <w:tr w:rsidR="00C26FED">
        <w:trPr>
          <w:jc w:val="center"/>
        </w:trPr>
        <w:tc>
          <w:tcPr>
            <w:tcW w:w="855" w:type="dxa"/>
            <w:vAlign w:val="center"/>
          </w:tcPr>
          <w:p w:rsidR="00C26FED" w:rsidRDefault="002158CC">
            <w:pPr>
              <w:jc w:val="center"/>
            </w:pPr>
            <w:r>
              <w:rPr>
                <w:color w:val="000000"/>
                <w:sz w:val="24"/>
                <w:szCs w:val="24"/>
              </w:rPr>
              <w:t>4</w:t>
            </w:r>
          </w:p>
        </w:tc>
        <w:tc>
          <w:tcPr>
            <w:tcW w:w="1334" w:type="dxa"/>
            <w:vAlign w:val="center"/>
          </w:tcPr>
          <w:p w:rsidR="00C26FED" w:rsidRDefault="002158CC">
            <w:pPr>
              <w:jc w:val="center"/>
            </w:pPr>
            <w:r>
              <w:rPr>
                <w:color w:val="000000"/>
                <w:sz w:val="24"/>
                <w:szCs w:val="24"/>
              </w:rPr>
              <w:t>600967</w:t>
            </w:r>
          </w:p>
        </w:tc>
        <w:tc>
          <w:tcPr>
            <w:tcW w:w="1777" w:type="dxa"/>
            <w:vAlign w:val="center"/>
          </w:tcPr>
          <w:p w:rsidR="00C26FED" w:rsidRDefault="002158CC">
            <w:pPr>
              <w:jc w:val="center"/>
            </w:pPr>
            <w:r>
              <w:rPr>
                <w:color w:val="000000"/>
                <w:sz w:val="24"/>
                <w:szCs w:val="24"/>
              </w:rPr>
              <w:t>北方创业</w:t>
            </w:r>
          </w:p>
        </w:tc>
        <w:tc>
          <w:tcPr>
            <w:tcW w:w="1334" w:type="dxa"/>
            <w:vAlign w:val="center"/>
          </w:tcPr>
          <w:p w:rsidR="00C26FED" w:rsidRDefault="002158CC">
            <w:pPr>
              <w:jc w:val="right"/>
            </w:pPr>
            <w:r>
              <w:rPr>
                <w:color w:val="000000"/>
                <w:sz w:val="24"/>
                <w:szCs w:val="24"/>
              </w:rPr>
              <w:t>1,557,500</w:t>
            </w:r>
          </w:p>
        </w:tc>
        <w:tc>
          <w:tcPr>
            <w:tcW w:w="1924" w:type="dxa"/>
            <w:vAlign w:val="center"/>
          </w:tcPr>
          <w:p w:rsidR="00C26FED" w:rsidRDefault="002158CC">
            <w:pPr>
              <w:jc w:val="right"/>
            </w:pPr>
            <w:r>
              <w:rPr>
                <w:color w:val="000000"/>
                <w:sz w:val="24"/>
                <w:szCs w:val="24"/>
              </w:rPr>
              <w:t>23,564,975.00</w:t>
            </w:r>
          </w:p>
        </w:tc>
        <w:tc>
          <w:tcPr>
            <w:tcW w:w="1644" w:type="dxa"/>
            <w:vAlign w:val="center"/>
          </w:tcPr>
          <w:p w:rsidR="00C26FED" w:rsidRDefault="002158CC">
            <w:pPr>
              <w:jc w:val="right"/>
            </w:pPr>
            <w:r>
              <w:rPr>
                <w:color w:val="000000"/>
                <w:sz w:val="24"/>
                <w:szCs w:val="24"/>
              </w:rPr>
              <w:t>6.31</w:t>
            </w:r>
          </w:p>
        </w:tc>
      </w:tr>
      <w:tr w:rsidR="00C26FED">
        <w:trPr>
          <w:jc w:val="center"/>
        </w:trPr>
        <w:tc>
          <w:tcPr>
            <w:tcW w:w="855" w:type="dxa"/>
            <w:vAlign w:val="center"/>
          </w:tcPr>
          <w:p w:rsidR="00C26FED" w:rsidRDefault="002158CC">
            <w:pPr>
              <w:jc w:val="center"/>
            </w:pPr>
            <w:r>
              <w:rPr>
                <w:color w:val="000000"/>
                <w:sz w:val="24"/>
                <w:szCs w:val="24"/>
              </w:rPr>
              <w:t>5</w:t>
            </w:r>
          </w:p>
        </w:tc>
        <w:tc>
          <w:tcPr>
            <w:tcW w:w="1334" w:type="dxa"/>
            <w:vAlign w:val="center"/>
          </w:tcPr>
          <w:p w:rsidR="00C26FED" w:rsidRDefault="002158CC">
            <w:pPr>
              <w:jc w:val="center"/>
            </w:pPr>
            <w:r>
              <w:rPr>
                <w:color w:val="000000"/>
                <w:sz w:val="24"/>
                <w:szCs w:val="24"/>
              </w:rPr>
              <w:t>300161</w:t>
            </w:r>
          </w:p>
        </w:tc>
        <w:tc>
          <w:tcPr>
            <w:tcW w:w="1777" w:type="dxa"/>
            <w:vAlign w:val="center"/>
          </w:tcPr>
          <w:p w:rsidR="00C26FED" w:rsidRDefault="002158CC">
            <w:pPr>
              <w:jc w:val="center"/>
            </w:pPr>
            <w:r>
              <w:rPr>
                <w:color w:val="000000"/>
                <w:sz w:val="24"/>
                <w:szCs w:val="24"/>
              </w:rPr>
              <w:t>华中数控</w:t>
            </w:r>
          </w:p>
        </w:tc>
        <w:tc>
          <w:tcPr>
            <w:tcW w:w="1334" w:type="dxa"/>
            <w:vAlign w:val="center"/>
          </w:tcPr>
          <w:p w:rsidR="00C26FED" w:rsidRDefault="002158CC">
            <w:pPr>
              <w:jc w:val="right"/>
            </w:pPr>
            <w:r>
              <w:rPr>
                <w:color w:val="000000"/>
                <w:sz w:val="24"/>
                <w:szCs w:val="24"/>
              </w:rPr>
              <w:t>846,800</w:t>
            </w:r>
          </w:p>
        </w:tc>
        <w:tc>
          <w:tcPr>
            <w:tcW w:w="1924" w:type="dxa"/>
            <w:vAlign w:val="center"/>
          </w:tcPr>
          <w:p w:rsidR="00C26FED" w:rsidRDefault="002158CC">
            <w:pPr>
              <w:jc w:val="right"/>
            </w:pPr>
            <w:r>
              <w:rPr>
                <w:color w:val="000000"/>
                <w:sz w:val="24"/>
                <w:szCs w:val="24"/>
              </w:rPr>
              <w:t>21,051,448.00</w:t>
            </w:r>
          </w:p>
        </w:tc>
        <w:tc>
          <w:tcPr>
            <w:tcW w:w="1644" w:type="dxa"/>
            <w:vAlign w:val="center"/>
          </w:tcPr>
          <w:p w:rsidR="00C26FED" w:rsidRDefault="002158CC">
            <w:pPr>
              <w:jc w:val="right"/>
            </w:pPr>
            <w:r>
              <w:rPr>
                <w:color w:val="000000"/>
                <w:sz w:val="24"/>
                <w:szCs w:val="24"/>
              </w:rPr>
              <w:t>5.64</w:t>
            </w:r>
          </w:p>
        </w:tc>
      </w:tr>
      <w:tr w:rsidR="00C26FED">
        <w:trPr>
          <w:jc w:val="center"/>
        </w:trPr>
        <w:tc>
          <w:tcPr>
            <w:tcW w:w="855" w:type="dxa"/>
            <w:vAlign w:val="center"/>
          </w:tcPr>
          <w:p w:rsidR="00C26FED" w:rsidRDefault="002158CC">
            <w:pPr>
              <w:jc w:val="center"/>
            </w:pPr>
            <w:r>
              <w:rPr>
                <w:color w:val="000000"/>
                <w:sz w:val="24"/>
                <w:szCs w:val="24"/>
              </w:rPr>
              <w:t>6</w:t>
            </w:r>
          </w:p>
        </w:tc>
        <w:tc>
          <w:tcPr>
            <w:tcW w:w="1334" w:type="dxa"/>
            <w:vAlign w:val="center"/>
          </w:tcPr>
          <w:p w:rsidR="00C26FED" w:rsidRDefault="002158CC">
            <w:pPr>
              <w:jc w:val="center"/>
            </w:pPr>
            <w:r>
              <w:rPr>
                <w:color w:val="000000"/>
                <w:sz w:val="24"/>
                <w:szCs w:val="24"/>
              </w:rPr>
              <w:t>300129</w:t>
            </w:r>
          </w:p>
        </w:tc>
        <w:tc>
          <w:tcPr>
            <w:tcW w:w="1777" w:type="dxa"/>
            <w:vAlign w:val="center"/>
          </w:tcPr>
          <w:p w:rsidR="00C26FED" w:rsidRDefault="002158CC">
            <w:pPr>
              <w:jc w:val="center"/>
            </w:pPr>
            <w:r>
              <w:rPr>
                <w:color w:val="000000"/>
                <w:sz w:val="24"/>
                <w:szCs w:val="24"/>
              </w:rPr>
              <w:t>泰胜风能</w:t>
            </w:r>
          </w:p>
        </w:tc>
        <w:tc>
          <w:tcPr>
            <w:tcW w:w="1334" w:type="dxa"/>
            <w:vAlign w:val="center"/>
          </w:tcPr>
          <w:p w:rsidR="00C26FED" w:rsidRDefault="002158CC">
            <w:pPr>
              <w:jc w:val="right"/>
            </w:pPr>
            <w:r>
              <w:rPr>
                <w:color w:val="000000"/>
                <w:sz w:val="24"/>
                <w:szCs w:val="24"/>
              </w:rPr>
              <w:t>2,497,129</w:t>
            </w:r>
          </w:p>
        </w:tc>
        <w:tc>
          <w:tcPr>
            <w:tcW w:w="1924" w:type="dxa"/>
            <w:vAlign w:val="center"/>
          </w:tcPr>
          <w:p w:rsidR="00C26FED" w:rsidRDefault="002158CC">
            <w:pPr>
              <w:jc w:val="right"/>
            </w:pPr>
            <w:r>
              <w:rPr>
                <w:color w:val="000000"/>
                <w:sz w:val="24"/>
                <w:szCs w:val="24"/>
              </w:rPr>
              <w:t>20,576,342.96</w:t>
            </w:r>
          </w:p>
        </w:tc>
        <w:tc>
          <w:tcPr>
            <w:tcW w:w="1644" w:type="dxa"/>
            <w:vAlign w:val="center"/>
          </w:tcPr>
          <w:p w:rsidR="00C26FED" w:rsidRDefault="002158CC">
            <w:pPr>
              <w:jc w:val="right"/>
            </w:pPr>
            <w:r>
              <w:rPr>
                <w:color w:val="000000"/>
                <w:sz w:val="24"/>
                <w:szCs w:val="24"/>
              </w:rPr>
              <w:t>5.51</w:t>
            </w:r>
          </w:p>
        </w:tc>
      </w:tr>
      <w:tr w:rsidR="00C26FED">
        <w:trPr>
          <w:jc w:val="center"/>
        </w:trPr>
        <w:tc>
          <w:tcPr>
            <w:tcW w:w="855" w:type="dxa"/>
            <w:vAlign w:val="center"/>
          </w:tcPr>
          <w:p w:rsidR="00C26FED" w:rsidRDefault="002158CC">
            <w:pPr>
              <w:jc w:val="center"/>
            </w:pPr>
            <w:r>
              <w:rPr>
                <w:color w:val="000000"/>
                <w:sz w:val="24"/>
                <w:szCs w:val="24"/>
              </w:rPr>
              <w:t>7</w:t>
            </w:r>
          </w:p>
        </w:tc>
        <w:tc>
          <w:tcPr>
            <w:tcW w:w="1334" w:type="dxa"/>
            <w:vAlign w:val="center"/>
          </w:tcPr>
          <w:p w:rsidR="00C26FED" w:rsidRDefault="002158CC">
            <w:pPr>
              <w:jc w:val="center"/>
            </w:pPr>
            <w:r>
              <w:rPr>
                <w:color w:val="000000"/>
                <w:sz w:val="24"/>
                <w:szCs w:val="24"/>
              </w:rPr>
              <w:t>600703</w:t>
            </w:r>
          </w:p>
        </w:tc>
        <w:tc>
          <w:tcPr>
            <w:tcW w:w="1777" w:type="dxa"/>
            <w:vAlign w:val="center"/>
          </w:tcPr>
          <w:p w:rsidR="00C26FED" w:rsidRDefault="002158CC">
            <w:pPr>
              <w:jc w:val="center"/>
            </w:pPr>
            <w:r>
              <w:rPr>
                <w:color w:val="000000"/>
                <w:sz w:val="24"/>
                <w:szCs w:val="24"/>
              </w:rPr>
              <w:t>三安光电</w:t>
            </w:r>
          </w:p>
        </w:tc>
        <w:tc>
          <w:tcPr>
            <w:tcW w:w="1334" w:type="dxa"/>
            <w:vAlign w:val="center"/>
          </w:tcPr>
          <w:p w:rsidR="00C26FED" w:rsidRDefault="002158CC">
            <w:pPr>
              <w:jc w:val="right"/>
            </w:pPr>
            <w:r>
              <w:rPr>
                <w:color w:val="000000"/>
                <w:sz w:val="24"/>
                <w:szCs w:val="24"/>
              </w:rPr>
              <w:t>1,234,022</w:t>
            </w:r>
          </w:p>
        </w:tc>
        <w:tc>
          <w:tcPr>
            <w:tcW w:w="1924" w:type="dxa"/>
            <w:vAlign w:val="center"/>
          </w:tcPr>
          <w:p w:rsidR="00C26FED" w:rsidRDefault="002158CC">
            <w:pPr>
              <w:jc w:val="right"/>
            </w:pPr>
            <w:r>
              <w:rPr>
                <w:color w:val="000000"/>
                <w:sz w:val="24"/>
                <w:szCs w:val="24"/>
              </w:rPr>
              <w:t>19,732,011.78</w:t>
            </w:r>
          </w:p>
        </w:tc>
        <w:tc>
          <w:tcPr>
            <w:tcW w:w="1644" w:type="dxa"/>
            <w:vAlign w:val="center"/>
          </w:tcPr>
          <w:p w:rsidR="00C26FED" w:rsidRDefault="002158CC">
            <w:pPr>
              <w:jc w:val="right"/>
            </w:pPr>
            <w:r>
              <w:rPr>
                <w:color w:val="000000"/>
                <w:sz w:val="24"/>
                <w:szCs w:val="24"/>
              </w:rPr>
              <w:t>5.29</w:t>
            </w:r>
          </w:p>
        </w:tc>
      </w:tr>
      <w:tr w:rsidR="00C26FED">
        <w:trPr>
          <w:jc w:val="center"/>
        </w:trPr>
        <w:tc>
          <w:tcPr>
            <w:tcW w:w="855" w:type="dxa"/>
            <w:vAlign w:val="center"/>
          </w:tcPr>
          <w:p w:rsidR="00C26FED" w:rsidRDefault="002158CC">
            <w:pPr>
              <w:jc w:val="center"/>
            </w:pPr>
            <w:r>
              <w:rPr>
                <w:color w:val="000000"/>
                <w:sz w:val="24"/>
                <w:szCs w:val="24"/>
              </w:rPr>
              <w:t>8</w:t>
            </w:r>
          </w:p>
        </w:tc>
        <w:tc>
          <w:tcPr>
            <w:tcW w:w="1334" w:type="dxa"/>
            <w:vAlign w:val="center"/>
          </w:tcPr>
          <w:p w:rsidR="00C26FED" w:rsidRDefault="002158CC">
            <w:pPr>
              <w:jc w:val="center"/>
            </w:pPr>
            <w:r>
              <w:rPr>
                <w:color w:val="000000"/>
                <w:sz w:val="24"/>
                <w:szCs w:val="24"/>
              </w:rPr>
              <w:t>603808</w:t>
            </w:r>
          </w:p>
        </w:tc>
        <w:tc>
          <w:tcPr>
            <w:tcW w:w="1777" w:type="dxa"/>
            <w:vAlign w:val="center"/>
          </w:tcPr>
          <w:p w:rsidR="00C26FED" w:rsidRDefault="002158CC">
            <w:pPr>
              <w:jc w:val="center"/>
            </w:pPr>
            <w:r>
              <w:rPr>
                <w:color w:val="000000"/>
                <w:sz w:val="24"/>
                <w:szCs w:val="24"/>
              </w:rPr>
              <w:t>歌力思</w:t>
            </w:r>
          </w:p>
        </w:tc>
        <w:tc>
          <w:tcPr>
            <w:tcW w:w="1334" w:type="dxa"/>
            <w:vAlign w:val="center"/>
          </w:tcPr>
          <w:p w:rsidR="00C26FED" w:rsidRDefault="002158CC">
            <w:pPr>
              <w:jc w:val="right"/>
            </w:pPr>
            <w:r>
              <w:rPr>
                <w:color w:val="000000"/>
                <w:sz w:val="24"/>
                <w:szCs w:val="24"/>
              </w:rPr>
              <w:t>617,974</w:t>
            </w:r>
          </w:p>
        </w:tc>
        <w:tc>
          <w:tcPr>
            <w:tcW w:w="1924" w:type="dxa"/>
            <w:vAlign w:val="center"/>
          </w:tcPr>
          <w:p w:rsidR="00C26FED" w:rsidRDefault="002158CC">
            <w:pPr>
              <w:jc w:val="right"/>
            </w:pPr>
            <w:r>
              <w:rPr>
                <w:color w:val="000000"/>
                <w:sz w:val="24"/>
                <w:szCs w:val="24"/>
              </w:rPr>
              <w:t>19,577,416.32</w:t>
            </w:r>
          </w:p>
        </w:tc>
        <w:tc>
          <w:tcPr>
            <w:tcW w:w="1644" w:type="dxa"/>
            <w:vAlign w:val="center"/>
          </w:tcPr>
          <w:p w:rsidR="00C26FED" w:rsidRDefault="002158CC">
            <w:pPr>
              <w:jc w:val="right"/>
            </w:pPr>
            <w:r>
              <w:rPr>
                <w:color w:val="000000"/>
                <w:sz w:val="24"/>
                <w:szCs w:val="24"/>
              </w:rPr>
              <w:t>5.24</w:t>
            </w:r>
          </w:p>
        </w:tc>
      </w:tr>
      <w:tr w:rsidR="00C26FED">
        <w:trPr>
          <w:jc w:val="center"/>
        </w:trPr>
        <w:tc>
          <w:tcPr>
            <w:tcW w:w="855" w:type="dxa"/>
            <w:vAlign w:val="center"/>
          </w:tcPr>
          <w:p w:rsidR="00C26FED" w:rsidRDefault="002158CC">
            <w:pPr>
              <w:jc w:val="center"/>
            </w:pPr>
            <w:r>
              <w:rPr>
                <w:color w:val="000000"/>
                <w:sz w:val="24"/>
                <w:szCs w:val="24"/>
              </w:rPr>
              <w:t>9</w:t>
            </w:r>
          </w:p>
        </w:tc>
        <w:tc>
          <w:tcPr>
            <w:tcW w:w="1334" w:type="dxa"/>
            <w:vAlign w:val="center"/>
          </w:tcPr>
          <w:p w:rsidR="00C26FED" w:rsidRDefault="002158CC">
            <w:pPr>
              <w:jc w:val="center"/>
            </w:pPr>
            <w:r>
              <w:rPr>
                <w:color w:val="000000"/>
                <w:sz w:val="24"/>
                <w:szCs w:val="24"/>
              </w:rPr>
              <w:t>600258</w:t>
            </w:r>
          </w:p>
        </w:tc>
        <w:tc>
          <w:tcPr>
            <w:tcW w:w="1777" w:type="dxa"/>
            <w:vAlign w:val="center"/>
          </w:tcPr>
          <w:p w:rsidR="00C26FED" w:rsidRDefault="002158CC">
            <w:pPr>
              <w:jc w:val="center"/>
            </w:pPr>
            <w:r>
              <w:rPr>
                <w:color w:val="000000"/>
                <w:sz w:val="24"/>
                <w:szCs w:val="24"/>
              </w:rPr>
              <w:t>首旅酒店</w:t>
            </w:r>
          </w:p>
        </w:tc>
        <w:tc>
          <w:tcPr>
            <w:tcW w:w="1334" w:type="dxa"/>
            <w:vAlign w:val="center"/>
          </w:tcPr>
          <w:p w:rsidR="00C26FED" w:rsidRDefault="002158CC">
            <w:pPr>
              <w:jc w:val="right"/>
            </w:pPr>
            <w:r>
              <w:rPr>
                <w:color w:val="000000"/>
                <w:sz w:val="24"/>
                <w:szCs w:val="24"/>
              </w:rPr>
              <w:t>622,527</w:t>
            </w:r>
          </w:p>
        </w:tc>
        <w:tc>
          <w:tcPr>
            <w:tcW w:w="1924" w:type="dxa"/>
            <w:vAlign w:val="center"/>
          </w:tcPr>
          <w:p w:rsidR="00C26FED" w:rsidRDefault="002158CC">
            <w:pPr>
              <w:jc w:val="right"/>
            </w:pPr>
            <w:r>
              <w:rPr>
                <w:color w:val="000000"/>
                <w:sz w:val="24"/>
                <w:szCs w:val="24"/>
              </w:rPr>
              <w:t>16,652,597.25</w:t>
            </w:r>
          </w:p>
        </w:tc>
        <w:tc>
          <w:tcPr>
            <w:tcW w:w="1644" w:type="dxa"/>
            <w:vAlign w:val="center"/>
          </w:tcPr>
          <w:p w:rsidR="00C26FED" w:rsidRDefault="002158CC">
            <w:pPr>
              <w:jc w:val="right"/>
            </w:pPr>
            <w:r>
              <w:rPr>
                <w:color w:val="000000"/>
                <w:sz w:val="24"/>
                <w:szCs w:val="24"/>
              </w:rPr>
              <w:t>4.46</w:t>
            </w:r>
          </w:p>
        </w:tc>
      </w:tr>
      <w:tr w:rsidR="00C26FED">
        <w:trPr>
          <w:jc w:val="center"/>
        </w:trPr>
        <w:tc>
          <w:tcPr>
            <w:tcW w:w="855" w:type="dxa"/>
            <w:vAlign w:val="center"/>
          </w:tcPr>
          <w:p w:rsidR="00C26FED" w:rsidRDefault="002158CC">
            <w:pPr>
              <w:jc w:val="center"/>
            </w:pPr>
            <w:r>
              <w:rPr>
                <w:color w:val="000000"/>
                <w:sz w:val="24"/>
                <w:szCs w:val="24"/>
              </w:rPr>
              <w:t>10</w:t>
            </w:r>
          </w:p>
        </w:tc>
        <w:tc>
          <w:tcPr>
            <w:tcW w:w="1334" w:type="dxa"/>
            <w:vAlign w:val="center"/>
          </w:tcPr>
          <w:p w:rsidR="00C26FED" w:rsidRDefault="002158CC">
            <w:pPr>
              <w:jc w:val="center"/>
            </w:pPr>
            <w:r>
              <w:rPr>
                <w:color w:val="000000"/>
                <w:sz w:val="24"/>
                <w:szCs w:val="24"/>
              </w:rPr>
              <w:t>002202</w:t>
            </w:r>
          </w:p>
        </w:tc>
        <w:tc>
          <w:tcPr>
            <w:tcW w:w="1777" w:type="dxa"/>
            <w:vAlign w:val="center"/>
          </w:tcPr>
          <w:p w:rsidR="00C26FED" w:rsidRDefault="002158CC">
            <w:pPr>
              <w:jc w:val="center"/>
            </w:pPr>
            <w:r>
              <w:rPr>
                <w:color w:val="000000"/>
                <w:sz w:val="24"/>
                <w:szCs w:val="24"/>
              </w:rPr>
              <w:t>金风科技</w:t>
            </w:r>
          </w:p>
        </w:tc>
        <w:tc>
          <w:tcPr>
            <w:tcW w:w="1334" w:type="dxa"/>
            <w:vAlign w:val="center"/>
          </w:tcPr>
          <w:p w:rsidR="00C26FED" w:rsidRDefault="002158CC">
            <w:pPr>
              <w:jc w:val="right"/>
            </w:pPr>
            <w:r>
              <w:rPr>
                <w:color w:val="000000"/>
                <w:sz w:val="24"/>
                <w:szCs w:val="24"/>
              </w:rPr>
              <w:t>772,407</w:t>
            </w:r>
          </w:p>
        </w:tc>
        <w:tc>
          <w:tcPr>
            <w:tcW w:w="1924" w:type="dxa"/>
            <w:vAlign w:val="center"/>
          </w:tcPr>
          <w:p w:rsidR="00C26FED" w:rsidRDefault="002158CC">
            <w:pPr>
              <w:jc w:val="right"/>
            </w:pPr>
            <w:r>
              <w:rPr>
                <w:color w:val="000000"/>
                <w:sz w:val="24"/>
                <w:szCs w:val="24"/>
              </w:rPr>
              <w:t>12,404,856.42</w:t>
            </w:r>
          </w:p>
        </w:tc>
        <w:tc>
          <w:tcPr>
            <w:tcW w:w="1644" w:type="dxa"/>
            <w:vAlign w:val="center"/>
          </w:tcPr>
          <w:p w:rsidR="00C26FED" w:rsidRDefault="002158CC">
            <w:pPr>
              <w:jc w:val="right"/>
            </w:pPr>
            <w:r>
              <w:rPr>
                <w:color w:val="000000"/>
                <w:sz w:val="24"/>
                <w:szCs w:val="24"/>
              </w:rPr>
              <w:t>3.32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B00B08" w:rsidRPr="00154529" w:rsidRDefault="00B00B08" w:rsidP="00154529">
      <w:pPr>
        <w:autoSpaceDE w:val="0"/>
        <w:autoSpaceDN w:val="0"/>
        <w:adjustRightInd w:val="0"/>
        <w:spacing w:before="29" w:line="288" w:lineRule="auto"/>
        <w:jc w:val="left"/>
        <w:rPr>
          <w:color w:val="000000"/>
          <w:sz w:val="24"/>
          <w:szCs w:val="24"/>
        </w:rPr>
      </w:pPr>
      <w:r w:rsidRPr="00154529">
        <w:rPr>
          <w:rFonts w:hint="eastAsia"/>
          <w:color w:val="000000"/>
          <w:sz w:val="24"/>
          <w:szCs w:val="24"/>
        </w:rPr>
        <w:t>本基金本报告期末未持有贵金属。</w:t>
      </w:r>
    </w:p>
    <w:p w:rsidR="00B00B08" w:rsidRPr="00B00B08" w:rsidRDefault="00B00B08"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425,762.54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3,746,187.20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10,313.71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65,872.43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4,248,135.88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Default="002918E3" w:rsidP="00C15CAC">
      <w:pPr>
        <w:autoSpaceDE w:val="0"/>
        <w:autoSpaceDN w:val="0"/>
        <w:adjustRightInd w:val="0"/>
        <w:spacing w:before="29" w:line="288" w:lineRule="auto"/>
        <w:rPr>
          <w:color w:val="000000"/>
          <w:sz w:val="24"/>
          <w:szCs w:val="24"/>
        </w:rPr>
      </w:pPr>
    </w:p>
    <w:p w:rsidR="009A25A7" w:rsidRPr="00414345" w:rsidRDefault="009A25A7" w:rsidP="009A25A7">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xml:space="preserve">5.11.6 </w:t>
      </w:r>
      <w:r w:rsidRPr="00414345">
        <w:rPr>
          <w:bCs/>
          <w:color w:val="000000"/>
          <w:kern w:val="0"/>
          <w:sz w:val="24"/>
          <w:szCs w:val="24"/>
        </w:rPr>
        <w:t>投资组合报告附注的其他文字描述部分</w:t>
      </w:r>
    </w:p>
    <w:p w:rsidR="009A25A7" w:rsidRPr="00414345" w:rsidRDefault="009A25A7" w:rsidP="009A25A7">
      <w:pPr>
        <w:spacing w:before="29" w:line="288" w:lineRule="auto"/>
        <w:rPr>
          <w:color w:val="000000"/>
          <w:sz w:val="24"/>
          <w:szCs w:val="24"/>
        </w:rPr>
      </w:pPr>
      <w:r w:rsidRPr="00414345">
        <w:rPr>
          <w:color w:val="000000"/>
          <w:sz w:val="24"/>
          <w:szCs w:val="24"/>
        </w:rPr>
        <w:t>由于四舍五入的原因，分项之和与合计项之间可能存在尾差。</w:t>
      </w:r>
    </w:p>
    <w:p w:rsidR="009A25A7" w:rsidRPr="009A25A7" w:rsidRDefault="009A25A7" w:rsidP="00C15CAC">
      <w:pPr>
        <w:autoSpaceDE w:val="0"/>
        <w:autoSpaceDN w:val="0"/>
        <w:adjustRightInd w:val="0"/>
        <w:spacing w:before="29" w:line="288" w:lineRule="auto"/>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B00B08">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552,731,243.87</w:t>
            </w:r>
          </w:p>
        </w:tc>
      </w:tr>
      <w:tr w:rsidR="004061AC" w:rsidRPr="00414345" w:rsidTr="00B00B08">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2,200,932.75</w:t>
            </w:r>
          </w:p>
        </w:tc>
      </w:tr>
      <w:tr w:rsidR="004061AC" w:rsidRPr="00414345" w:rsidTr="00B00B08">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187,438,067.73</w:t>
            </w:r>
          </w:p>
        </w:tc>
      </w:tr>
      <w:tr w:rsidR="004061AC" w:rsidRPr="00414345" w:rsidTr="00B00B08">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B00B08">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367,494,108.89</w:t>
            </w:r>
          </w:p>
        </w:tc>
      </w:tr>
    </w:tbl>
    <w:p w:rsidR="00B00B08" w:rsidRPr="00154529" w:rsidRDefault="00B00B08" w:rsidP="00B00B08">
      <w:pPr>
        <w:spacing w:before="29" w:line="288" w:lineRule="auto"/>
        <w:rPr>
          <w:color w:val="000000"/>
          <w:sz w:val="24"/>
          <w:szCs w:val="24"/>
        </w:rPr>
      </w:pPr>
      <w:r w:rsidRPr="00154529">
        <w:rPr>
          <w:rFonts w:hint="eastAsia"/>
          <w:color w:val="000000"/>
          <w:sz w:val="24"/>
          <w:szCs w:val="24"/>
        </w:rPr>
        <w:t>注：</w:t>
      </w:r>
      <w:r w:rsidRPr="00154529">
        <w:rPr>
          <w:color w:val="000000"/>
          <w:sz w:val="24"/>
          <w:szCs w:val="24"/>
        </w:rPr>
        <w:t>1</w:t>
      </w:r>
      <w:r w:rsidRPr="00154529">
        <w:rPr>
          <w:rFonts w:hint="eastAsia"/>
          <w:color w:val="000000"/>
          <w:sz w:val="24"/>
          <w:szCs w:val="24"/>
        </w:rPr>
        <w:t>、如果本报告期间发生转换入、红利再投业务，则总申购份额中包含该业务；</w:t>
      </w:r>
      <w:r w:rsidRPr="00154529">
        <w:rPr>
          <w:color w:val="000000"/>
          <w:sz w:val="24"/>
          <w:szCs w:val="24"/>
        </w:rPr>
        <w:t xml:space="preserve">     </w:t>
      </w:r>
    </w:p>
    <w:p w:rsidR="00B00B08" w:rsidRPr="00154529" w:rsidRDefault="00B00B08" w:rsidP="00B00B08">
      <w:pPr>
        <w:spacing w:before="29" w:line="288" w:lineRule="auto"/>
        <w:ind w:firstLineChars="200" w:firstLine="480"/>
        <w:rPr>
          <w:color w:val="000000"/>
          <w:sz w:val="24"/>
          <w:szCs w:val="24"/>
        </w:rPr>
      </w:pPr>
      <w:r w:rsidRPr="00154529">
        <w:rPr>
          <w:color w:val="000000"/>
          <w:sz w:val="24"/>
          <w:szCs w:val="24"/>
        </w:rPr>
        <w:t>2</w:t>
      </w:r>
      <w:r w:rsidRPr="00154529">
        <w:rPr>
          <w:rFonts w:hint="eastAsia"/>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0F47C6" w:rsidRPr="00154529" w:rsidRDefault="000F47C6" w:rsidP="00154529">
      <w:pPr>
        <w:pStyle w:val="1"/>
        <w:spacing w:beforeLines="100" w:before="312" w:afterLines="100" w:after="312" w:line="288" w:lineRule="auto"/>
        <w:jc w:val="center"/>
        <w:rPr>
          <w:color w:val="000000"/>
          <w:kern w:val="0"/>
          <w:sz w:val="24"/>
          <w:szCs w:val="24"/>
        </w:rPr>
      </w:pPr>
      <w:r w:rsidRPr="00414345">
        <w:rPr>
          <w:color w:val="000000"/>
          <w:kern w:val="0"/>
          <w:sz w:val="24"/>
          <w:szCs w:val="24"/>
        </w:rPr>
        <w:t>§7</w:t>
      </w:r>
      <w:r>
        <w:rPr>
          <w:color w:val="000000"/>
          <w:kern w:val="0"/>
          <w:sz w:val="24"/>
          <w:szCs w:val="24"/>
        </w:rPr>
        <w:t xml:space="preserve"> </w:t>
      </w:r>
      <w:r w:rsidRPr="00154529">
        <w:rPr>
          <w:rFonts w:hint="eastAsia"/>
          <w:color w:val="000000"/>
          <w:kern w:val="0"/>
          <w:sz w:val="24"/>
          <w:szCs w:val="24"/>
        </w:rPr>
        <w:t>基金管理人运用固有资金投资本基金情况</w:t>
      </w:r>
    </w:p>
    <w:p w:rsidR="000F47C6" w:rsidRPr="00154529" w:rsidRDefault="000F47C6" w:rsidP="000F47C6">
      <w:pPr>
        <w:autoSpaceDE w:val="0"/>
        <w:autoSpaceDN w:val="0"/>
        <w:adjustRightInd w:val="0"/>
        <w:spacing w:before="29" w:line="288" w:lineRule="auto"/>
        <w:jc w:val="left"/>
        <w:rPr>
          <w:b/>
          <w:bCs/>
          <w:color w:val="000000"/>
          <w:kern w:val="0"/>
          <w:sz w:val="24"/>
          <w:szCs w:val="24"/>
        </w:rPr>
      </w:pPr>
      <w:r w:rsidRPr="00154529">
        <w:rPr>
          <w:b/>
          <w:bCs/>
          <w:color w:val="000000"/>
          <w:kern w:val="0"/>
          <w:sz w:val="24"/>
          <w:szCs w:val="24"/>
        </w:rPr>
        <w:t xml:space="preserve">7.1 </w:t>
      </w:r>
      <w:r w:rsidRPr="00154529">
        <w:rPr>
          <w:rFonts w:hint="eastAsia"/>
          <w:b/>
          <w:bCs/>
          <w:color w:val="000000"/>
          <w:kern w:val="0"/>
          <w:sz w:val="24"/>
          <w:szCs w:val="24"/>
        </w:rPr>
        <w:t>基金管理人持有本基金份额变动情况</w:t>
      </w:r>
    </w:p>
    <w:p w:rsidR="000F47C6" w:rsidRPr="000F47C6" w:rsidRDefault="000F47C6" w:rsidP="000F47C6">
      <w:pPr>
        <w:autoSpaceDE w:val="0"/>
        <w:autoSpaceDN w:val="0"/>
        <w:adjustRightInd w:val="0"/>
        <w:spacing w:before="29" w:line="288" w:lineRule="auto"/>
        <w:jc w:val="left"/>
        <w:rPr>
          <w:color w:val="000000"/>
          <w:sz w:val="24"/>
          <w:szCs w:val="24"/>
        </w:rPr>
      </w:pPr>
      <w:r w:rsidRPr="000F47C6">
        <w:rPr>
          <w:rFonts w:hint="eastAsia"/>
          <w:color w:val="000000"/>
          <w:sz w:val="24"/>
          <w:szCs w:val="24"/>
        </w:rPr>
        <w:t>本报告期内未发生基金管理人运用固有资金投资本基金的情况。</w:t>
      </w:r>
    </w:p>
    <w:p w:rsidR="000F47C6" w:rsidRPr="000F47C6" w:rsidRDefault="000F47C6" w:rsidP="000F47C6">
      <w:pPr>
        <w:autoSpaceDE w:val="0"/>
        <w:autoSpaceDN w:val="0"/>
        <w:adjustRightInd w:val="0"/>
        <w:spacing w:before="29" w:line="288" w:lineRule="auto"/>
        <w:jc w:val="left"/>
        <w:rPr>
          <w:color w:val="000000"/>
          <w:sz w:val="24"/>
          <w:szCs w:val="24"/>
        </w:rPr>
      </w:pPr>
    </w:p>
    <w:p w:rsidR="000F47C6" w:rsidRPr="00154529" w:rsidRDefault="000F47C6" w:rsidP="000F47C6">
      <w:pPr>
        <w:autoSpaceDE w:val="0"/>
        <w:autoSpaceDN w:val="0"/>
        <w:adjustRightInd w:val="0"/>
        <w:spacing w:before="29" w:line="288" w:lineRule="auto"/>
        <w:jc w:val="left"/>
        <w:rPr>
          <w:b/>
          <w:bCs/>
          <w:color w:val="000000"/>
          <w:kern w:val="0"/>
          <w:sz w:val="24"/>
          <w:szCs w:val="24"/>
        </w:rPr>
      </w:pPr>
      <w:r w:rsidRPr="00154529">
        <w:rPr>
          <w:b/>
          <w:bCs/>
          <w:color w:val="000000"/>
          <w:kern w:val="0"/>
          <w:sz w:val="24"/>
          <w:szCs w:val="24"/>
        </w:rPr>
        <w:t xml:space="preserve">7.2 </w:t>
      </w:r>
      <w:r w:rsidRPr="00154529">
        <w:rPr>
          <w:rFonts w:hint="eastAsia"/>
          <w:b/>
          <w:bCs/>
          <w:color w:val="000000"/>
          <w:kern w:val="0"/>
          <w:sz w:val="24"/>
          <w:szCs w:val="24"/>
        </w:rPr>
        <w:t>基金管理人运用固有资金投资本基金交易明细</w:t>
      </w:r>
    </w:p>
    <w:p w:rsidR="000F47C6" w:rsidRDefault="000F47C6" w:rsidP="000F47C6">
      <w:pPr>
        <w:autoSpaceDE w:val="0"/>
        <w:autoSpaceDN w:val="0"/>
        <w:adjustRightInd w:val="0"/>
        <w:spacing w:before="29" w:line="288" w:lineRule="auto"/>
        <w:jc w:val="left"/>
        <w:rPr>
          <w:color w:val="000000"/>
          <w:sz w:val="24"/>
          <w:szCs w:val="24"/>
        </w:rPr>
      </w:pPr>
      <w:r w:rsidRPr="000F47C6">
        <w:rPr>
          <w:rFonts w:hint="eastAsia"/>
          <w:color w:val="000000"/>
          <w:sz w:val="24"/>
          <w:szCs w:val="24"/>
        </w:rPr>
        <w:t>本基金管理人本报告期内未进行本基金的申购、赎回、红利再投等。</w:t>
      </w:r>
    </w:p>
    <w:p w:rsidR="000F47C6" w:rsidRPr="000F47C6" w:rsidRDefault="000F47C6" w:rsidP="000F47C6">
      <w:pPr>
        <w:autoSpaceDE w:val="0"/>
        <w:autoSpaceDN w:val="0"/>
        <w:adjustRightInd w:val="0"/>
        <w:spacing w:before="29" w:line="288" w:lineRule="auto"/>
        <w:jc w:val="left"/>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0F47C6">
        <w:rPr>
          <w:color w:val="000000"/>
          <w:kern w:val="0"/>
          <w:sz w:val="24"/>
          <w:szCs w:val="24"/>
        </w:rPr>
        <w:t>8</w:t>
      </w:r>
      <w:r w:rsidR="000F47C6" w:rsidRPr="00414345">
        <w:rPr>
          <w:color w:val="000000"/>
          <w:kern w:val="0"/>
          <w:sz w:val="24"/>
          <w:szCs w:val="24"/>
        </w:rPr>
        <w:t xml:space="preserve"> </w:t>
      </w:r>
      <w:r w:rsidRPr="00414345">
        <w:rPr>
          <w:color w:val="000000"/>
          <w:kern w:val="0"/>
          <w:sz w:val="24"/>
          <w:szCs w:val="24"/>
        </w:rPr>
        <w:t>备查文件目录</w:t>
      </w:r>
    </w:p>
    <w:p w:rsidR="004061AC" w:rsidRPr="00414345" w:rsidRDefault="000F47C6"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26FED" w:rsidRDefault="002158C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0F47C6"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0F47C6"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26FED" w:rsidRDefault="002158C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C26FED" w:rsidRDefault="002158CC">
      <w:pPr>
        <w:spacing w:before="29" w:line="288" w:lineRule="auto"/>
        <w:ind w:firstLineChars="200" w:firstLine="480"/>
        <w:rPr>
          <w:color w:val="000000"/>
          <w:sz w:val="24"/>
          <w:szCs w:val="24"/>
        </w:rPr>
      </w:pPr>
      <w:r>
        <w:rPr>
          <w:color w:val="000000"/>
          <w:sz w:val="24"/>
          <w:szCs w:val="24"/>
        </w:rPr>
        <w:t>投资者对本报告书如有疑问，可咨询本基金管理人交银施罗德基金管理有限公司。本公司客户服务中心电话：</w:t>
      </w:r>
      <w:r>
        <w:rPr>
          <w:color w:val="000000"/>
          <w:sz w:val="24"/>
          <w:szCs w:val="24"/>
        </w:rPr>
        <w:t>400-700-5000</w:t>
      </w:r>
      <w:r>
        <w:rPr>
          <w:color w:val="000000"/>
          <w:sz w:val="24"/>
          <w:szCs w:val="24"/>
        </w:rPr>
        <w:t>（免长途话费），</w:t>
      </w:r>
      <w:r>
        <w:rPr>
          <w:color w:val="000000"/>
          <w:sz w:val="24"/>
          <w:szCs w:val="24"/>
        </w:rPr>
        <w:t>021-61055000</w:t>
      </w:r>
      <w:r>
        <w:rPr>
          <w:color w:val="000000"/>
          <w:sz w:val="24"/>
          <w:szCs w:val="24"/>
        </w:rPr>
        <w:t>，电子邮件：</w:t>
      </w:r>
      <w:r>
        <w:rPr>
          <w:color w:val="000000"/>
          <w:sz w:val="24"/>
          <w:szCs w:val="24"/>
        </w:rPr>
        <w:t>services@jysld.com</w:t>
      </w:r>
      <w:r>
        <w:rPr>
          <w:color w:val="000000"/>
          <w:sz w:val="24"/>
          <w:szCs w:val="24"/>
        </w:rPr>
        <w:t>。</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66" w:rsidRDefault="002A4466" w:rsidP="00876D65">
      <w:r>
        <w:separator/>
      </w:r>
    </w:p>
  </w:endnote>
  <w:endnote w:type="continuationSeparator" w:id="0">
    <w:p w:rsidR="002A4466" w:rsidRDefault="002A446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FC7449">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FC7449">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66" w:rsidRDefault="002A4466" w:rsidP="00876D65">
      <w:r>
        <w:separator/>
      </w:r>
    </w:p>
  </w:footnote>
  <w:footnote w:type="continuationSeparator" w:id="0">
    <w:p w:rsidR="002A4466" w:rsidRDefault="002A446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47C6"/>
    <w:rsid w:val="000F6CC8"/>
    <w:rsid w:val="00111261"/>
    <w:rsid w:val="00133015"/>
    <w:rsid w:val="00137452"/>
    <w:rsid w:val="00137B31"/>
    <w:rsid w:val="00144F93"/>
    <w:rsid w:val="00147376"/>
    <w:rsid w:val="0015450B"/>
    <w:rsid w:val="00154529"/>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58CC"/>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3C71"/>
    <w:rsid w:val="00285DB3"/>
    <w:rsid w:val="00285F38"/>
    <w:rsid w:val="00286BEF"/>
    <w:rsid w:val="00286FA2"/>
    <w:rsid w:val="002902E9"/>
    <w:rsid w:val="002918E3"/>
    <w:rsid w:val="00295CD0"/>
    <w:rsid w:val="002973A9"/>
    <w:rsid w:val="002A4466"/>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23B"/>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3904"/>
    <w:rsid w:val="00536432"/>
    <w:rsid w:val="005401DB"/>
    <w:rsid w:val="00540818"/>
    <w:rsid w:val="00542434"/>
    <w:rsid w:val="00542470"/>
    <w:rsid w:val="00542546"/>
    <w:rsid w:val="005454FB"/>
    <w:rsid w:val="005510E7"/>
    <w:rsid w:val="005608EF"/>
    <w:rsid w:val="005659E4"/>
    <w:rsid w:val="00570842"/>
    <w:rsid w:val="00572784"/>
    <w:rsid w:val="00572D9F"/>
    <w:rsid w:val="00573097"/>
    <w:rsid w:val="005761EE"/>
    <w:rsid w:val="00582D99"/>
    <w:rsid w:val="00585263"/>
    <w:rsid w:val="005866D3"/>
    <w:rsid w:val="005874AF"/>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1E84"/>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4449"/>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058D"/>
    <w:rsid w:val="009550BE"/>
    <w:rsid w:val="00955531"/>
    <w:rsid w:val="00955BE8"/>
    <w:rsid w:val="00957594"/>
    <w:rsid w:val="00963F40"/>
    <w:rsid w:val="009730B8"/>
    <w:rsid w:val="009734BB"/>
    <w:rsid w:val="0097424F"/>
    <w:rsid w:val="0098122D"/>
    <w:rsid w:val="00986596"/>
    <w:rsid w:val="00990685"/>
    <w:rsid w:val="009A0ABE"/>
    <w:rsid w:val="009A25A7"/>
    <w:rsid w:val="009A4E5D"/>
    <w:rsid w:val="009B2D4B"/>
    <w:rsid w:val="009C5186"/>
    <w:rsid w:val="009C60F7"/>
    <w:rsid w:val="009D0952"/>
    <w:rsid w:val="009E19A9"/>
    <w:rsid w:val="009E31DA"/>
    <w:rsid w:val="009E402C"/>
    <w:rsid w:val="009E7C6A"/>
    <w:rsid w:val="009F3659"/>
    <w:rsid w:val="009F4861"/>
    <w:rsid w:val="009F61BE"/>
    <w:rsid w:val="009F7ED4"/>
    <w:rsid w:val="00A02CE6"/>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AF634B"/>
    <w:rsid w:val="00B00B08"/>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6FED"/>
    <w:rsid w:val="00C451A3"/>
    <w:rsid w:val="00C46B88"/>
    <w:rsid w:val="00C47163"/>
    <w:rsid w:val="00C5218C"/>
    <w:rsid w:val="00C52191"/>
    <w:rsid w:val="00C53472"/>
    <w:rsid w:val="00C53D1B"/>
    <w:rsid w:val="00C5642F"/>
    <w:rsid w:val="00C6002A"/>
    <w:rsid w:val="00C6209F"/>
    <w:rsid w:val="00C629B1"/>
    <w:rsid w:val="00C63554"/>
    <w:rsid w:val="00C6537E"/>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B6A2D"/>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449"/>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A02CE6"/>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3901">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955453334">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9301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E489-26D8-459B-8003-993C17F0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11</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576</cp:revision>
  <dcterms:created xsi:type="dcterms:W3CDTF">2012-10-16T06:07:00Z</dcterms:created>
  <dcterms:modified xsi:type="dcterms:W3CDTF">2017-04-21T07:08:00Z</dcterms:modified>
</cp:coreProperties>
</file>