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交银施罗德沪港深价值精选灵活配置混合型证券投资基金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C13CD" w:rsidRDefault="00DE3AE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C13CD" w:rsidRDefault="00DE3AE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C13CD" w:rsidRDefault="00DE3AE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C13CD" w:rsidRDefault="00DE3AE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C13CD" w:rsidRDefault="00DE3AE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172,461,994.25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恒生指数收益率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2C13CD" w:rsidRDefault="00DE3AE5">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w:t>
            </w:r>
            <w:r>
              <w:rPr>
                <w:color w:val="000000"/>
                <w:kern w:val="0"/>
                <w:sz w:val="24"/>
                <w:szCs w:val="24"/>
              </w:rPr>
              <w:lastRenderedPageBreak/>
              <w:t>券型基金和货币市场基金，低于股票型基金。属于承担较高风险、预期收益较高的证券投资基金品种。</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本基金可投资港股通标的股票，需承担汇率风险以及境外市场的风险。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D100C" w:rsidRPr="00414345" w:rsidTr="008D100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D100C" w:rsidRPr="00414345" w:rsidTr="008D100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4,949,338.57</w:t>
            </w:r>
          </w:p>
        </w:tc>
      </w:tr>
      <w:tr w:rsidR="008D100C" w:rsidRPr="00414345" w:rsidTr="008D100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16,452,306.43</w:t>
            </w:r>
          </w:p>
        </w:tc>
      </w:tr>
      <w:tr w:rsidR="008D100C" w:rsidRPr="00414345" w:rsidTr="008D100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0.0748</w:t>
            </w:r>
          </w:p>
        </w:tc>
      </w:tr>
      <w:tr w:rsidR="008D100C" w:rsidRPr="00414345" w:rsidTr="008D100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183,077,639.70</w:t>
            </w:r>
          </w:p>
        </w:tc>
      </w:tr>
      <w:tr w:rsidR="008D100C" w:rsidRPr="00414345" w:rsidTr="008D100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1.062</w:t>
            </w:r>
          </w:p>
        </w:tc>
      </w:tr>
    </w:tbl>
    <w:p w:rsidR="002C13CD" w:rsidRDefault="00DE3AE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C13CD">
        <w:trPr>
          <w:jc w:val="center"/>
        </w:trPr>
        <w:tc>
          <w:tcPr>
            <w:tcW w:w="1701" w:type="dxa"/>
            <w:vAlign w:val="center"/>
          </w:tcPr>
          <w:p w:rsidR="002C13CD" w:rsidRDefault="00DE3AE5">
            <w:pPr>
              <w:jc w:val="left"/>
            </w:pPr>
            <w:r>
              <w:rPr>
                <w:color w:val="000000"/>
                <w:sz w:val="24"/>
                <w:szCs w:val="24"/>
              </w:rPr>
              <w:t>过去三个月</w:t>
            </w:r>
          </w:p>
        </w:tc>
        <w:tc>
          <w:tcPr>
            <w:tcW w:w="1045" w:type="dxa"/>
            <w:vAlign w:val="center"/>
          </w:tcPr>
          <w:p w:rsidR="002C13CD" w:rsidRDefault="00DE3AE5">
            <w:pPr>
              <w:jc w:val="center"/>
            </w:pPr>
            <w:r>
              <w:rPr>
                <w:color w:val="000000"/>
                <w:sz w:val="24"/>
                <w:szCs w:val="24"/>
              </w:rPr>
              <w:t>7.16%</w:t>
            </w:r>
          </w:p>
        </w:tc>
        <w:tc>
          <w:tcPr>
            <w:tcW w:w="1344" w:type="dxa"/>
            <w:vAlign w:val="center"/>
          </w:tcPr>
          <w:p w:rsidR="002C13CD" w:rsidRDefault="00DE3AE5">
            <w:pPr>
              <w:jc w:val="center"/>
            </w:pPr>
            <w:r>
              <w:rPr>
                <w:color w:val="000000"/>
                <w:sz w:val="24"/>
                <w:szCs w:val="24"/>
              </w:rPr>
              <w:t>0.55%</w:t>
            </w:r>
          </w:p>
        </w:tc>
        <w:tc>
          <w:tcPr>
            <w:tcW w:w="1194" w:type="dxa"/>
            <w:vAlign w:val="center"/>
          </w:tcPr>
          <w:p w:rsidR="002C13CD" w:rsidRDefault="00DE3AE5">
            <w:pPr>
              <w:jc w:val="center"/>
            </w:pPr>
            <w:r>
              <w:rPr>
                <w:color w:val="000000"/>
                <w:sz w:val="24"/>
                <w:szCs w:val="24"/>
              </w:rPr>
              <w:t>5.55%</w:t>
            </w:r>
          </w:p>
        </w:tc>
        <w:tc>
          <w:tcPr>
            <w:tcW w:w="1492" w:type="dxa"/>
            <w:vAlign w:val="center"/>
          </w:tcPr>
          <w:p w:rsidR="002C13CD" w:rsidRDefault="00DE3AE5">
            <w:pPr>
              <w:jc w:val="center"/>
            </w:pPr>
            <w:r>
              <w:rPr>
                <w:color w:val="000000"/>
                <w:sz w:val="24"/>
                <w:szCs w:val="24"/>
              </w:rPr>
              <w:t>0.39%</w:t>
            </w:r>
          </w:p>
        </w:tc>
        <w:tc>
          <w:tcPr>
            <w:tcW w:w="1194" w:type="dxa"/>
            <w:vAlign w:val="center"/>
          </w:tcPr>
          <w:p w:rsidR="002C13CD" w:rsidRDefault="00DE3AE5">
            <w:pPr>
              <w:jc w:val="center"/>
            </w:pPr>
            <w:r>
              <w:rPr>
                <w:color w:val="000000"/>
                <w:sz w:val="24"/>
                <w:szCs w:val="24"/>
              </w:rPr>
              <w:t>1.61%</w:t>
            </w:r>
          </w:p>
        </w:tc>
        <w:tc>
          <w:tcPr>
            <w:tcW w:w="898" w:type="dxa"/>
            <w:vAlign w:val="center"/>
          </w:tcPr>
          <w:p w:rsidR="002C13CD" w:rsidRDefault="00DE3AE5">
            <w:pPr>
              <w:jc w:val="center"/>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交银施罗德沪港深价值精选灵活配置混合型证券投资基金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7</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C13CD">
        <w:trPr>
          <w:jc w:val="center"/>
        </w:trPr>
        <w:tc>
          <w:tcPr>
            <w:tcW w:w="846" w:type="dxa"/>
            <w:vAlign w:val="center"/>
          </w:tcPr>
          <w:p w:rsidR="002C13CD" w:rsidRDefault="00DE3AE5">
            <w:pPr>
              <w:jc w:val="center"/>
            </w:pPr>
            <w:r>
              <w:rPr>
                <w:color w:val="000000"/>
                <w:sz w:val="24"/>
                <w:szCs w:val="24"/>
              </w:rPr>
              <w:t>陈俊华</w:t>
            </w:r>
          </w:p>
        </w:tc>
        <w:tc>
          <w:tcPr>
            <w:tcW w:w="845" w:type="dxa"/>
            <w:vAlign w:val="center"/>
          </w:tcPr>
          <w:p w:rsidR="002C13CD" w:rsidRDefault="00DE3AE5">
            <w:pPr>
              <w:jc w:val="center"/>
            </w:pPr>
            <w:r>
              <w:rPr>
                <w:color w:val="000000"/>
                <w:sz w:val="24"/>
                <w:szCs w:val="24"/>
              </w:rPr>
              <w:t>交银环球精选混合</w:t>
            </w:r>
            <w:r>
              <w:rPr>
                <w:color w:val="000000"/>
                <w:sz w:val="24"/>
                <w:szCs w:val="24"/>
              </w:rPr>
              <w:t>(QDII)</w:t>
            </w:r>
            <w:r>
              <w:rPr>
                <w:color w:val="000000"/>
                <w:sz w:val="24"/>
                <w:szCs w:val="24"/>
              </w:rPr>
              <w:t>、交银全球资源混合</w:t>
            </w:r>
            <w:r>
              <w:rPr>
                <w:color w:val="000000"/>
                <w:sz w:val="24"/>
                <w:szCs w:val="24"/>
              </w:rPr>
              <w:t>(QDII)</w:t>
            </w:r>
            <w:r>
              <w:rPr>
                <w:color w:val="000000"/>
                <w:sz w:val="24"/>
                <w:szCs w:val="24"/>
              </w:rPr>
              <w:t>、交银沪港深价值精选混合的基金经理</w:t>
            </w:r>
          </w:p>
        </w:tc>
        <w:tc>
          <w:tcPr>
            <w:tcW w:w="1549" w:type="dxa"/>
            <w:vAlign w:val="center"/>
          </w:tcPr>
          <w:p w:rsidR="002C13CD" w:rsidRDefault="00DE3AE5">
            <w:pPr>
              <w:jc w:val="center"/>
            </w:pPr>
            <w:r>
              <w:rPr>
                <w:color w:val="000000"/>
                <w:sz w:val="24"/>
                <w:szCs w:val="24"/>
              </w:rPr>
              <w:t>2016-11-07</w:t>
            </w:r>
          </w:p>
        </w:tc>
        <w:tc>
          <w:tcPr>
            <w:tcW w:w="1548" w:type="dxa"/>
            <w:vAlign w:val="center"/>
          </w:tcPr>
          <w:p w:rsidR="002C13CD" w:rsidRDefault="00DE3AE5">
            <w:pPr>
              <w:jc w:val="center"/>
            </w:pPr>
            <w:r>
              <w:rPr>
                <w:color w:val="000000"/>
                <w:sz w:val="24"/>
                <w:szCs w:val="24"/>
              </w:rPr>
              <w:t>-</w:t>
            </w:r>
          </w:p>
        </w:tc>
        <w:tc>
          <w:tcPr>
            <w:tcW w:w="1407" w:type="dxa"/>
            <w:vAlign w:val="center"/>
          </w:tcPr>
          <w:p w:rsidR="002C13CD" w:rsidRDefault="00DE3AE5" w:rsidP="00F569AD">
            <w:pPr>
              <w:jc w:val="center"/>
            </w:pPr>
            <w:r>
              <w:rPr>
                <w:color w:val="000000"/>
                <w:sz w:val="24"/>
                <w:szCs w:val="24"/>
              </w:rPr>
              <w:t>1</w:t>
            </w:r>
            <w:r w:rsidR="00F569AD">
              <w:rPr>
                <w:color w:val="000000"/>
                <w:sz w:val="24"/>
                <w:szCs w:val="24"/>
              </w:rPr>
              <w:t>2</w:t>
            </w:r>
            <w:r>
              <w:rPr>
                <w:color w:val="000000"/>
                <w:sz w:val="24"/>
                <w:szCs w:val="24"/>
              </w:rPr>
              <w:t>年</w:t>
            </w:r>
          </w:p>
        </w:tc>
        <w:tc>
          <w:tcPr>
            <w:tcW w:w="2673" w:type="dxa"/>
            <w:vAlign w:val="center"/>
          </w:tcPr>
          <w:p w:rsidR="002C13CD" w:rsidRDefault="00DE3AE5">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C13CD" w:rsidRDefault="00DE3AE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C13CD" w:rsidRDefault="00DE3AE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C13CD" w:rsidRDefault="00DE3AE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C13CD" w:rsidRDefault="00DE3AE5">
      <w:pPr>
        <w:spacing w:before="29" w:line="288" w:lineRule="auto"/>
        <w:ind w:firstLineChars="200" w:firstLine="480"/>
        <w:rPr>
          <w:color w:val="000000"/>
          <w:sz w:val="24"/>
          <w:szCs w:val="24"/>
        </w:rPr>
      </w:pPr>
      <w:r>
        <w:rPr>
          <w:color w:val="000000"/>
          <w:sz w:val="24"/>
          <w:szCs w:val="24"/>
        </w:rPr>
        <w:t>2017</w:t>
      </w:r>
      <w:r>
        <w:rPr>
          <w:color w:val="000000"/>
          <w:sz w:val="24"/>
          <w:szCs w:val="24"/>
        </w:rPr>
        <w:t>年一季度，国内和香港市场都表现出一定的涨幅：国内热点不断；而香港市场当季涨幅达到两位数，在全球范围内都相当亮眼，该表现一方面获益于沪港通、深港通带来的南下资金的推动，另一方面，伴随人民币贬值预期放缓，海外资金流出减少，甚至部分回流。投资风格方面，国内总体风格更加偏好行业龙头和低估值蓝筹，香港方面，则在资源板块以及</w:t>
      </w:r>
      <w:r>
        <w:rPr>
          <w:color w:val="000000"/>
          <w:sz w:val="24"/>
          <w:szCs w:val="24"/>
        </w:rPr>
        <w:t>A</w:t>
      </w:r>
      <w:r>
        <w:rPr>
          <w:color w:val="000000"/>
          <w:sz w:val="24"/>
          <w:szCs w:val="24"/>
        </w:rPr>
        <w:t>、</w:t>
      </w:r>
      <w:r>
        <w:rPr>
          <w:color w:val="000000"/>
          <w:sz w:val="24"/>
          <w:szCs w:val="24"/>
        </w:rPr>
        <w:t>H</w:t>
      </w:r>
      <w:r>
        <w:rPr>
          <w:color w:val="000000"/>
          <w:sz w:val="24"/>
          <w:szCs w:val="24"/>
        </w:rPr>
        <w:t>折价较多的板块表现更为亮眼。一季度本基金净值跑赢业绩比较基准，我们认为主要源自选股策略与市场风格较为匹配。</w:t>
      </w:r>
    </w:p>
    <w:p w:rsidR="002C13CD" w:rsidRDefault="00DE3AE5">
      <w:pPr>
        <w:spacing w:before="29" w:line="288" w:lineRule="auto"/>
        <w:ind w:firstLineChars="200" w:firstLine="480"/>
        <w:rPr>
          <w:color w:val="000000"/>
          <w:sz w:val="24"/>
          <w:szCs w:val="24"/>
        </w:rPr>
      </w:pPr>
      <w:r>
        <w:rPr>
          <w:color w:val="000000"/>
          <w:sz w:val="24"/>
          <w:szCs w:val="24"/>
        </w:rPr>
        <w:t>本基金在一季度总体呈中性仓位配置。我们以港股投资为主，从</w:t>
      </w:r>
      <w:r>
        <w:rPr>
          <w:color w:val="000000"/>
          <w:sz w:val="24"/>
          <w:szCs w:val="24"/>
        </w:rPr>
        <w:t>“</w:t>
      </w:r>
      <w:r>
        <w:rPr>
          <w:color w:val="000000"/>
          <w:sz w:val="24"/>
          <w:szCs w:val="24"/>
        </w:rPr>
        <w:t>性价比</w:t>
      </w:r>
      <w:r>
        <w:rPr>
          <w:color w:val="000000"/>
          <w:sz w:val="24"/>
          <w:szCs w:val="24"/>
        </w:rPr>
        <w:t>”</w:t>
      </w:r>
      <w:r>
        <w:rPr>
          <w:color w:val="000000"/>
          <w:sz w:val="24"/>
          <w:szCs w:val="24"/>
        </w:rPr>
        <w:t>和</w:t>
      </w:r>
      <w:r>
        <w:rPr>
          <w:color w:val="000000"/>
          <w:sz w:val="24"/>
          <w:szCs w:val="24"/>
        </w:rPr>
        <w:t>“</w:t>
      </w:r>
      <w:r>
        <w:rPr>
          <w:color w:val="000000"/>
          <w:sz w:val="24"/>
          <w:szCs w:val="24"/>
        </w:rPr>
        <w:t>稀缺性</w:t>
      </w:r>
      <w:r>
        <w:rPr>
          <w:color w:val="000000"/>
          <w:sz w:val="24"/>
          <w:szCs w:val="24"/>
        </w:rPr>
        <w:t>”</w:t>
      </w:r>
      <w:r>
        <w:rPr>
          <w:color w:val="000000"/>
          <w:sz w:val="24"/>
          <w:szCs w:val="24"/>
        </w:rPr>
        <w:t>两个角度去甄选港股标的，由此加大了在汽车、金融和</w:t>
      </w:r>
      <w:r>
        <w:rPr>
          <w:color w:val="000000"/>
          <w:sz w:val="24"/>
          <w:szCs w:val="24"/>
        </w:rPr>
        <w:t>TMT</w:t>
      </w:r>
      <w:r>
        <w:rPr>
          <w:color w:val="000000"/>
          <w:sz w:val="24"/>
          <w:szCs w:val="24"/>
        </w:rPr>
        <w:t>领域的投资。</w:t>
      </w:r>
      <w:r>
        <w:rPr>
          <w:color w:val="000000"/>
          <w:sz w:val="24"/>
          <w:szCs w:val="24"/>
        </w:rPr>
        <w:t>A</w:t>
      </w:r>
      <w:r>
        <w:rPr>
          <w:color w:val="000000"/>
          <w:sz w:val="24"/>
          <w:szCs w:val="24"/>
        </w:rPr>
        <w:t>股方面，我们则以绝对收益的角度去选择标的，精选配置了家电、医药领域的个股。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年二季度，我们对于港股较为乐观，对</w:t>
      </w:r>
      <w:r w:rsidRPr="00414345">
        <w:rPr>
          <w:color w:val="000000"/>
          <w:sz w:val="24"/>
          <w:szCs w:val="24"/>
        </w:rPr>
        <w:t>A</w:t>
      </w:r>
      <w:r w:rsidRPr="00414345">
        <w:rPr>
          <w:color w:val="000000"/>
          <w:sz w:val="24"/>
          <w:szCs w:val="24"/>
        </w:rPr>
        <w:t>股坚持仍以绝对收益角度精选股票。基本面方面，</w:t>
      </w:r>
      <w:r w:rsidRPr="00414345">
        <w:rPr>
          <w:color w:val="000000"/>
          <w:sz w:val="24"/>
          <w:szCs w:val="24"/>
        </w:rPr>
        <w:t>A</w:t>
      </w:r>
      <w:r w:rsidRPr="00414345">
        <w:rPr>
          <w:color w:val="000000"/>
          <w:sz w:val="24"/>
          <w:szCs w:val="24"/>
        </w:rPr>
        <w:t>股、港股共同以中国经济发展为大背景；板块比较方面，预计港股在博彩、</w:t>
      </w:r>
      <w:r w:rsidRPr="00414345">
        <w:rPr>
          <w:color w:val="000000"/>
          <w:sz w:val="24"/>
          <w:szCs w:val="24"/>
        </w:rPr>
        <w:t>TMT</w:t>
      </w:r>
      <w:r w:rsidRPr="00414345">
        <w:rPr>
          <w:color w:val="000000"/>
          <w:sz w:val="24"/>
          <w:szCs w:val="24"/>
        </w:rPr>
        <w:t>、轨交、风电等领域，仍然有显著优势；资金流动方面，伴随国内经济增速超预期，预计海外资金配置港股仍在历史低位，我们对于港股整体资金流入仍持乐观态度。我们将一如既往勤勉努力地为投资者赚取较为稳健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本报告期末，本基金份额净值为</w:t>
      </w:r>
      <w:r w:rsidRPr="00414345">
        <w:rPr>
          <w:color w:val="000000"/>
          <w:sz w:val="24"/>
          <w:szCs w:val="24"/>
        </w:rPr>
        <w:t>1.062</w:t>
      </w:r>
      <w:r w:rsidRPr="00414345">
        <w:rPr>
          <w:color w:val="000000"/>
          <w:sz w:val="24"/>
          <w:szCs w:val="24"/>
        </w:rPr>
        <w:t>元，本报告期份额净值增长率为</w:t>
      </w:r>
      <w:r w:rsidRPr="00414345">
        <w:rPr>
          <w:color w:val="000000"/>
          <w:sz w:val="24"/>
          <w:szCs w:val="24"/>
        </w:rPr>
        <w:t>7.16%</w:t>
      </w:r>
      <w:r w:rsidRPr="00414345">
        <w:rPr>
          <w:color w:val="000000"/>
          <w:sz w:val="24"/>
          <w:szCs w:val="24"/>
        </w:rPr>
        <w:t>，同期业绩比较基准增长率为</w:t>
      </w:r>
      <w:r w:rsidR="008D100C">
        <w:rPr>
          <w:color w:val="000000"/>
          <w:sz w:val="24"/>
          <w:szCs w:val="24"/>
        </w:rPr>
        <w:t>5.55</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143,226,931.61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143,226,931.61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44,187,437.11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23.50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613,749.64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188,028,118.36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46,163,243.62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12,566,700.00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4,262,611.62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62,992,555.24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34.41</w:t>
            </w:r>
          </w:p>
        </w:tc>
      </w:tr>
    </w:tbl>
    <w:p w:rsidR="00DE3AE5" w:rsidRDefault="00DE3AE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640DEF">
        <w:rPr>
          <w:rFonts w:eastAsiaTheme="minorEastAsia"/>
          <w:b/>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2C13CD">
        <w:trPr>
          <w:jc w:val="center"/>
        </w:trPr>
        <w:tc>
          <w:tcPr>
            <w:tcW w:w="2397" w:type="dxa"/>
            <w:vAlign w:val="center"/>
          </w:tcPr>
          <w:p w:rsidR="002C13CD" w:rsidRDefault="00DE3AE5" w:rsidP="00DE3AE5">
            <w:pPr>
              <w:jc w:val="left"/>
            </w:pPr>
            <w:r>
              <w:rPr>
                <w:color w:val="000000"/>
                <w:sz w:val="24"/>
              </w:rPr>
              <w:t>非必需消费品</w:t>
            </w:r>
          </w:p>
        </w:tc>
        <w:tc>
          <w:tcPr>
            <w:tcW w:w="3119" w:type="dxa"/>
            <w:vAlign w:val="center"/>
          </w:tcPr>
          <w:p w:rsidR="002C13CD" w:rsidRDefault="00DE3AE5" w:rsidP="00DE3AE5">
            <w:pPr>
              <w:jc w:val="right"/>
            </w:pPr>
            <w:r>
              <w:rPr>
                <w:color w:val="000000"/>
                <w:sz w:val="24"/>
              </w:rPr>
              <w:t>14,088,694.63</w:t>
            </w:r>
          </w:p>
        </w:tc>
        <w:tc>
          <w:tcPr>
            <w:tcW w:w="3118" w:type="dxa"/>
            <w:vAlign w:val="center"/>
          </w:tcPr>
          <w:p w:rsidR="002C13CD" w:rsidRDefault="00DE3AE5" w:rsidP="00DE3AE5">
            <w:pPr>
              <w:jc w:val="right"/>
            </w:pPr>
            <w:r>
              <w:rPr>
                <w:color w:val="000000"/>
                <w:sz w:val="24"/>
              </w:rPr>
              <w:t>7.70</w:t>
            </w:r>
          </w:p>
        </w:tc>
      </w:tr>
      <w:tr w:rsidR="002C13CD">
        <w:trPr>
          <w:jc w:val="center"/>
        </w:trPr>
        <w:tc>
          <w:tcPr>
            <w:tcW w:w="2397" w:type="dxa"/>
            <w:vAlign w:val="center"/>
          </w:tcPr>
          <w:p w:rsidR="002C13CD" w:rsidRDefault="008D363B" w:rsidP="00DE3AE5">
            <w:pPr>
              <w:jc w:val="left"/>
            </w:pPr>
            <w:r>
              <w:rPr>
                <w:color w:val="000000"/>
                <w:sz w:val="24"/>
              </w:rPr>
              <w:t>必需</w:t>
            </w:r>
            <w:r w:rsidR="00DE3AE5">
              <w:rPr>
                <w:color w:val="000000"/>
                <w:sz w:val="24"/>
              </w:rPr>
              <w:t>消费品</w:t>
            </w:r>
          </w:p>
        </w:tc>
        <w:tc>
          <w:tcPr>
            <w:tcW w:w="3119" w:type="dxa"/>
            <w:vAlign w:val="center"/>
          </w:tcPr>
          <w:p w:rsidR="002C13CD" w:rsidRDefault="00DE3AE5" w:rsidP="00DE3AE5">
            <w:pPr>
              <w:jc w:val="right"/>
            </w:pPr>
            <w:r>
              <w:rPr>
                <w:color w:val="000000"/>
                <w:sz w:val="24"/>
              </w:rPr>
              <w:t>-</w:t>
            </w:r>
          </w:p>
        </w:tc>
        <w:tc>
          <w:tcPr>
            <w:tcW w:w="3118" w:type="dxa"/>
            <w:vAlign w:val="center"/>
          </w:tcPr>
          <w:p w:rsidR="002C13CD" w:rsidRDefault="00DE3AE5" w:rsidP="00DE3AE5">
            <w:pPr>
              <w:jc w:val="right"/>
            </w:pPr>
            <w:r>
              <w:rPr>
                <w:color w:val="000000"/>
                <w:sz w:val="24"/>
              </w:rPr>
              <w:t>-</w:t>
            </w:r>
          </w:p>
        </w:tc>
      </w:tr>
      <w:tr w:rsidR="002C13CD">
        <w:trPr>
          <w:jc w:val="center"/>
        </w:trPr>
        <w:tc>
          <w:tcPr>
            <w:tcW w:w="2397" w:type="dxa"/>
            <w:vAlign w:val="center"/>
          </w:tcPr>
          <w:p w:rsidR="002C13CD" w:rsidRDefault="00DE3AE5" w:rsidP="00DE3AE5">
            <w:pPr>
              <w:jc w:val="left"/>
            </w:pPr>
            <w:r>
              <w:rPr>
                <w:color w:val="000000"/>
                <w:sz w:val="24"/>
              </w:rPr>
              <w:t>能源</w:t>
            </w:r>
          </w:p>
        </w:tc>
        <w:tc>
          <w:tcPr>
            <w:tcW w:w="3119" w:type="dxa"/>
            <w:vAlign w:val="center"/>
          </w:tcPr>
          <w:p w:rsidR="002C13CD" w:rsidRDefault="00DE3AE5" w:rsidP="00DE3AE5">
            <w:pPr>
              <w:jc w:val="right"/>
            </w:pPr>
            <w:r>
              <w:rPr>
                <w:color w:val="000000"/>
                <w:sz w:val="24"/>
              </w:rPr>
              <w:t>-</w:t>
            </w:r>
          </w:p>
        </w:tc>
        <w:tc>
          <w:tcPr>
            <w:tcW w:w="3118" w:type="dxa"/>
            <w:vAlign w:val="center"/>
          </w:tcPr>
          <w:p w:rsidR="002C13CD" w:rsidRDefault="00DE3AE5" w:rsidP="00DE3AE5">
            <w:pPr>
              <w:jc w:val="right"/>
            </w:pPr>
            <w:r>
              <w:rPr>
                <w:color w:val="000000"/>
                <w:sz w:val="24"/>
              </w:rPr>
              <w:t>-</w:t>
            </w:r>
          </w:p>
        </w:tc>
      </w:tr>
      <w:tr w:rsidR="002C13CD">
        <w:trPr>
          <w:jc w:val="center"/>
        </w:trPr>
        <w:tc>
          <w:tcPr>
            <w:tcW w:w="2397" w:type="dxa"/>
            <w:vAlign w:val="center"/>
          </w:tcPr>
          <w:p w:rsidR="002C13CD" w:rsidRDefault="00DE3AE5" w:rsidP="00DE3AE5">
            <w:pPr>
              <w:jc w:val="left"/>
            </w:pPr>
            <w:r>
              <w:rPr>
                <w:color w:val="000000"/>
                <w:sz w:val="24"/>
              </w:rPr>
              <w:t>金融</w:t>
            </w:r>
          </w:p>
        </w:tc>
        <w:tc>
          <w:tcPr>
            <w:tcW w:w="3119" w:type="dxa"/>
            <w:vAlign w:val="center"/>
          </w:tcPr>
          <w:p w:rsidR="002C13CD" w:rsidRDefault="00DE3AE5" w:rsidP="00DE3AE5">
            <w:pPr>
              <w:jc w:val="right"/>
            </w:pPr>
            <w:r>
              <w:rPr>
                <w:color w:val="000000"/>
                <w:sz w:val="24"/>
              </w:rPr>
              <w:t>23,174,870.16</w:t>
            </w:r>
          </w:p>
        </w:tc>
        <w:tc>
          <w:tcPr>
            <w:tcW w:w="3118" w:type="dxa"/>
            <w:vAlign w:val="center"/>
          </w:tcPr>
          <w:p w:rsidR="002C13CD" w:rsidRDefault="00DE3AE5" w:rsidP="00DE3AE5">
            <w:pPr>
              <w:jc w:val="right"/>
            </w:pPr>
            <w:r>
              <w:rPr>
                <w:color w:val="000000"/>
                <w:sz w:val="24"/>
              </w:rPr>
              <w:t>12.66</w:t>
            </w:r>
          </w:p>
        </w:tc>
      </w:tr>
      <w:tr w:rsidR="002C13CD">
        <w:trPr>
          <w:jc w:val="center"/>
        </w:trPr>
        <w:tc>
          <w:tcPr>
            <w:tcW w:w="2397" w:type="dxa"/>
            <w:vAlign w:val="center"/>
          </w:tcPr>
          <w:p w:rsidR="002C13CD" w:rsidRDefault="00DE3AE5" w:rsidP="00DE3AE5">
            <w:pPr>
              <w:jc w:val="left"/>
            </w:pPr>
            <w:r>
              <w:rPr>
                <w:color w:val="000000"/>
                <w:sz w:val="24"/>
              </w:rPr>
              <w:t>医疗保健</w:t>
            </w:r>
          </w:p>
        </w:tc>
        <w:tc>
          <w:tcPr>
            <w:tcW w:w="3119" w:type="dxa"/>
            <w:vAlign w:val="center"/>
          </w:tcPr>
          <w:p w:rsidR="002C13CD" w:rsidRDefault="00DE3AE5" w:rsidP="00DE3AE5">
            <w:pPr>
              <w:jc w:val="right"/>
            </w:pPr>
            <w:r>
              <w:rPr>
                <w:color w:val="000000"/>
                <w:sz w:val="24"/>
              </w:rPr>
              <w:t>-</w:t>
            </w:r>
          </w:p>
        </w:tc>
        <w:tc>
          <w:tcPr>
            <w:tcW w:w="3118" w:type="dxa"/>
            <w:vAlign w:val="center"/>
          </w:tcPr>
          <w:p w:rsidR="002C13CD" w:rsidRDefault="00DE3AE5" w:rsidP="00DE3AE5">
            <w:pPr>
              <w:jc w:val="right"/>
            </w:pPr>
            <w:r>
              <w:rPr>
                <w:color w:val="000000"/>
                <w:sz w:val="24"/>
              </w:rPr>
              <w:t>-</w:t>
            </w:r>
          </w:p>
        </w:tc>
      </w:tr>
      <w:tr w:rsidR="002C13CD">
        <w:trPr>
          <w:jc w:val="center"/>
        </w:trPr>
        <w:tc>
          <w:tcPr>
            <w:tcW w:w="2397" w:type="dxa"/>
            <w:vAlign w:val="center"/>
          </w:tcPr>
          <w:p w:rsidR="002C13CD" w:rsidRDefault="00DE3AE5" w:rsidP="00DE3AE5">
            <w:pPr>
              <w:jc w:val="left"/>
            </w:pPr>
            <w:r>
              <w:rPr>
                <w:color w:val="000000"/>
                <w:sz w:val="24"/>
              </w:rPr>
              <w:t>工业</w:t>
            </w:r>
          </w:p>
        </w:tc>
        <w:tc>
          <w:tcPr>
            <w:tcW w:w="3119" w:type="dxa"/>
            <w:vAlign w:val="center"/>
          </w:tcPr>
          <w:p w:rsidR="002C13CD" w:rsidRDefault="00DE3AE5" w:rsidP="00DE3AE5">
            <w:pPr>
              <w:jc w:val="right"/>
            </w:pPr>
            <w:r>
              <w:rPr>
                <w:color w:val="000000"/>
                <w:sz w:val="24"/>
              </w:rPr>
              <w:t>22,892,552.94</w:t>
            </w:r>
          </w:p>
        </w:tc>
        <w:tc>
          <w:tcPr>
            <w:tcW w:w="3118" w:type="dxa"/>
            <w:vAlign w:val="center"/>
          </w:tcPr>
          <w:p w:rsidR="002C13CD" w:rsidRDefault="00DE3AE5" w:rsidP="00DE3AE5">
            <w:pPr>
              <w:jc w:val="right"/>
            </w:pPr>
            <w:r>
              <w:rPr>
                <w:color w:val="000000"/>
                <w:sz w:val="24"/>
              </w:rPr>
              <w:t>12.50</w:t>
            </w:r>
          </w:p>
        </w:tc>
      </w:tr>
      <w:tr w:rsidR="002C13CD">
        <w:trPr>
          <w:jc w:val="center"/>
        </w:trPr>
        <w:tc>
          <w:tcPr>
            <w:tcW w:w="2397" w:type="dxa"/>
            <w:vAlign w:val="center"/>
          </w:tcPr>
          <w:p w:rsidR="002C13CD" w:rsidRDefault="00DE3AE5" w:rsidP="00DE3AE5">
            <w:pPr>
              <w:jc w:val="left"/>
            </w:pPr>
            <w:r>
              <w:rPr>
                <w:color w:val="000000"/>
                <w:sz w:val="24"/>
              </w:rPr>
              <w:t>信息技术</w:t>
            </w:r>
          </w:p>
        </w:tc>
        <w:tc>
          <w:tcPr>
            <w:tcW w:w="3119" w:type="dxa"/>
            <w:vAlign w:val="center"/>
          </w:tcPr>
          <w:p w:rsidR="002C13CD" w:rsidRDefault="00DE3AE5" w:rsidP="00DE3AE5">
            <w:pPr>
              <w:jc w:val="right"/>
            </w:pPr>
            <w:r>
              <w:rPr>
                <w:color w:val="000000"/>
                <w:sz w:val="24"/>
              </w:rPr>
              <w:t>18,213,899.64</w:t>
            </w:r>
          </w:p>
        </w:tc>
        <w:tc>
          <w:tcPr>
            <w:tcW w:w="3118" w:type="dxa"/>
            <w:vAlign w:val="center"/>
          </w:tcPr>
          <w:p w:rsidR="002C13CD" w:rsidRDefault="00DE3AE5" w:rsidP="00DE3AE5">
            <w:pPr>
              <w:jc w:val="right"/>
            </w:pPr>
            <w:r>
              <w:rPr>
                <w:color w:val="000000"/>
                <w:sz w:val="24"/>
              </w:rPr>
              <w:t>9.95</w:t>
            </w:r>
          </w:p>
        </w:tc>
      </w:tr>
      <w:tr w:rsidR="002C13CD">
        <w:trPr>
          <w:jc w:val="center"/>
        </w:trPr>
        <w:tc>
          <w:tcPr>
            <w:tcW w:w="2397" w:type="dxa"/>
            <w:vAlign w:val="center"/>
          </w:tcPr>
          <w:p w:rsidR="002C13CD" w:rsidRDefault="00DE3AE5" w:rsidP="00DE3AE5">
            <w:pPr>
              <w:jc w:val="left"/>
            </w:pPr>
            <w:r>
              <w:rPr>
                <w:color w:val="000000"/>
                <w:sz w:val="24"/>
              </w:rPr>
              <w:t>材料</w:t>
            </w:r>
          </w:p>
        </w:tc>
        <w:tc>
          <w:tcPr>
            <w:tcW w:w="3119" w:type="dxa"/>
            <w:vAlign w:val="center"/>
          </w:tcPr>
          <w:p w:rsidR="002C13CD" w:rsidRDefault="00DE3AE5" w:rsidP="00DE3AE5">
            <w:pPr>
              <w:jc w:val="right"/>
            </w:pPr>
            <w:r>
              <w:rPr>
                <w:color w:val="000000"/>
                <w:sz w:val="24"/>
              </w:rPr>
              <w:t>-</w:t>
            </w:r>
          </w:p>
        </w:tc>
        <w:tc>
          <w:tcPr>
            <w:tcW w:w="3118" w:type="dxa"/>
            <w:vAlign w:val="center"/>
          </w:tcPr>
          <w:p w:rsidR="002C13CD" w:rsidRDefault="00DE3AE5" w:rsidP="00DE3AE5">
            <w:pPr>
              <w:jc w:val="right"/>
            </w:pPr>
            <w:r>
              <w:rPr>
                <w:color w:val="000000"/>
                <w:sz w:val="24"/>
              </w:rPr>
              <w:t>-</w:t>
            </w:r>
          </w:p>
        </w:tc>
      </w:tr>
      <w:tr w:rsidR="002C13CD">
        <w:trPr>
          <w:jc w:val="center"/>
        </w:trPr>
        <w:tc>
          <w:tcPr>
            <w:tcW w:w="2397" w:type="dxa"/>
            <w:vAlign w:val="center"/>
          </w:tcPr>
          <w:p w:rsidR="002C13CD" w:rsidRDefault="00DE3AE5" w:rsidP="00DE3AE5">
            <w:pPr>
              <w:jc w:val="left"/>
            </w:pPr>
            <w:r>
              <w:rPr>
                <w:color w:val="000000"/>
                <w:sz w:val="24"/>
              </w:rPr>
              <w:t>房地产</w:t>
            </w:r>
          </w:p>
        </w:tc>
        <w:tc>
          <w:tcPr>
            <w:tcW w:w="3119" w:type="dxa"/>
            <w:vAlign w:val="center"/>
          </w:tcPr>
          <w:p w:rsidR="002C13CD" w:rsidRDefault="00DE3AE5" w:rsidP="00DE3AE5">
            <w:pPr>
              <w:jc w:val="right"/>
            </w:pPr>
            <w:r>
              <w:rPr>
                <w:color w:val="000000"/>
                <w:sz w:val="24"/>
              </w:rPr>
              <w:t>1,864,359.00</w:t>
            </w:r>
          </w:p>
        </w:tc>
        <w:tc>
          <w:tcPr>
            <w:tcW w:w="3118" w:type="dxa"/>
            <w:vAlign w:val="center"/>
          </w:tcPr>
          <w:p w:rsidR="002C13CD" w:rsidRDefault="00DE3AE5" w:rsidP="00DE3AE5">
            <w:pPr>
              <w:jc w:val="right"/>
            </w:pPr>
            <w:r>
              <w:rPr>
                <w:color w:val="000000"/>
                <w:sz w:val="24"/>
              </w:rPr>
              <w:t>1.02</w:t>
            </w:r>
          </w:p>
        </w:tc>
      </w:tr>
      <w:tr w:rsidR="002C13CD">
        <w:trPr>
          <w:jc w:val="center"/>
        </w:trPr>
        <w:tc>
          <w:tcPr>
            <w:tcW w:w="2397" w:type="dxa"/>
            <w:vAlign w:val="center"/>
          </w:tcPr>
          <w:p w:rsidR="002C13CD" w:rsidRDefault="00DE3AE5" w:rsidP="00DE3AE5">
            <w:pPr>
              <w:jc w:val="left"/>
            </w:pPr>
            <w:r>
              <w:rPr>
                <w:color w:val="000000"/>
                <w:sz w:val="24"/>
              </w:rPr>
              <w:t>电信业务</w:t>
            </w:r>
          </w:p>
        </w:tc>
        <w:tc>
          <w:tcPr>
            <w:tcW w:w="3119" w:type="dxa"/>
            <w:vAlign w:val="center"/>
          </w:tcPr>
          <w:p w:rsidR="002C13CD" w:rsidRDefault="00DE3AE5" w:rsidP="00DE3AE5">
            <w:pPr>
              <w:jc w:val="right"/>
            </w:pPr>
            <w:r>
              <w:rPr>
                <w:color w:val="000000"/>
                <w:sz w:val="24"/>
              </w:rPr>
              <w:t>-</w:t>
            </w:r>
          </w:p>
        </w:tc>
        <w:tc>
          <w:tcPr>
            <w:tcW w:w="3118" w:type="dxa"/>
            <w:vAlign w:val="center"/>
          </w:tcPr>
          <w:p w:rsidR="002C13CD" w:rsidRDefault="00DE3AE5" w:rsidP="00DE3AE5">
            <w:pPr>
              <w:jc w:val="right"/>
            </w:pPr>
            <w:r>
              <w:rPr>
                <w:color w:val="000000"/>
                <w:sz w:val="24"/>
              </w:rPr>
              <w:t>-</w:t>
            </w:r>
          </w:p>
        </w:tc>
      </w:tr>
      <w:tr w:rsidR="002C13CD">
        <w:trPr>
          <w:jc w:val="center"/>
        </w:trPr>
        <w:tc>
          <w:tcPr>
            <w:tcW w:w="2397" w:type="dxa"/>
            <w:vAlign w:val="center"/>
          </w:tcPr>
          <w:p w:rsidR="002C13CD" w:rsidRDefault="00DE3AE5" w:rsidP="00DE3AE5">
            <w:pPr>
              <w:jc w:val="left"/>
            </w:pPr>
            <w:r>
              <w:rPr>
                <w:color w:val="000000"/>
                <w:sz w:val="24"/>
              </w:rPr>
              <w:t>公用事业</w:t>
            </w:r>
          </w:p>
        </w:tc>
        <w:tc>
          <w:tcPr>
            <w:tcW w:w="3119" w:type="dxa"/>
            <w:vAlign w:val="center"/>
          </w:tcPr>
          <w:p w:rsidR="002C13CD" w:rsidRDefault="00DE3AE5" w:rsidP="00DE3AE5">
            <w:pPr>
              <w:jc w:val="right"/>
            </w:pPr>
            <w:r>
              <w:rPr>
                <w:color w:val="000000"/>
                <w:sz w:val="24"/>
              </w:rPr>
              <w:t>-</w:t>
            </w:r>
          </w:p>
        </w:tc>
        <w:tc>
          <w:tcPr>
            <w:tcW w:w="3118" w:type="dxa"/>
            <w:vAlign w:val="center"/>
          </w:tcPr>
          <w:p w:rsidR="002C13CD" w:rsidRDefault="00DE3AE5" w:rsidP="00DE3AE5">
            <w:pPr>
              <w:jc w:val="right"/>
            </w:pPr>
            <w:r>
              <w:rPr>
                <w:color w:val="000000"/>
                <w:sz w:val="24"/>
              </w:rPr>
              <w:t>-</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DE3AE5">
            <w:pPr>
              <w:spacing w:before="29" w:line="360" w:lineRule="auto"/>
              <w:ind w:left="17"/>
              <w:jc w:val="right"/>
              <w:rPr>
                <w:color w:val="000000"/>
                <w:sz w:val="24"/>
              </w:rPr>
            </w:pPr>
            <w:r w:rsidRPr="00FF0BBF">
              <w:rPr>
                <w:rFonts w:hint="eastAsia"/>
                <w:color w:val="000000"/>
                <w:sz w:val="24"/>
              </w:rPr>
              <w:t>80,234,376.37</w:t>
            </w:r>
          </w:p>
        </w:tc>
        <w:tc>
          <w:tcPr>
            <w:tcW w:w="3118" w:type="dxa"/>
            <w:vAlign w:val="center"/>
          </w:tcPr>
          <w:p w:rsidR="00F51C4E" w:rsidRPr="00FF0BBF" w:rsidRDefault="00F51C4E" w:rsidP="00DE3AE5">
            <w:pPr>
              <w:spacing w:before="29" w:line="360" w:lineRule="auto"/>
              <w:ind w:left="17"/>
              <w:jc w:val="right"/>
              <w:rPr>
                <w:color w:val="000000"/>
                <w:sz w:val="24"/>
              </w:rPr>
            </w:pPr>
            <w:r w:rsidRPr="00FF0BBF">
              <w:rPr>
                <w:rFonts w:hint="eastAsia"/>
                <w:color w:val="000000"/>
                <w:sz w:val="24"/>
              </w:rPr>
              <w:t>43.83</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C13CD">
        <w:trPr>
          <w:jc w:val="center"/>
        </w:trPr>
        <w:tc>
          <w:tcPr>
            <w:tcW w:w="855" w:type="dxa"/>
            <w:vAlign w:val="center"/>
          </w:tcPr>
          <w:p w:rsidR="002C13CD" w:rsidRDefault="00DE3AE5">
            <w:pPr>
              <w:jc w:val="center"/>
            </w:pPr>
            <w:r>
              <w:rPr>
                <w:color w:val="000000"/>
                <w:sz w:val="24"/>
                <w:szCs w:val="24"/>
              </w:rPr>
              <w:t>1</w:t>
            </w:r>
          </w:p>
        </w:tc>
        <w:tc>
          <w:tcPr>
            <w:tcW w:w="1334" w:type="dxa"/>
            <w:vAlign w:val="center"/>
          </w:tcPr>
          <w:p w:rsidR="002C13CD" w:rsidRDefault="00DE3AE5">
            <w:pPr>
              <w:jc w:val="center"/>
            </w:pPr>
            <w:r>
              <w:rPr>
                <w:color w:val="000000"/>
                <w:sz w:val="24"/>
                <w:szCs w:val="24"/>
              </w:rPr>
              <w:t>H00700</w:t>
            </w:r>
          </w:p>
        </w:tc>
        <w:tc>
          <w:tcPr>
            <w:tcW w:w="1777" w:type="dxa"/>
            <w:vAlign w:val="center"/>
          </w:tcPr>
          <w:p w:rsidR="002C13CD" w:rsidRDefault="00DE3AE5">
            <w:pPr>
              <w:jc w:val="center"/>
            </w:pPr>
            <w:r>
              <w:rPr>
                <w:color w:val="000000"/>
                <w:sz w:val="24"/>
                <w:szCs w:val="24"/>
              </w:rPr>
              <w:t>腾讯控股</w:t>
            </w:r>
          </w:p>
        </w:tc>
        <w:tc>
          <w:tcPr>
            <w:tcW w:w="1334" w:type="dxa"/>
            <w:vAlign w:val="center"/>
          </w:tcPr>
          <w:p w:rsidR="002C13CD" w:rsidRDefault="00DE3AE5">
            <w:pPr>
              <w:jc w:val="right"/>
            </w:pPr>
            <w:r>
              <w:rPr>
                <w:color w:val="000000"/>
                <w:sz w:val="24"/>
                <w:szCs w:val="24"/>
              </w:rPr>
              <w:t>60,000</w:t>
            </w:r>
          </w:p>
        </w:tc>
        <w:tc>
          <w:tcPr>
            <w:tcW w:w="1924" w:type="dxa"/>
            <w:vAlign w:val="center"/>
          </w:tcPr>
          <w:p w:rsidR="002C13CD" w:rsidRDefault="00DE3AE5">
            <w:pPr>
              <w:jc w:val="right"/>
            </w:pPr>
            <w:r>
              <w:rPr>
                <w:color w:val="000000"/>
                <w:sz w:val="24"/>
                <w:szCs w:val="24"/>
              </w:rPr>
              <w:t>11,867,976.72</w:t>
            </w:r>
          </w:p>
        </w:tc>
        <w:tc>
          <w:tcPr>
            <w:tcW w:w="1644" w:type="dxa"/>
            <w:vAlign w:val="center"/>
          </w:tcPr>
          <w:p w:rsidR="002C13CD" w:rsidRDefault="00DE3AE5">
            <w:pPr>
              <w:jc w:val="right"/>
            </w:pPr>
            <w:r>
              <w:rPr>
                <w:color w:val="000000"/>
                <w:sz w:val="24"/>
                <w:szCs w:val="24"/>
              </w:rPr>
              <w:t>6.48</w:t>
            </w:r>
          </w:p>
        </w:tc>
      </w:tr>
      <w:tr w:rsidR="002C13CD">
        <w:trPr>
          <w:jc w:val="center"/>
        </w:trPr>
        <w:tc>
          <w:tcPr>
            <w:tcW w:w="855" w:type="dxa"/>
            <w:vAlign w:val="center"/>
          </w:tcPr>
          <w:p w:rsidR="002C13CD" w:rsidRDefault="00DE3AE5">
            <w:pPr>
              <w:jc w:val="center"/>
            </w:pPr>
            <w:r>
              <w:rPr>
                <w:color w:val="000000"/>
                <w:sz w:val="24"/>
                <w:szCs w:val="24"/>
              </w:rPr>
              <w:t>2</w:t>
            </w:r>
          </w:p>
        </w:tc>
        <w:tc>
          <w:tcPr>
            <w:tcW w:w="1334" w:type="dxa"/>
            <w:vAlign w:val="center"/>
          </w:tcPr>
          <w:p w:rsidR="002C13CD" w:rsidRDefault="00DE3AE5">
            <w:pPr>
              <w:jc w:val="center"/>
            </w:pPr>
            <w:r>
              <w:rPr>
                <w:color w:val="000000"/>
                <w:sz w:val="24"/>
                <w:szCs w:val="24"/>
              </w:rPr>
              <w:t>H03968</w:t>
            </w:r>
          </w:p>
        </w:tc>
        <w:tc>
          <w:tcPr>
            <w:tcW w:w="1777" w:type="dxa"/>
            <w:vAlign w:val="center"/>
          </w:tcPr>
          <w:p w:rsidR="002C13CD" w:rsidRDefault="00DE3AE5">
            <w:pPr>
              <w:jc w:val="center"/>
            </w:pPr>
            <w:r>
              <w:rPr>
                <w:color w:val="000000"/>
                <w:sz w:val="24"/>
                <w:szCs w:val="24"/>
              </w:rPr>
              <w:t>招商银行</w:t>
            </w:r>
          </w:p>
        </w:tc>
        <w:tc>
          <w:tcPr>
            <w:tcW w:w="1334" w:type="dxa"/>
            <w:vAlign w:val="center"/>
          </w:tcPr>
          <w:p w:rsidR="002C13CD" w:rsidRDefault="00DE3AE5">
            <w:pPr>
              <w:jc w:val="right"/>
            </w:pPr>
            <w:r>
              <w:rPr>
                <w:color w:val="000000"/>
                <w:sz w:val="24"/>
                <w:szCs w:val="24"/>
              </w:rPr>
              <w:t>320,000</w:t>
            </w:r>
          </w:p>
        </w:tc>
        <w:tc>
          <w:tcPr>
            <w:tcW w:w="1924" w:type="dxa"/>
            <w:vAlign w:val="center"/>
          </w:tcPr>
          <w:p w:rsidR="002C13CD" w:rsidRDefault="00DE3AE5">
            <w:pPr>
              <w:jc w:val="right"/>
            </w:pPr>
            <w:r>
              <w:rPr>
                <w:color w:val="000000"/>
                <w:sz w:val="24"/>
                <w:szCs w:val="24"/>
              </w:rPr>
              <w:t>5,838,107.04</w:t>
            </w:r>
          </w:p>
        </w:tc>
        <w:tc>
          <w:tcPr>
            <w:tcW w:w="1644" w:type="dxa"/>
            <w:vAlign w:val="center"/>
          </w:tcPr>
          <w:p w:rsidR="002C13CD" w:rsidRDefault="00DE3AE5">
            <w:pPr>
              <w:jc w:val="right"/>
            </w:pPr>
            <w:r>
              <w:rPr>
                <w:color w:val="000000"/>
                <w:sz w:val="24"/>
                <w:szCs w:val="24"/>
              </w:rPr>
              <w:t>3.19</w:t>
            </w:r>
          </w:p>
        </w:tc>
      </w:tr>
      <w:tr w:rsidR="002C13CD">
        <w:trPr>
          <w:jc w:val="center"/>
        </w:trPr>
        <w:tc>
          <w:tcPr>
            <w:tcW w:w="855" w:type="dxa"/>
            <w:vAlign w:val="center"/>
          </w:tcPr>
          <w:p w:rsidR="002C13CD" w:rsidRDefault="00DE3AE5">
            <w:pPr>
              <w:jc w:val="center"/>
            </w:pPr>
            <w:r>
              <w:rPr>
                <w:color w:val="000000"/>
                <w:sz w:val="24"/>
                <w:szCs w:val="24"/>
              </w:rPr>
              <w:t>2</w:t>
            </w:r>
          </w:p>
        </w:tc>
        <w:tc>
          <w:tcPr>
            <w:tcW w:w="1334" w:type="dxa"/>
            <w:vAlign w:val="center"/>
          </w:tcPr>
          <w:p w:rsidR="002C13CD" w:rsidRDefault="00DE3AE5">
            <w:pPr>
              <w:jc w:val="center"/>
            </w:pPr>
            <w:r>
              <w:rPr>
                <w:color w:val="000000"/>
                <w:sz w:val="24"/>
                <w:szCs w:val="24"/>
              </w:rPr>
              <w:t>600036</w:t>
            </w:r>
          </w:p>
        </w:tc>
        <w:tc>
          <w:tcPr>
            <w:tcW w:w="1777" w:type="dxa"/>
            <w:vAlign w:val="center"/>
          </w:tcPr>
          <w:p w:rsidR="002C13CD" w:rsidRDefault="00DE3AE5">
            <w:pPr>
              <w:jc w:val="center"/>
            </w:pPr>
            <w:r>
              <w:rPr>
                <w:color w:val="000000"/>
                <w:sz w:val="24"/>
                <w:szCs w:val="24"/>
              </w:rPr>
              <w:t>招商银行</w:t>
            </w:r>
          </w:p>
        </w:tc>
        <w:tc>
          <w:tcPr>
            <w:tcW w:w="1334" w:type="dxa"/>
            <w:vAlign w:val="center"/>
          </w:tcPr>
          <w:p w:rsidR="002C13CD" w:rsidRDefault="00DE3AE5">
            <w:pPr>
              <w:jc w:val="right"/>
            </w:pPr>
            <w:r>
              <w:rPr>
                <w:color w:val="000000"/>
                <w:sz w:val="24"/>
                <w:szCs w:val="24"/>
              </w:rPr>
              <w:t>210,000</w:t>
            </w:r>
          </w:p>
        </w:tc>
        <w:tc>
          <w:tcPr>
            <w:tcW w:w="1924" w:type="dxa"/>
            <w:vAlign w:val="center"/>
          </w:tcPr>
          <w:p w:rsidR="002C13CD" w:rsidRDefault="00DE3AE5">
            <w:pPr>
              <w:jc w:val="right"/>
            </w:pPr>
            <w:r>
              <w:rPr>
                <w:color w:val="000000"/>
                <w:sz w:val="24"/>
                <w:szCs w:val="24"/>
              </w:rPr>
              <w:t>4,025,700.00</w:t>
            </w:r>
          </w:p>
        </w:tc>
        <w:tc>
          <w:tcPr>
            <w:tcW w:w="1644" w:type="dxa"/>
            <w:vAlign w:val="center"/>
          </w:tcPr>
          <w:p w:rsidR="002C13CD" w:rsidRDefault="00DE3AE5">
            <w:pPr>
              <w:jc w:val="right"/>
            </w:pPr>
            <w:r>
              <w:rPr>
                <w:color w:val="000000"/>
                <w:sz w:val="24"/>
                <w:szCs w:val="24"/>
              </w:rPr>
              <w:t>2.20</w:t>
            </w:r>
          </w:p>
        </w:tc>
      </w:tr>
      <w:tr w:rsidR="002C13CD">
        <w:trPr>
          <w:jc w:val="center"/>
        </w:trPr>
        <w:tc>
          <w:tcPr>
            <w:tcW w:w="855" w:type="dxa"/>
            <w:vAlign w:val="center"/>
          </w:tcPr>
          <w:p w:rsidR="002C13CD" w:rsidRDefault="00DE3AE5">
            <w:pPr>
              <w:jc w:val="center"/>
            </w:pPr>
            <w:r>
              <w:rPr>
                <w:color w:val="000000"/>
                <w:sz w:val="24"/>
                <w:szCs w:val="24"/>
              </w:rPr>
              <w:t>3</w:t>
            </w:r>
          </w:p>
        </w:tc>
        <w:tc>
          <w:tcPr>
            <w:tcW w:w="1334" w:type="dxa"/>
            <w:vAlign w:val="center"/>
          </w:tcPr>
          <w:p w:rsidR="002C13CD" w:rsidRDefault="00DE3AE5">
            <w:pPr>
              <w:jc w:val="center"/>
            </w:pPr>
            <w:r>
              <w:rPr>
                <w:color w:val="000000"/>
                <w:sz w:val="24"/>
                <w:szCs w:val="24"/>
              </w:rPr>
              <w:t>H03311</w:t>
            </w:r>
          </w:p>
        </w:tc>
        <w:tc>
          <w:tcPr>
            <w:tcW w:w="1777" w:type="dxa"/>
            <w:vAlign w:val="center"/>
          </w:tcPr>
          <w:p w:rsidR="002C13CD" w:rsidRDefault="00DE3AE5">
            <w:pPr>
              <w:jc w:val="center"/>
            </w:pPr>
            <w:r>
              <w:rPr>
                <w:color w:val="000000"/>
                <w:sz w:val="24"/>
                <w:szCs w:val="24"/>
              </w:rPr>
              <w:t>中国建筑国际</w:t>
            </w:r>
          </w:p>
        </w:tc>
        <w:tc>
          <w:tcPr>
            <w:tcW w:w="1334" w:type="dxa"/>
            <w:vAlign w:val="center"/>
          </w:tcPr>
          <w:p w:rsidR="002C13CD" w:rsidRDefault="00DE3AE5">
            <w:pPr>
              <w:jc w:val="right"/>
            </w:pPr>
            <w:r>
              <w:rPr>
                <w:color w:val="000000"/>
                <w:sz w:val="24"/>
                <w:szCs w:val="24"/>
              </w:rPr>
              <w:t>770,000</w:t>
            </w:r>
          </w:p>
        </w:tc>
        <w:tc>
          <w:tcPr>
            <w:tcW w:w="1924" w:type="dxa"/>
            <w:vAlign w:val="center"/>
          </w:tcPr>
          <w:p w:rsidR="002C13CD" w:rsidRDefault="00DE3AE5">
            <w:pPr>
              <w:jc w:val="right"/>
            </w:pPr>
            <w:r>
              <w:rPr>
                <w:color w:val="000000"/>
                <w:sz w:val="24"/>
                <w:szCs w:val="24"/>
              </w:rPr>
              <w:t>9,502,016.37</w:t>
            </w:r>
          </w:p>
        </w:tc>
        <w:tc>
          <w:tcPr>
            <w:tcW w:w="1644" w:type="dxa"/>
            <w:vAlign w:val="center"/>
          </w:tcPr>
          <w:p w:rsidR="002C13CD" w:rsidRDefault="00DE3AE5">
            <w:pPr>
              <w:jc w:val="right"/>
            </w:pPr>
            <w:r>
              <w:rPr>
                <w:color w:val="000000"/>
                <w:sz w:val="24"/>
                <w:szCs w:val="24"/>
              </w:rPr>
              <w:t>5.19</w:t>
            </w:r>
          </w:p>
        </w:tc>
      </w:tr>
      <w:tr w:rsidR="002C13CD">
        <w:trPr>
          <w:jc w:val="center"/>
        </w:trPr>
        <w:tc>
          <w:tcPr>
            <w:tcW w:w="855" w:type="dxa"/>
            <w:vAlign w:val="center"/>
          </w:tcPr>
          <w:p w:rsidR="002C13CD" w:rsidRDefault="00DE3AE5">
            <w:pPr>
              <w:jc w:val="center"/>
            </w:pPr>
            <w:r>
              <w:rPr>
                <w:color w:val="000000"/>
                <w:sz w:val="24"/>
                <w:szCs w:val="24"/>
              </w:rPr>
              <w:t>4</w:t>
            </w:r>
          </w:p>
        </w:tc>
        <w:tc>
          <w:tcPr>
            <w:tcW w:w="1334" w:type="dxa"/>
            <w:vAlign w:val="center"/>
          </w:tcPr>
          <w:p w:rsidR="002C13CD" w:rsidRDefault="00DE3AE5">
            <w:pPr>
              <w:jc w:val="center"/>
            </w:pPr>
            <w:r>
              <w:rPr>
                <w:color w:val="000000"/>
                <w:sz w:val="24"/>
                <w:szCs w:val="24"/>
              </w:rPr>
              <w:t>H01919</w:t>
            </w:r>
          </w:p>
        </w:tc>
        <w:tc>
          <w:tcPr>
            <w:tcW w:w="1777" w:type="dxa"/>
            <w:vAlign w:val="center"/>
          </w:tcPr>
          <w:p w:rsidR="002C13CD" w:rsidRDefault="00DE3AE5">
            <w:pPr>
              <w:jc w:val="center"/>
            </w:pPr>
            <w:r>
              <w:rPr>
                <w:color w:val="000000"/>
                <w:sz w:val="24"/>
                <w:szCs w:val="24"/>
              </w:rPr>
              <w:t>中远海控</w:t>
            </w:r>
          </w:p>
        </w:tc>
        <w:tc>
          <w:tcPr>
            <w:tcW w:w="1334" w:type="dxa"/>
            <w:vAlign w:val="center"/>
          </w:tcPr>
          <w:p w:rsidR="002C13CD" w:rsidRDefault="00DE3AE5">
            <w:pPr>
              <w:jc w:val="right"/>
            </w:pPr>
            <w:r>
              <w:rPr>
                <w:color w:val="000000"/>
                <w:sz w:val="24"/>
                <w:szCs w:val="24"/>
              </w:rPr>
              <w:t>3,000,000</w:t>
            </w:r>
          </w:p>
        </w:tc>
        <w:tc>
          <w:tcPr>
            <w:tcW w:w="1924" w:type="dxa"/>
            <w:vAlign w:val="center"/>
          </w:tcPr>
          <w:p w:rsidR="002C13CD" w:rsidRDefault="00DE3AE5">
            <w:pPr>
              <w:jc w:val="right"/>
            </w:pPr>
            <w:r>
              <w:rPr>
                <w:color w:val="000000"/>
                <w:sz w:val="24"/>
                <w:szCs w:val="24"/>
              </w:rPr>
              <w:t>9,481,597.20</w:t>
            </w:r>
          </w:p>
        </w:tc>
        <w:tc>
          <w:tcPr>
            <w:tcW w:w="1644" w:type="dxa"/>
            <w:vAlign w:val="center"/>
          </w:tcPr>
          <w:p w:rsidR="002C13CD" w:rsidRDefault="00DE3AE5">
            <w:pPr>
              <w:jc w:val="right"/>
            </w:pPr>
            <w:r>
              <w:rPr>
                <w:color w:val="000000"/>
                <w:sz w:val="24"/>
                <w:szCs w:val="24"/>
              </w:rPr>
              <w:t>5.18</w:t>
            </w:r>
          </w:p>
        </w:tc>
      </w:tr>
      <w:tr w:rsidR="002C13CD">
        <w:trPr>
          <w:jc w:val="center"/>
        </w:trPr>
        <w:tc>
          <w:tcPr>
            <w:tcW w:w="855" w:type="dxa"/>
            <w:vAlign w:val="center"/>
          </w:tcPr>
          <w:p w:rsidR="002C13CD" w:rsidRDefault="00DE3AE5">
            <w:pPr>
              <w:jc w:val="center"/>
            </w:pPr>
            <w:r>
              <w:rPr>
                <w:color w:val="000000"/>
                <w:sz w:val="24"/>
                <w:szCs w:val="24"/>
              </w:rPr>
              <w:t>5</w:t>
            </w:r>
          </w:p>
        </w:tc>
        <w:tc>
          <w:tcPr>
            <w:tcW w:w="1334" w:type="dxa"/>
            <w:vAlign w:val="center"/>
          </w:tcPr>
          <w:p w:rsidR="002C13CD" w:rsidRDefault="00DE3AE5">
            <w:pPr>
              <w:jc w:val="center"/>
            </w:pPr>
            <w:r>
              <w:rPr>
                <w:color w:val="000000"/>
                <w:sz w:val="24"/>
                <w:szCs w:val="24"/>
              </w:rPr>
              <w:t>600660</w:t>
            </w:r>
          </w:p>
        </w:tc>
        <w:tc>
          <w:tcPr>
            <w:tcW w:w="1777" w:type="dxa"/>
            <w:vAlign w:val="center"/>
          </w:tcPr>
          <w:p w:rsidR="002C13CD" w:rsidRDefault="00DE3AE5">
            <w:pPr>
              <w:jc w:val="center"/>
            </w:pPr>
            <w:r>
              <w:rPr>
                <w:color w:val="000000"/>
                <w:sz w:val="24"/>
                <w:szCs w:val="24"/>
              </w:rPr>
              <w:t>福耀玻璃</w:t>
            </w:r>
          </w:p>
        </w:tc>
        <w:tc>
          <w:tcPr>
            <w:tcW w:w="1334" w:type="dxa"/>
            <w:vAlign w:val="center"/>
          </w:tcPr>
          <w:p w:rsidR="002C13CD" w:rsidRDefault="00DE3AE5">
            <w:pPr>
              <w:jc w:val="right"/>
            </w:pPr>
            <w:r>
              <w:rPr>
                <w:color w:val="000000"/>
                <w:sz w:val="24"/>
                <w:szCs w:val="24"/>
              </w:rPr>
              <w:t>400,000</w:t>
            </w:r>
          </w:p>
        </w:tc>
        <w:tc>
          <w:tcPr>
            <w:tcW w:w="1924" w:type="dxa"/>
            <w:vAlign w:val="center"/>
          </w:tcPr>
          <w:p w:rsidR="002C13CD" w:rsidRDefault="00DE3AE5">
            <w:pPr>
              <w:jc w:val="right"/>
            </w:pPr>
            <w:r>
              <w:rPr>
                <w:color w:val="000000"/>
                <w:sz w:val="24"/>
                <w:szCs w:val="24"/>
              </w:rPr>
              <w:t>9,044,000.00</w:t>
            </w:r>
          </w:p>
        </w:tc>
        <w:tc>
          <w:tcPr>
            <w:tcW w:w="1644" w:type="dxa"/>
            <w:vAlign w:val="center"/>
          </w:tcPr>
          <w:p w:rsidR="002C13CD" w:rsidRDefault="00DE3AE5">
            <w:pPr>
              <w:jc w:val="right"/>
            </w:pPr>
            <w:r>
              <w:rPr>
                <w:color w:val="000000"/>
                <w:sz w:val="24"/>
                <w:szCs w:val="24"/>
              </w:rPr>
              <w:t>4.94</w:t>
            </w:r>
          </w:p>
        </w:tc>
      </w:tr>
      <w:tr w:rsidR="002C13CD">
        <w:trPr>
          <w:jc w:val="center"/>
        </w:trPr>
        <w:tc>
          <w:tcPr>
            <w:tcW w:w="855" w:type="dxa"/>
            <w:vAlign w:val="center"/>
          </w:tcPr>
          <w:p w:rsidR="002C13CD" w:rsidRDefault="00DE3AE5">
            <w:pPr>
              <w:jc w:val="center"/>
            </w:pPr>
            <w:r>
              <w:rPr>
                <w:color w:val="000000"/>
                <w:sz w:val="24"/>
                <w:szCs w:val="24"/>
              </w:rPr>
              <w:t>6</w:t>
            </w:r>
          </w:p>
        </w:tc>
        <w:tc>
          <w:tcPr>
            <w:tcW w:w="1334" w:type="dxa"/>
            <w:vAlign w:val="center"/>
          </w:tcPr>
          <w:p w:rsidR="002C13CD" w:rsidRDefault="00DE3AE5">
            <w:pPr>
              <w:jc w:val="center"/>
            </w:pPr>
            <w:r>
              <w:rPr>
                <w:color w:val="000000"/>
                <w:sz w:val="24"/>
                <w:szCs w:val="24"/>
              </w:rPr>
              <w:t>000651</w:t>
            </w:r>
          </w:p>
        </w:tc>
        <w:tc>
          <w:tcPr>
            <w:tcW w:w="1777" w:type="dxa"/>
            <w:vAlign w:val="center"/>
          </w:tcPr>
          <w:p w:rsidR="002C13CD" w:rsidRDefault="00DE3AE5">
            <w:pPr>
              <w:jc w:val="center"/>
            </w:pPr>
            <w:r>
              <w:rPr>
                <w:color w:val="000000"/>
                <w:sz w:val="24"/>
                <w:szCs w:val="24"/>
              </w:rPr>
              <w:t>格力电器</w:t>
            </w:r>
          </w:p>
        </w:tc>
        <w:tc>
          <w:tcPr>
            <w:tcW w:w="1334" w:type="dxa"/>
            <w:vAlign w:val="center"/>
          </w:tcPr>
          <w:p w:rsidR="002C13CD" w:rsidRDefault="00DE3AE5">
            <w:pPr>
              <w:jc w:val="right"/>
            </w:pPr>
            <w:r>
              <w:rPr>
                <w:color w:val="000000"/>
                <w:sz w:val="24"/>
                <w:szCs w:val="24"/>
              </w:rPr>
              <w:t>239,963</w:t>
            </w:r>
          </w:p>
        </w:tc>
        <w:tc>
          <w:tcPr>
            <w:tcW w:w="1924" w:type="dxa"/>
            <w:vAlign w:val="center"/>
          </w:tcPr>
          <w:p w:rsidR="002C13CD" w:rsidRDefault="00DE3AE5">
            <w:pPr>
              <w:jc w:val="right"/>
            </w:pPr>
            <w:r>
              <w:rPr>
                <w:color w:val="000000"/>
                <w:sz w:val="24"/>
                <w:szCs w:val="24"/>
              </w:rPr>
              <w:t>7,606,827.10</w:t>
            </w:r>
          </w:p>
        </w:tc>
        <w:tc>
          <w:tcPr>
            <w:tcW w:w="1644" w:type="dxa"/>
            <w:vAlign w:val="center"/>
          </w:tcPr>
          <w:p w:rsidR="002C13CD" w:rsidRDefault="00DE3AE5">
            <w:pPr>
              <w:jc w:val="right"/>
            </w:pPr>
            <w:r>
              <w:rPr>
                <w:color w:val="000000"/>
                <w:sz w:val="24"/>
                <w:szCs w:val="24"/>
              </w:rPr>
              <w:t>4.15</w:t>
            </w:r>
          </w:p>
        </w:tc>
      </w:tr>
      <w:tr w:rsidR="002C13CD">
        <w:trPr>
          <w:jc w:val="center"/>
        </w:trPr>
        <w:tc>
          <w:tcPr>
            <w:tcW w:w="855" w:type="dxa"/>
            <w:vAlign w:val="center"/>
          </w:tcPr>
          <w:p w:rsidR="002C13CD" w:rsidRDefault="00DE3AE5">
            <w:pPr>
              <w:jc w:val="center"/>
            </w:pPr>
            <w:r>
              <w:rPr>
                <w:color w:val="000000"/>
                <w:sz w:val="24"/>
                <w:szCs w:val="24"/>
              </w:rPr>
              <w:t>7</w:t>
            </w:r>
          </w:p>
        </w:tc>
        <w:tc>
          <w:tcPr>
            <w:tcW w:w="1334" w:type="dxa"/>
            <w:vAlign w:val="center"/>
          </w:tcPr>
          <w:p w:rsidR="002C13CD" w:rsidRDefault="00DE3AE5">
            <w:pPr>
              <w:jc w:val="center"/>
            </w:pPr>
            <w:r>
              <w:rPr>
                <w:color w:val="000000"/>
                <w:sz w:val="24"/>
                <w:szCs w:val="24"/>
              </w:rPr>
              <w:t>H01336</w:t>
            </w:r>
          </w:p>
        </w:tc>
        <w:tc>
          <w:tcPr>
            <w:tcW w:w="1777" w:type="dxa"/>
            <w:vAlign w:val="center"/>
          </w:tcPr>
          <w:p w:rsidR="002C13CD" w:rsidRDefault="00DE3AE5">
            <w:pPr>
              <w:jc w:val="center"/>
            </w:pPr>
            <w:r>
              <w:rPr>
                <w:color w:val="000000"/>
                <w:sz w:val="24"/>
                <w:szCs w:val="24"/>
              </w:rPr>
              <w:t>新华保险</w:t>
            </w:r>
          </w:p>
        </w:tc>
        <w:tc>
          <w:tcPr>
            <w:tcW w:w="1334" w:type="dxa"/>
            <w:vAlign w:val="center"/>
          </w:tcPr>
          <w:p w:rsidR="002C13CD" w:rsidRDefault="00DE3AE5">
            <w:pPr>
              <w:jc w:val="right"/>
            </w:pPr>
            <w:r>
              <w:rPr>
                <w:color w:val="000000"/>
                <w:sz w:val="24"/>
                <w:szCs w:val="24"/>
              </w:rPr>
              <w:t>230,000</w:t>
            </w:r>
          </w:p>
        </w:tc>
        <w:tc>
          <w:tcPr>
            <w:tcW w:w="1924" w:type="dxa"/>
            <w:vAlign w:val="center"/>
          </w:tcPr>
          <w:p w:rsidR="002C13CD" w:rsidRDefault="00DE3AE5">
            <w:pPr>
              <w:jc w:val="right"/>
            </w:pPr>
            <w:r>
              <w:rPr>
                <w:color w:val="000000"/>
                <w:sz w:val="24"/>
                <w:szCs w:val="24"/>
              </w:rPr>
              <w:t>7,555,092.90</w:t>
            </w:r>
          </w:p>
        </w:tc>
        <w:tc>
          <w:tcPr>
            <w:tcW w:w="1644" w:type="dxa"/>
            <w:vAlign w:val="center"/>
          </w:tcPr>
          <w:p w:rsidR="002C13CD" w:rsidRDefault="00DE3AE5">
            <w:pPr>
              <w:jc w:val="right"/>
            </w:pPr>
            <w:r>
              <w:rPr>
                <w:color w:val="000000"/>
                <w:sz w:val="24"/>
                <w:szCs w:val="24"/>
              </w:rPr>
              <w:t>4.13</w:t>
            </w:r>
          </w:p>
        </w:tc>
      </w:tr>
      <w:tr w:rsidR="002C13CD">
        <w:trPr>
          <w:jc w:val="center"/>
        </w:trPr>
        <w:tc>
          <w:tcPr>
            <w:tcW w:w="855" w:type="dxa"/>
            <w:vAlign w:val="center"/>
          </w:tcPr>
          <w:p w:rsidR="002C13CD" w:rsidRDefault="00DE3AE5">
            <w:pPr>
              <w:jc w:val="center"/>
            </w:pPr>
            <w:r>
              <w:rPr>
                <w:color w:val="000000"/>
                <w:sz w:val="24"/>
                <w:szCs w:val="24"/>
              </w:rPr>
              <w:t>8</w:t>
            </w:r>
          </w:p>
        </w:tc>
        <w:tc>
          <w:tcPr>
            <w:tcW w:w="1334" w:type="dxa"/>
            <w:vAlign w:val="center"/>
          </w:tcPr>
          <w:p w:rsidR="002C13CD" w:rsidRDefault="00DE3AE5">
            <w:pPr>
              <w:jc w:val="center"/>
            </w:pPr>
            <w:r>
              <w:rPr>
                <w:color w:val="000000"/>
                <w:sz w:val="24"/>
                <w:szCs w:val="24"/>
              </w:rPr>
              <w:t>H02238</w:t>
            </w:r>
          </w:p>
        </w:tc>
        <w:tc>
          <w:tcPr>
            <w:tcW w:w="1777" w:type="dxa"/>
            <w:vAlign w:val="center"/>
          </w:tcPr>
          <w:p w:rsidR="002C13CD" w:rsidRDefault="00DE3AE5">
            <w:pPr>
              <w:jc w:val="center"/>
            </w:pPr>
            <w:r>
              <w:rPr>
                <w:color w:val="000000"/>
                <w:sz w:val="24"/>
                <w:szCs w:val="24"/>
              </w:rPr>
              <w:t>广汽集团</w:t>
            </w:r>
          </w:p>
        </w:tc>
        <w:tc>
          <w:tcPr>
            <w:tcW w:w="1334" w:type="dxa"/>
            <w:vAlign w:val="center"/>
          </w:tcPr>
          <w:p w:rsidR="002C13CD" w:rsidRDefault="00DE3AE5">
            <w:pPr>
              <w:jc w:val="right"/>
            </w:pPr>
            <w:r>
              <w:rPr>
                <w:color w:val="000000"/>
                <w:sz w:val="24"/>
                <w:szCs w:val="24"/>
              </w:rPr>
              <w:t>660,000</w:t>
            </w:r>
          </w:p>
        </w:tc>
        <w:tc>
          <w:tcPr>
            <w:tcW w:w="1924" w:type="dxa"/>
            <w:vAlign w:val="center"/>
          </w:tcPr>
          <w:p w:rsidR="002C13CD" w:rsidRDefault="00DE3AE5">
            <w:pPr>
              <w:jc w:val="right"/>
            </w:pPr>
            <w:r>
              <w:rPr>
                <w:color w:val="000000"/>
                <w:sz w:val="24"/>
                <w:szCs w:val="24"/>
              </w:rPr>
              <w:t>7,289,111.02</w:t>
            </w:r>
          </w:p>
        </w:tc>
        <w:tc>
          <w:tcPr>
            <w:tcW w:w="1644" w:type="dxa"/>
            <w:vAlign w:val="center"/>
          </w:tcPr>
          <w:p w:rsidR="002C13CD" w:rsidRDefault="00DE3AE5">
            <w:pPr>
              <w:jc w:val="right"/>
            </w:pPr>
            <w:r>
              <w:rPr>
                <w:color w:val="000000"/>
                <w:sz w:val="24"/>
                <w:szCs w:val="24"/>
              </w:rPr>
              <w:t>3.98</w:t>
            </w:r>
          </w:p>
        </w:tc>
      </w:tr>
      <w:tr w:rsidR="002C13CD">
        <w:trPr>
          <w:jc w:val="center"/>
        </w:trPr>
        <w:tc>
          <w:tcPr>
            <w:tcW w:w="855" w:type="dxa"/>
            <w:vAlign w:val="center"/>
          </w:tcPr>
          <w:p w:rsidR="002C13CD" w:rsidRDefault="00DE3AE5">
            <w:pPr>
              <w:jc w:val="center"/>
            </w:pPr>
            <w:r>
              <w:rPr>
                <w:color w:val="000000"/>
                <w:sz w:val="24"/>
                <w:szCs w:val="24"/>
              </w:rPr>
              <w:t>9</w:t>
            </w:r>
          </w:p>
        </w:tc>
        <w:tc>
          <w:tcPr>
            <w:tcW w:w="1334" w:type="dxa"/>
            <w:vAlign w:val="center"/>
          </w:tcPr>
          <w:p w:rsidR="002C13CD" w:rsidRDefault="00DE3AE5">
            <w:pPr>
              <w:jc w:val="center"/>
            </w:pPr>
            <w:r>
              <w:rPr>
                <w:color w:val="000000"/>
                <w:sz w:val="24"/>
                <w:szCs w:val="24"/>
              </w:rPr>
              <w:t>000423</w:t>
            </w:r>
          </w:p>
        </w:tc>
        <w:tc>
          <w:tcPr>
            <w:tcW w:w="1777" w:type="dxa"/>
            <w:vAlign w:val="center"/>
          </w:tcPr>
          <w:p w:rsidR="002C13CD" w:rsidRDefault="00DE3AE5">
            <w:pPr>
              <w:jc w:val="center"/>
            </w:pPr>
            <w:r>
              <w:rPr>
                <w:color w:val="000000"/>
                <w:sz w:val="24"/>
                <w:szCs w:val="24"/>
              </w:rPr>
              <w:t>东阿阿胶</w:t>
            </w:r>
          </w:p>
        </w:tc>
        <w:tc>
          <w:tcPr>
            <w:tcW w:w="1334" w:type="dxa"/>
            <w:vAlign w:val="center"/>
          </w:tcPr>
          <w:p w:rsidR="002C13CD" w:rsidRDefault="00DE3AE5">
            <w:pPr>
              <w:jc w:val="right"/>
            </w:pPr>
            <w:r>
              <w:rPr>
                <w:color w:val="000000"/>
                <w:sz w:val="24"/>
                <w:szCs w:val="24"/>
              </w:rPr>
              <w:t>110,000</w:t>
            </w:r>
          </w:p>
        </w:tc>
        <w:tc>
          <w:tcPr>
            <w:tcW w:w="1924" w:type="dxa"/>
            <w:vAlign w:val="center"/>
          </w:tcPr>
          <w:p w:rsidR="002C13CD" w:rsidRDefault="00DE3AE5">
            <w:pPr>
              <w:jc w:val="right"/>
            </w:pPr>
            <w:r>
              <w:rPr>
                <w:color w:val="000000"/>
                <w:sz w:val="24"/>
                <w:szCs w:val="24"/>
              </w:rPr>
              <w:t>7,216,000.00</w:t>
            </w:r>
          </w:p>
        </w:tc>
        <w:tc>
          <w:tcPr>
            <w:tcW w:w="1644" w:type="dxa"/>
            <w:vAlign w:val="center"/>
          </w:tcPr>
          <w:p w:rsidR="002C13CD" w:rsidRDefault="00DE3AE5">
            <w:pPr>
              <w:jc w:val="right"/>
            </w:pPr>
            <w:r>
              <w:rPr>
                <w:color w:val="000000"/>
                <w:sz w:val="24"/>
                <w:szCs w:val="24"/>
              </w:rPr>
              <w:t>3.94</w:t>
            </w:r>
          </w:p>
        </w:tc>
      </w:tr>
      <w:tr w:rsidR="002C13CD">
        <w:trPr>
          <w:jc w:val="center"/>
        </w:trPr>
        <w:tc>
          <w:tcPr>
            <w:tcW w:w="855" w:type="dxa"/>
            <w:vAlign w:val="center"/>
          </w:tcPr>
          <w:p w:rsidR="002C13CD" w:rsidRDefault="00DE3AE5">
            <w:pPr>
              <w:jc w:val="center"/>
            </w:pPr>
            <w:r>
              <w:rPr>
                <w:color w:val="000000"/>
                <w:sz w:val="24"/>
                <w:szCs w:val="24"/>
              </w:rPr>
              <w:t>10</w:t>
            </w:r>
          </w:p>
        </w:tc>
        <w:tc>
          <w:tcPr>
            <w:tcW w:w="1334" w:type="dxa"/>
            <w:vAlign w:val="center"/>
          </w:tcPr>
          <w:p w:rsidR="002C13CD" w:rsidRDefault="00DE3AE5">
            <w:pPr>
              <w:jc w:val="center"/>
            </w:pPr>
            <w:r>
              <w:rPr>
                <w:color w:val="000000"/>
                <w:sz w:val="24"/>
                <w:szCs w:val="24"/>
              </w:rPr>
              <w:t>H00027</w:t>
            </w:r>
          </w:p>
        </w:tc>
        <w:tc>
          <w:tcPr>
            <w:tcW w:w="1777" w:type="dxa"/>
            <w:vAlign w:val="center"/>
          </w:tcPr>
          <w:p w:rsidR="002C13CD" w:rsidRDefault="00DE3AE5">
            <w:pPr>
              <w:jc w:val="center"/>
            </w:pPr>
            <w:r>
              <w:rPr>
                <w:color w:val="000000"/>
                <w:sz w:val="24"/>
                <w:szCs w:val="24"/>
              </w:rPr>
              <w:t>银河娱乐</w:t>
            </w:r>
          </w:p>
        </w:tc>
        <w:tc>
          <w:tcPr>
            <w:tcW w:w="1334" w:type="dxa"/>
            <w:vAlign w:val="center"/>
          </w:tcPr>
          <w:p w:rsidR="002C13CD" w:rsidRDefault="00DE3AE5">
            <w:pPr>
              <w:jc w:val="right"/>
            </w:pPr>
            <w:r>
              <w:rPr>
                <w:color w:val="000000"/>
                <w:sz w:val="24"/>
                <w:szCs w:val="24"/>
              </w:rPr>
              <w:t>180,000</w:t>
            </w:r>
          </w:p>
        </w:tc>
        <w:tc>
          <w:tcPr>
            <w:tcW w:w="1924" w:type="dxa"/>
            <w:vAlign w:val="center"/>
          </w:tcPr>
          <w:p w:rsidR="002C13CD" w:rsidRDefault="00DE3AE5">
            <w:pPr>
              <w:jc w:val="right"/>
            </w:pPr>
            <w:r>
              <w:rPr>
                <w:color w:val="000000"/>
                <w:sz w:val="24"/>
                <w:szCs w:val="24"/>
              </w:rPr>
              <w:t>6,799,583.61</w:t>
            </w:r>
          </w:p>
        </w:tc>
        <w:tc>
          <w:tcPr>
            <w:tcW w:w="1644" w:type="dxa"/>
            <w:vAlign w:val="center"/>
          </w:tcPr>
          <w:p w:rsidR="002C13CD" w:rsidRDefault="00DE3AE5">
            <w:pPr>
              <w:jc w:val="right"/>
            </w:pPr>
            <w:r>
              <w:rPr>
                <w:color w:val="000000"/>
                <w:sz w:val="24"/>
                <w:szCs w:val="24"/>
              </w:rPr>
              <w:t>3.71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注：香港上市的港股股票代码前增加</w:t>
      </w:r>
      <w:r w:rsidRPr="00414345">
        <w:rPr>
          <w:color w:val="000000"/>
          <w:sz w:val="24"/>
          <w:szCs w:val="24"/>
        </w:rPr>
        <w:t>H</w:t>
      </w:r>
      <w:r w:rsidRPr="00414345">
        <w:rPr>
          <w:color w:val="000000"/>
          <w:sz w:val="24"/>
          <w:szCs w:val="24"/>
        </w:rPr>
        <w:t>字母，与</w:t>
      </w:r>
      <w:r w:rsidRPr="00414345">
        <w:rPr>
          <w:color w:val="000000"/>
          <w:sz w:val="24"/>
          <w:szCs w:val="24"/>
        </w:rPr>
        <w:t>A</w:t>
      </w:r>
      <w:r w:rsidRPr="00414345">
        <w:rPr>
          <w:color w:val="000000"/>
          <w:sz w:val="24"/>
          <w:szCs w:val="24"/>
        </w:rPr>
        <w:t>股做区分。</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581,551.45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18,398.85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13,799.34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613,749.64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284,007,821.05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36,705,355.17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148,251,181.97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172,461,994.25</w:t>
            </w:r>
          </w:p>
        </w:tc>
      </w:tr>
    </w:tbl>
    <w:p w:rsidR="002C13CD" w:rsidRDefault="00DE3AE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C13CD" w:rsidRDefault="00DE3AE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、中国证监会准予交银施罗德沪港深价值精选灵活配置混合型证券投资基金募集注册的文件；</w:t>
      </w:r>
      <w:r>
        <w:rPr>
          <w:color w:val="000000"/>
          <w:sz w:val="24"/>
          <w:szCs w:val="24"/>
        </w:rPr>
        <w:t xml:space="preserve"> </w:t>
      </w:r>
    </w:p>
    <w:p w:rsidR="002C13CD" w:rsidRDefault="00DE3AE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、《交银施罗德沪港深价值精选灵活配置混合型证券投资基金基金合同》；</w:t>
      </w:r>
      <w:r>
        <w:rPr>
          <w:color w:val="000000"/>
          <w:sz w:val="24"/>
          <w:szCs w:val="24"/>
        </w:rPr>
        <w:t xml:space="preserve"> </w:t>
      </w:r>
    </w:p>
    <w:p w:rsidR="002C13CD" w:rsidRDefault="00DE3AE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、《交银施罗德沪港深价值精选灵活配置混合型证券投资基金招募说明书》；</w:t>
      </w:r>
      <w:r>
        <w:rPr>
          <w:color w:val="000000"/>
          <w:sz w:val="24"/>
          <w:szCs w:val="24"/>
        </w:rPr>
        <w:t xml:space="preserve"> </w:t>
      </w:r>
    </w:p>
    <w:p w:rsidR="002C13CD" w:rsidRDefault="00DE3AE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、《交银施罗德沪港深价值精选灵活配置混合型证券投资基金托管协议》；</w:t>
      </w:r>
      <w:r>
        <w:rPr>
          <w:color w:val="000000"/>
          <w:sz w:val="24"/>
          <w:szCs w:val="24"/>
        </w:rPr>
        <w:t xml:space="preserve"> </w:t>
      </w:r>
    </w:p>
    <w:p w:rsidR="002C13CD" w:rsidRDefault="00DE3AE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、关于申请募集注册交银施罗德沪港深价值精选灵活配置混合型证券投资基金的法律意见书；</w:t>
      </w:r>
      <w:r>
        <w:rPr>
          <w:color w:val="000000"/>
          <w:sz w:val="24"/>
          <w:szCs w:val="24"/>
        </w:rPr>
        <w:t xml:space="preserve"> </w:t>
      </w:r>
    </w:p>
    <w:p w:rsidR="002C13CD" w:rsidRDefault="00DE3AE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C13CD" w:rsidRDefault="00DE3AE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、报告期内交银施罗德沪港深价值精选灵活配置混合型证券投资基金在指定报刊上各项公告的原稿。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C13CD" w:rsidRDefault="00DE3AE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0DD" w:rsidRDefault="004830DD" w:rsidP="00876D65">
      <w:r>
        <w:separator/>
      </w:r>
    </w:p>
  </w:endnote>
  <w:endnote w:type="continuationSeparator" w:id="0">
    <w:p w:rsidR="004830DD" w:rsidRDefault="004830D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640DEF">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640DEF">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0DD" w:rsidRDefault="004830DD" w:rsidP="00876D65">
      <w:r>
        <w:separator/>
      </w:r>
    </w:p>
  </w:footnote>
  <w:footnote w:type="continuationSeparator" w:id="0">
    <w:p w:rsidR="004830DD" w:rsidRDefault="004830D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13CD"/>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30DD"/>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0DEF"/>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0D1D"/>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100C"/>
    <w:rsid w:val="008D363B"/>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3AE5"/>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569AD"/>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404D7-3BE5-48A6-860E-5CA1AE64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dc:creator>
  <cp:lastModifiedBy>许帆</cp:lastModifiedBy>
  <cp:revision>2</cp:revision>
  <dcterms:created xsi:type="dcterms:W3CDTF">2017-04-20T09:42:00Z</dcterms:created>
  <dcterms:modified xsi:type="dcterms:W3CDTF">2017-04-20T09:42:00Z</dcterms:modified>
</cp:coreProperties>
</file>