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12D6B" w:rsidRDefault="000D101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12D6B" w:rsidRDefault="000D101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12D6B" w:rsidRDefault="000D101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12D6B" w:rsidRDefault="000D101B">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912D6B" w:rsidRDefault="000D101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149,124,165.71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w:t>
            </w:r>
            <w:proofErr w:type="gramStart"/>
            <w:r w:rsidRPr="00414345">
              <w:rPr>
                <w:color w:val="000000"/>
                <w:kern w:val="0"/>
                <w:sz w:val="24"/>
                <w:szCs w:val="24"/>
              </w:rPr>
              <w:t>券</w:t>
            </w:r>
            <w:proofErr w:type="gramEnd"/>
            <w:r w:rsidRPr="00414345">
              <w:rPr>
                <w:color w:val="000000"/>
                <w:kern w:val="0"/>
                <w:sz w:val="24"/>
                <w:szCs w:val="24"/>
              </w:rPr>
              <w:t>，在控制信用风险、利率风险和流动性风险前提下，力求通过主动承担适度信用风险获得持续投资收益，谋求基金资产的长期稳定增长。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w:t>
            </w:r>
            <w:proofErr w:type="gramStart"/>
            <w:r w:rsidRPr="00414345">
              <w:rPr>
                <w:color w:val="000000"/>
                <w:kern w:val="0"/>
                <w:sz w:val="24"/>
                <w:szCs w:val="24"/>
              </w:rPr>
              <w:t>组合久期及</w:t>
            </w:r>
            <w:proofErr w:type="gramEnd"/>
            <w:r w:rsidRPr="00414345">
              <w:rPr>
                <w:color w:val="000000"/>
                <w:kern w:val="0"/>
                <w:sz w:val="24"/>
                <w:szCs w:val="24"/>
              </w:rPr>
              <w:t>债券类属配置；在严谨深入的信用分析基础上，综合</w:t>
            </w:r>
            <w:proofErr w:type="gramStart"/>
            <w:r w:rsidRPr="00414345">
              <w:rPr>
                <w:color w:val="000000"/>
                <w:kern w:val="0"/>
                <w:sz w:val="24"/>
                <w:szCs w:val="24"/>
              </w:rPr>
              <w:t>考量</w:t>
            </w:r>
            <w:proofErr w:type="gramEnd"/>
            <w:r w:rsidRPr="00414345">
              <w:rPr>
                <w:color w:val="000000"/>
                <w:kern w:val="0"/>
                <w:sz w:val="24"/>
                <w:szCs w:val="24"/>
              </w:rPr>
              <w:t>信用债券的信用评级，</w:t>
            </w:r>
            <w:r w:rsidRPr="00414345">
              <w:rPr>
                <w:color w:val="000000"/>
                <w:kern w:val="0"/>
                <w:sz w:val="24"/>
                <w:szCs w:val="24"/>
              </w:rPr>
              <w:lastRenderedPageBreak/>
              <w:t>以及各类债券的流动性、供求关系和收益率水平等，自下而上地精选个</w:t>
            </w:r>
            <w:proofErr w:type="gramStart"/>
            <w:r w:rsidRPr="00414345">
              <w:rPr>
                <w:color w:val="000000"/>
                <w:kern w:val="0"/>
                <w:sz w:val="24"/>
                <w:szCs w:val="24"/>
              </w:rPr>
              <w:t>券</w:t>
            </w:r>
            <w:proofErr w:type="gramEnd"/>
            <w:r w:rsidRPr="00414345">
              <w:rPr>
                <w:color w:val="000000"/>
                <w:kern w:val="0"/>
                <w:sz w:val="24"/>
                <w:szCs w:val="24"/>
              </w:rPr>
              <w:t>。同时，本基金也会关注股票一级市场、权证一级市场等其它相关市场存在的投资机会，力争实现基金总体风险收益特征保持不变前提下的基金资产增值最大化。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w:t>
            </w:r>
            <w:proofErr w:type="gramStart"/>
            <w:r w:rsidRPr="00414345">
              <w:rPr>
                <w:color w:val="000000"/>
                <w:kern w:val="0"/>
                <w:sz w:val="24"/>
                <w:szCs w:val="24"/>
              </w:rPr>
              <w:t>债企业债总全价指数</w:t>
            </w:r>
            <w:proofErr w:type="gramEnd"/>
            <w:r w:rsidRPr="00414345">
              <w:rPr>
                <w:color w:val="000000"/>
                <w:kern w:val="0"/>
                <w:sz w:val="24"/>
                <w:szCs w:val="24"/>
              </w:rPr>
              <w:t>收益率</w:t>
            </w:r>
            <w:r w:rsidRPr="00414345">
              <w:rPr>
                <w:color w:val="000000"/>
                <w:kern w:val="0"/>
                <w:sz w:val="24"/>
                <w:szCs w:val="24"/>
              </w:rPr>
              <w:t>+20%×</w:t>
            </w:r>
            <w:r w:rsidRPr="00414345">
              <w:rPr>
                <w:color w:val="000000"/>
                <w:kern w:val="0"/>
                <w:sz w:val="24"/>
                <w:szCs w:val="24"/>
              </w:rPr>
              <w:t>中债国债总</w:t>
            </w:r>
            <w:proofErr w:type="gramStart"/>
            <w:r w:rsidRPr="00414345">
              <w:rPr>
                <w:color w:val="000000"/>
                <w:kern w:val="0"/>
                <w:sz w:val="24"/>
                <w:szCs w:val="24"/>
              </w:rPr>
              <w:t>全价指数</w:t>
            </w:r>
            <w:proofErr w:type="gramEnd"/>
            <w:r w:rsidRPr="00414345">
              <w:rPr>
                <w:color w:val="000000"/>
                <w:kern w:val="0"/>
                <w:sz w:val="24"/>
                <w:szCs w:val="24"/>
              </w:rPr>
              <w:t>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D101B" w:rsidRPr="00414345" w:rsidTr="000D101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D101B" w:rsidRPr="00414345" w:rsidTr="000D101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1,419,967.13</w:t>
            </w:r>
          </w:p>
        </w:tc>
      </w:tr>
      <w:tr w:rsidR="000D101B" w:rsidRPr="00414345" w:rsidTr="000D101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1,383,647.34</w:t>
            </w:r>
          </w:p>
        </w:tc>
      </w:tr>
      <w:tr w:rsidR="000D101B" w:rsidRPr="00414345" w:rsidTr="000D101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0.0091</w:t>
            </w:r>
          </w:p>
        </w:tc>
      </w:tr>
      <w:tr w:rsidR="000D101B" w:rsidRPr="00414345" w:rsidTr="000D101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202,595,252.05</w:t>
            </w:r>
          </w:p>
        </w:tc>
      </w:tr>
      <w:tr w:rsidR="000D101B" w:rsidRPr="00414345" w:rsidTr="000D101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1.359</w:t>
            </w:r>
          </w:p>
        </w:tc>
      </w:tr>
    </w:tbl>
    <w:p w:rsidR="00912D6B" w:rsidRDefault="000D101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81"/>
        <w:gridCol w:w="992"/>
        <w:gridCol w:w="1417"/>
        <w:gridCol w:w="1276"/>
        <w:gridCol w:w="1418"/>
        <w:gridCol w:w="1134"/>
        <w:gridCol w:w="1150"/>
      </w:tblGrid>
      <w:tr w:rsidR="00EF6FA5" w:rsidRPr="00414345" w:rsidTr="000D101B">
        <w:trPr>
          <w:jc w:val="center"/>
        </w:trPr>
        <w:tc>
          <w:tcPr>
            <w:tcW w:w="148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150"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12D6B" w:rsidTr="000D101B">
        <w:trPr>
          <w:jc w:val="center"/>
        </w:trPr>
        <w:tc>
          <w:tcPr>
            <w:tcW w:w="1481" w:type="dxa"/>
            <w:vAlign w:val="center"/>
          </w:tcPr>
          <w:p w:rsidR="00912D6B" w:rsidRDefault="000D101B">
            <w:pPr>
              <w:jc w:val="left"/>
            </w:pPr>
            <w:r>
              <w:rPr>
                <w:color w:val="000000"/>
                <w:sz w:val="24"/>
                <w:szCs w:val="24"/>
              </w:rPr>
              <w:t>过去三个月</w:t>
            </w:r>
          </w:p>
        </w:tc>
        <w:tc>
          <w:tcPr>
            <w:tcW w:w="992" w:type="dxa"/>
            <w:vAlign w:val="center"/>
          </w:tcPr>
          <w:p w:rsidR="00912D6B" w:rsidRDefault="000D101B">
            <w:pPr>
              <w:jc w:val="center"/>
            </w:pPr>
            <w:r>
              <w:rPr>
                <w:color w:val="000000"/>
                <w:sz w:val="24"/>
                <w:szCs w:val="24"/>
              </w:rPr>
              <w:t>0.67%</w:t>
            </w:r>
          </w:p>
        </w:tc>
        <w:tc>
          <w:tcPr>
            <w:tcW w:w="1417" w:type="dxa"/>
            <w:vAlign w:val="center"/>
          </w:tcPr>
          <w:p w:rsidR="00912D6B" w:rsidRDefault="000D101B">
            <w:pPr>
              <w:jc w:val="center"/>
            </w:pPr>
            <w:r>
              <w:rPr>
                <w:color w:val="000000"/>
                <w:sz w:val="24"/>
                <w:szCs w:val="24"/>
              </w:rPr>
              <w:t>0.06%</w:t>
            </w:r>
          </w:p>
        </w:tc>
        <w:tc>
          <w:tcPr>
            <w:tcW w:w="1276" w:type="dxa"/>
            <w:vAlign w:val="center"/>
          </w:tcPr>
          <w:p w:rsidR="00912D6B" w:rsidRDefault="000D101B">
            <w:pPr>
              <w:jc w:val="center"/>
            </w:pPr>
            <w:r>
              <w:rPr>
                <w:color w:val="000000"/>
                <w:sz w:val="24"/>
                <w:szCs w:val="24"/>
              </w:rPr>
              <w:t>-3.08%</w:t>
            </w:r>
          </w:p>
        </w:tc>
        <w:tc>
          <w:tcPr>
            <w:tcW w:w="1418" w:type="dxa"/>
            <w:vAlign w:val="center"/>
          </w:tcPr>
          <w:p w:rsidR="00912D6B" w:rsidRDefault="000D101B">
            <w:pPr>
              <w:jc w:val="center"/>
            </w:pPr>
            <w:r>
              <w:rPr>
                <w:color w:val="000000"/>
                <w:sz w:val="24"/>
                <w:szCs w:val="24"/>
              </w:rPr>
              <w:t>0.09%</w:t>
            </w:r>
          </w:p>
        </w:tc>
        <w:tc>
          <w:tcPr>
            <w:tcW w:w="1134" w:type="dxa"/>
            <w:vAlign w:val="center"/>
          </w:tcPr>
          <w:p w:rsidR="00912D6B" w:rsidRDefault="000D101B">
            <w:pPr>
              <w:jc w:val="center"/>
            </w:pPr>
            <w:r>
              <w:rPr>
                <w:color w:val="000000"/>
                <w:sz w:val="24"/>
                <w:szCs w:val="24"/>
              </w:rPr>
              <w:t>3.75%</w:t>
            </w:r>
          </w:p>
        </w:tc>
        <w:tc>
          <w:tcPr>
            <w:tcW w:w="1150" w:type="dxa"/>
            <w:vAlign w:val="center"/>
          </w:tcPr>
          <w:p w:rsidR="00912D6B" w:rsidRDefault="000D101B">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12D6B">
        <w:trPr>
          <w:jc w:val="center"/>
        </w:trPr>
        <w:tc>
          <w:tcPr>
            <w:tcW w:w="846" w:type="dxa"/>
            <w:vAlign w:val="center"/>
          </w:tcPr>
          <w:p w:rsidR="00912D6B" w:rsidRDefault="000D101B">
            <w:pPr>
              <w:jc w:val="center"/>
            </w:pPr>
            <w:r>
              <w:rPr>
                <w:color w:val="000000"/>
                <w:sz w:val="24"/>
                <w:szCs w:val="24"/>
              </w:rPr>
              <w:t>唐赟</w:t>
            </w:r>
          </w:p>
        </w:tc>
        <w:tc>
          <w:tcPr>
            <w:tcW w:w="845" w:type="dxa"/>
            <w:vAlign w:val="center"/>
          </w:tcPr>
          <w:p w:rsidR="00912D6B" w:rsidRDefault="000D101B">
            <w:pPr>
              <w:jc w:val="center"/>
            </w:pPr>
            <w:r>
              <w:rPr>
                <w:color w:val="000000"/>
                <w:sz w:val="24"/>
                <w:szCs w:val="24"/>
              </w:rPr>
              <w:t>交银信用添利债券</w:t>
            </w:r>
            <w:r>
              <w:rPr>
                <w:color w:val="000000"/>
                <w:sz w:val="24"/>
                <w:szCs w:val="24"/>
              </w:rPr>
              <w:t>(LOF)</w:t>
            </w:r>
            <w:r>
              <w:rPr>
                <w:color w:val="000000"/>
                <w:sz w:val="24"/>
                <w:szCs w:val="24"/>
              </w:rPr>
              <w:t>、</w:t>
            </w:r>
            <w:proofErr w:type="gramStart"/>
            <w:r>
              <w:rPr>
                <w:color w:val="000000"/>
                <w:sz w:val="24"/>
                <w:szCs w:val="24"/>
              </w:rPr>
              <w:t>交银双利</w:t>
            </w:r>
            <w:proofErr w:type="gramEnd"/>
            <w:r>
              <w:rPr>
                <w:color w:val="000000"/>
                <w:sz w:val="24"/>
                <w:szCs w:val="24"/>
              </w:rPr>
              <w:t>债券、交银双轮动债券、</w:t>
            </w:r>
            <w:proofErr w:type="gramStart"/>
            <w:r>
              <w:rPr>
                <w:color w:val="000000"/>
                <w:sz w:val="24"/>
                <w:szCs w:val="24"/>
              </w:rPr>
              <w:t>交银荣和</w:t>
            </w:r>
            <w:proofErr w:type="gramEnd"/>
            <w:r>
              <w:rPr>
                <w:color w:val="000000"/>
                <w:sz w:val="24"/>
                <w:szCs w:val="24"/>
              </w:rPr>
              <w:t>保本混合、交</w:t>
            </w:r>
            <w:proofErr w:type="gramStart"/>
            <w:r>
              <w:rPr>
                <w:color w:val="000000"/>
                <w:sz w:val="24"/>
                <w:szCs w:val="24"/>
              </w:rPr>
              <w:t>银裕通纯债</w:t>
            </w:r>
            <w:proofErr w:type="gramEnd"/>
            <w:r>
              <w:rPr>
                <w:color w:val="000000"/>
                <w:sz w:val="24"/>
                <w:szCs w:val="24"/>
              </w:rPr>
              <w:t>债券的基金经理</w:t>
            </w:r>
          </w:p>
        </w:tc>
        <w:tc>
          <w:tcPr>
            <w:tcW w:w="1549" w:type="dxa"/>
            <w:vAlign w:val="center"/>
          </w:tcPr>
          <w:p w:rsidR="00912D6B" w:rsidRDefault="000D101B">
            <w:pPr>
              <w:jc w:val="center"/>
            </w:pPr>
            <w:r>
              <w:rPr>
                <w:color w:val="000000"/>
                <w:sz w:val="24"/>
                <w:szCs w:val="24"/>
              </w:rPr>
              <w:t>2015-08-04</w:t>
            </w:r>
          </w:p>
        </w:tc>
        <w:tc>
          <w:tcPr>
            <w:tcW w:w="1548" w:type="dxa"/>
            <w:vAlign w:val="center"/>
          </w:tcPr>
          <w:p w:rsidR="00912D6B" w:rsidRDefault="000D101B">
            <w:pPr>
              <w:jc w:val="center"/>
            </w:pPr>
            <w:r>
              <w:rPr>
                <w:color w:val="000000"/>
                <w:sz w:val="24"/>
                <w:szCs w:val="24"/>
              </w:rPr>
              <w:t>-</w:t>
            </w:r>
          </w:p>
        </w:tc>
        <w:tc>
          <w:tcPr>
            <w:tcW w:w="1407" w:type="dxa"/>
            <w:vAlign w:val="center"/>
          </w:tcPr>
          <w:p w:rsidR="00912D6B" w:rsidRDefault="000D101B">
            <w:pPr>
              <w:jc w:val="center"/>
            </w:pPr>
            <w:r>
              <w:rPr>
                <w:color w:val="000000"/>
                <w:sz w:val="24"/>
                <w:szCs w:val="24"/>
              </w:rPr>
              <w:t>5</w:t>
            </w:r>
            <w:r>
              <w:rPr>
                <w:color w:val="000000"/>
                <w:sz w:val="24"/>
                <w:szCs w:val="24"/>
              </w:rPr>
              <w:t>年</w:t>
            </w:r>
          </w:p>
        </w:tc>
        <w:tc>
          <w:tcPr>
            <w:tcW w:w="2673" w:type="dxa"/>
            <w:vAlign w:val="center"/>
          </w:tcPr>
          <w:p w:rsidR="00912D6B" w:rsidRDefault="000D101B">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12D6B" w:rsidRDefault="000D101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12D6B" w:rsidRDefault="000D101B">
      <w:pPr>
        <w:spacing w:before="29" w:line="288" w:lineRule="auto"/>
        <w:ind w:firstLineChars="200" w:firstLine="480"/>
        <w:rPr>
          <w:color w:val="000000"/>
          <w:sz w:val="24"/>
          <w:szCs w:val="24"/>
        </w:rPr>
      </w:pPr>
      <w:r>
        <w:rPr>
          <w:color w:val="000000"/>
          <w:sz w:val="24"/>
          <w:szCs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12D6B" w:rsidRDefault="000D101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9A59D4" w:rsidRPr="00414345" w:rsidRDefault="009A59D4" w:rsidP="00C15CAC">
      <w:pPr>
        <w:spacing w:before="29" w:line="288" w:lineRule="auto"/>
        <w:ind w:firstLineChars="200" w:firstLine="480"/>
        <w:rPr>
          <w:rFonts w:hint="eastAsia"/>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0D101B" w:rsidP="009A59D4">
      <w:pPr>
        <w:spacing w:before="29" w:line="288" w:lineRule="auto"/>
        <w:ind w:firstLineChars="200" w:firstLine="480"/>
        <w:rPr>
          <w:rFonts w:hint="eastAsia"/>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12D6B" w:rsidRDefault="000D101B">
      <w:pPr>
        <w:spacing w:before="29" w:line="288" w:lineRule="auto"/>
        <w:ind w:firstLineChars="200" w:firstLine="480"/>
        <w:rPr>
          <w:color w:val="000000"/>
          <w:sz w:val="24"/>
          <w:szCs w:val="24"/>
        </w:rPr>
      </w:pPr>
      <w:r>
        <w:rPr>
          <w:color w:val="000000"/>
          <w:sz w:val="24"/>
          <w:szCs w:val="24"/>
        </w:rPr>
        <w:t>本报告期内，伴随着央行逐步调高公开市场操作利率，债券长短端收益率都出现了明显的上行。权益类资产经过去年底的调整后，在一季度中小幅上涨，但</w:t>
      </w:r>
      <w:proofErr w:type="gramStart"/>
      <w:r>
        <w:rPr>
          <w:color w:val="000000"/>
          <w:sz w:val="24"/>
          <w:szCs w:val="24"/>
        </w:rPr>
        <w:t>可转债受未来</w:t>
      </w:r>
      <w:proofErr w:type="gramEnd"/>
      <w:r>
        <w:rPr>
          <w:color w:val="000000"/>
          <w:sz w:val="24"/>
          <w:szCs w:val="24"/>
        </w:rPr>
        <w:t>供给放量的压制，在一季度中震荡走平。</w:t>
      </w:r>
    </w:p>
    <w:p w:rsidR="00912D6B" w:rsidRDefault="000D101B">
      <w:pPr>
        <w:spacing w:before="29" w:line="288" w:lineRule="auto"/>
        <w:ind w:firstLineChars="200" w:firstLine="480"/>
        <w:rPr>
          <w:color w:val="000000"/>
          <w:sz w:val="24"/>
          <w:szCs w:val="24"/>
        </w:rPr>
      </w:pPr>
      <w:r>
        <w:rPr>
          <w:color w:val="000000"/>
          <w:sz w:val="24"/>
          <w:szCs w:val="24"/>
        </w:rPr>
        <w:t>本报告期内，本基金始终维持存单、</w:t>
      </w:r>
      <w:proofErr w:type="gramStart"/>
      <w:r>
        <w:rPr>
          <w:color w:val="000000"/>
          <w:sz w:val="24"/>
          <w:szCs w:val="24"/>
        </w:rPr>
        <w:t>短融为主</w:t>
      </w:r>
      <w:proofErr w:type="gramEnd"/>
      <w:r>
        <w:rPr>
          <w:color w:val="000000"/>
          <w:sz w:val="24"/>
          <w:szCs w:val="24"/>
        </w:rPr>
        <w:t>的信用债底仓，组合控制在较短久期。在市场收益率上行的过程中获取了稳定的票息收入，且避免了资本亏损带来的净值下跌。</w:t>
      </w:r>
    </w:p>
    <w:p w:rsidR="00912D6B" w:rsidRDefault="000D101B">
      <w:pPr>
        <w:spacing w:before="29" w:line="288" w:lineRule="auto"/>
        <w:ind w:firstLineChars="200" w:firstLine="480"/>
        <w:rPr>
          <w:color w:val="000000"/>
          <w:sz w:val="24"/>
          <w:szCs w:val="24"/>
        </w:rPr>
      </w:pPr>
      <w:r>
        <w:rPr>
          <w:color w:val="000000"/>
          <w:sz w:val="24"/>
          <w:szCs w:val="24"/>
        </w:rPr>
        <w:t>展望二季度，短期内反弹的逻辑难以证伪，</w:t>
      </w:r>
      <w:r>
        <w:rPr>
          <w:color w:val="000000"/>
          <w:sz w:val="24"/>
          <w:szCs w:val="24"/>
        </w:rPr>
        <w:t>PPI</w:t>
      </w:r>
      <w:r>
        <w:rPr>
          <w:color w:val="000000"/>
          <w:sz w:val="24"/>
          <w:szCs w:val="24"/>
        </w:rPr>
        <w:t>仍处在较高位置，而国内中性偏紧的货币政策在二季度看到转向的可能性不大，判断二季度债券市场仍将受到来自基本面的压力。虽然经过去年四季度以来的上行后，利率债收益率已体现一定的配置价值，但在二季度即出现大幅下行的概率不大。另外，信用债的信用利差仍处于历史地位，尤其是低等级信用债利差未能充分反映未来的信用风险。相比之下，存单、</w:t>
      </w:r>
      <w:proofErr w:type="gramStart"/>
      <w:r>
        <w:rPr>
          <w:color w:val="000000"/>
          <w:sz w:val="24"/>
          <w:szCs w:val="24"/>
        </w:rPr>
        <w:t>短融等</w:t>
      </w:r>
      <w:proofErr w:type="gramEnd"/>
      <w:r>
        <w:rPr>
          <w:color w:val="000000"/>
          <w:sz w:val="24"/>
          <w:szCs w:val="24"/>
        </w:rPr>
        <w:t>短端</w:t>
      </w:r>
      <w:proofErr w:type="gramStart"/>
      <w:r>
        <w:rPr>
          <w:color w:val="000000"/>
          <w:sz w:val="24"/>
          <w:szCs w:val="24"/>
        </w:rPr>
        <w:t>信用债能提供</w:t>
      </w:r>
      <w:proofErr w:type="gramEnd"/>
      <w:r>
        <w:rPr>
          <w:color w:val="000000"/>
          <w:sz w:val="24"/>
          <w:szCs w:val="24"/>
        </w:rPr>
        <w:t>不错的票息收入的同时，兼具相对较高的确定性。本基金在二季度预计仍将采取高等级</w:t>
      </w:r>
      <w:proofErr w:type="gramStart"/>
      <w:r>
        <w:rPr>
          <w:color w:val="000000"/>
          <w:sz w:val="24"/>
          <w:szCs w:val="24"/>
        </w:rPr>
        <w:t>短久期</w:t>
      </w:r>
      <w:proofErr w:type="gramEnd"/>
      <w:r>
        <w:rPr>
          <w:color w:val="000000"/>
          <w:sz w:val="24"/>
          <w:szCs w:val="24"/>
        </w:rPr>
        <w:t>信用底仓的防御性策略，并根据未来基本面的变化择机用长</w:t>
      </w:r>
      <w:proofErr w:type="gramStart"/>
      <w:r>
        <w:rPr>
          <w:color w:val="000000"/>
          <w:sz w:val="24"/>
          <w:szCs w:val="24"/>
        </w:rPr>
        <w:t>端利率</w:t>
      </w:r>
      <w:proofErr w:type="gramEnd"/>
      <w:r>
        <w:rPr>
          <w:color w:val="000000"/>
          <w:sz w:val="24"/>
          <w:szCs w:val="24"/>
        </w:rPr>
        <w:t>调整组合久期。</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对于可转债，我们认为目前可转</w:t>
      </w:r>
      <w:proofErr w:type="gramStart"/>
      <w:r w:rsidRPr="00414345">
        <w:rPr>
          <w:color w:val="000000"/>
          <w:sz w:val="24"/>
          <w:szCs w:val="24"/>
        </w:rPr>
        <w:t>债未来</w:t>
      </w:r>
      <w:proofErr w:type="gramEnd"/>
      <w:r w:rsidRPr="00414345">
        <w:rPr>
          <w:color w:val="000000"/>
          <w:sz w:val="24"/>
          <w:szCs w:val="24"/>
        </w:rPr>
        <w:t>仍将受到供给的压制，短期内能为组合提供可观的收益的概率不大。等待年内可转债市场供给放量使得市场有效扩容之后，我们仍然期待可转</w:t>
      </w:r>
      <w:proofErr w:type="gramStart"/>
      <w:r w:rsidRPr="00414345">
        <w:rPr>
          <w:color w:val="000000"/>
          <w:sz w:val="24"/>
          <w:szCs w:val="24"/>
        </w:rPr>
        <w:t>债资产</w:t>
      </w:r>
      <w:proofErr w:type="gramEnd"/>
      <w:r w:rsidRPr="00414345">
        <w:rPr>
          <w:color w:val="000000"/>
          <w:sz w:val="24"/>
          <w:szCs w:val="24"/>
        </w:rPr>
        <w:t>的表现。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1.359</w:t>
      </w:r>
      <w:r w:rsidRPr="00414345">
        <w:rPr>
          <w:color w:val="000000"/>
          <w:sz w:val="24"/>
          <w:szCs w:val="24"/>
        </w:rPr>
        <w:t>元，本报告期份额净值增长率为</w:t>
      </w:r>
      <w:r w:rsidRPr="00414345">
        <w:rPr>
          <w:color w:val="000000"/>
          <w:sz w:val="24"/>
          <w:szCs w:val="24"/>
        </w:rPr>
        <w:t>0.67%</w:t>
      </w:r>
      <w:r w:rsidRPr="00414345">
        <w:rPr>
          <w:color w:val="000000"/>
          <w:sz w:val="24"/>
          <w:szCs w:val="24"/>
        </w:rPr>
        <w:t>，同期业绩比较基准增长率为</w:t>
      </w:r>
      <w:r w:rsidRPr="00414345">
        <w:rPr>
          <w:color w:val="000000"/>
          <w:sz w:val="24"/>
          <w:szCs w:val="24"/>
        </w:rPr>
        <w:t>-3.08%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248,486,233.12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97.70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248,486,233.12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97.70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2,591,145.25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3,249,633.87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254,327,012.24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9A59D4" w:rsidRPr="00414345" w:rsidRDefault="009A59D4" w:rsidP="00C15CAC">
      <w:pPr>
        <w:autoSpaceDE w:val="0"/>
        <w:autoSpaceDN w:val="0"/>
        <w:adjustRightInd w:val="0"/>
        <w:spacing w:before="29" w:line="288" w:lineRule="auto"/>
        <w:jc w:val="left"/>
        <w:rPr>
          <w:rFonts w:hint="eastAsia"/>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10,190,160.00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23,050,000.00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11.38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23,050,000.00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11.38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44,187,100.00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119,820,000.00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59.14</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39,798,000.00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19.64</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11,440,973.12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248,486,233.12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122.65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630"/>
        <w:gridCol w:w="1418"/>
        <w:gridCol w:w="2409"/>
        <w:gridCol w:w="1024"/>
        <w:gridCol w:w="2150"/>
        <w:gridCol w:w="1237"/>
      </w:tblGrid>
      <w:tr w:rsidR="00D57B7C" w:rsidRPr="00414345" w:rsidTr="000D101B">
        <w:trPr>
          <w:jc w:val="center"/>
        </w:trPr>
        <w:tc>
          <w:tcPr>
            <w:tcW w:w="63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240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0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1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12D6B" w:rsidTr="000D101B">
        <w:trPr>
          <w:jc w:val="center"/>
        </w:trPr>
        <w:tc>
          <w:tcPr>
            <w:tcW w:w="630" w:type="dxa"/>
            <w:vAlign w:val="center"/>
          </w:tcPr>
          <w:p w:rsidR="00912D6B" w:rsidRDefault="000D101B">
            <w:pPr>
              <w:jc w:val="center"/>
            </w:pPr>
            <w:r>
              <w:rPr>
                <w:color w:val="000000"/>
                <w:sz w:val="24"/>
                <w:szCs w:val="24"/>
              </w:rPr>
              <w:t>1</w:t>
            </w:r>
          </w:p>
        </w:tc>
        <w:tc>
          <w:tcPr>
            <w:tcW w:w="1418" w:type="dxa"/>
            <w:vAlign w:val="center"/>
          </w:tcPr>
          <w:p w:rsidR="00912D6B" w:rsidRDefault="000D101B">
            <w:pPr>
              <w:jc w:val="center"/>
            </w:pPr>
            <w:r>
              <w:rPr>
                <w:color w:val="000000"/>
                <w:sz w:val="24"/>
                <w:szCs w:val="24"/>
              </w:rPr>
              <w:t>160213</w:t>
            </w:r>
          </w:p>
        </w:tc>
        <w:tc>
          <w:tcPr>
            <w:tcW w:w="2409" w:type="dxa"/>
            <w:vAlign w:val="center"/>
          </w:tcPr>
          <w:p w:rsidR="00912D6B" w:rsidRDefault="000D101B">
            <w:pPr>
              <w:jc w:val="center"/>
            </w:pPr>
            <w:r>
              <w:rPr>
                <w:color w:val="000000"/>
                <w:sz w:val="24"/>
                <w:szCs w:val="24"/>
              </w:rPr>
              <w:t>16</w:t>
            </w:r>
            <w:r>
              <w:rPr>
                <w:color w:val="000000"/>
                <w:sz w:val="24"/>
                <w:szCs w:val="24"/>
              </w:rPr>
              <w:t>国开</w:t>
            </w:r>
            <w:r>
              <w:rPr>
                <w:color w:val="000000"/>
                <w:sz w:val="24"/>
                <w:szCs w:val="24"/>
              </w:rPr>
              <w:t>13</w:t>
            </w:r>
          </w:p>
        </w:tc>
        <w:tc>
          <w:tcPr>
            <w:tcW w:w="1024" w:type="dxa"/>
            <w:vAlign w:val="center"/>
          </w:tcPr>
          <w:p w:rsidR="00912D6B" w:rsidRDefault="000D101B">
            <w:pPr>
              <w:jc w:val="right"/>
            </w:pPr>
            <w:r>
              <w:rPr>
                <w:color w:val="000000"/>
                <w:sz w:val="24"/>
                <w:szCs w:val="24"/>
              </w:rPr>
              <w:t>250,000</w:t>
            </w:r>
          </w:p>
        </w:tc>
        <w:tc>
          <w:tcPr>
            <w:tcW w:w="2150" w:type="dxa"/>
            <w:vAlign w:val="center"/>
          </w:tcPr>
          <w:p w:rsidR="00912D6B" w:rsidRDefault="000D101B">
            <w:pPr>
              <w:jc w:val="right"/>
            </w:pPr>
            <w:r>
              <w:rPr>
                <w:color w:val="000000"/>
                <w:sz w:val="24"/>
                <w:szCs w:val="24"/>
              </w:rPr>
              <w:t>23,050,000.00</w:t>
            </w:r>
          </w:p>
        </w:tc>
        <w:tc>
          <w:tcPr>
            <w:tcW w:w="1237" w:type="dxa"/>
            <w:vAlign w:val="center"/>
          </w:tcPr>
          <w:p w:rsidR="00912D6B" w:rsidRDefault="000D101B">
            <w:pPr>
              <w:jc w:val="right"/>
            </w:pPr>
            <w:r>
              <w:rPr>
                <w:color w:val="000000"/>
                <w:sz w:val="24"/>
                <w:szCs w:val="24"/>
              </w:rPr>
              <w:t>11.38</w:t>
            </w:r>
          </w:p>
        </w:tc>
      </w:tr>
      <w:tr w:rsidR="00912D6B" w:rsidTr="000D101B">
        <w:trPr>
          <w:jc w:val="center"/>
        </w:trPr>
        <w:tc>
          <w:tcPr>
            <w:tcW w:w="630" w:type="dxa"/>
            <w:vAlign w:val="center"/>
          </w:tcPr>
          <w:p w:rsidR="00912D6B" w:rsidRDefault="000D101B">
            <w:pPr>
              <w:jc w:val="center"/>
            </w:pPr>
            <w:r>
              <w:rPr>
                <w:color w:val="000000"/>
                <w:sz w:val="24"/>
                <w:szCs w:val="24"/>
              </w:rPr>
              <w:t>2</w:t>
            </w:r>
          </w:p>
        </w:tc>
        <w:tc>
          <w:tcPr>
            <w:tcW w:w="1418" w:type="dxa"/>
            <w:vAlign w:val="center"/>
          </w:tcPr>
          <w:p w:rsidR="00912D6B" w:rsidRDefault="000D101B">
            <w:pPr>
              <w:jc w:val="center"/>
            </w:pPr>
            <w:r>
              <w:rPr>
                <w:color w:val="000000"/>
                <w:sz w:val="24"/>
                <w:szCs w:val="24"/>
              </w:rPr>
              <w:t>1382136</w:t>
            </w:r>
          </w:p>
        </w:tc>
        <w:tc>
          <w:tcPr>
            <w:tcW w:w="2409" w:type="dxa"/>
            <w:vAlign w:val="center"/>
          </w:tcPr>
          <w:p w:rsidR="00912D6B" w:rsidRDefault="000D101B">
            <w:pPr>
              <w:jc w:val="center"/>
            </w:pPr>
            <w:r>
              <w:rPr>
                <w:color w:val="000000"/>
                <w:sz w:val="24"/>
                <w:szCs w:val="24"/>
              </w:rPr>
              <w:t>13</w:t>
            </w:r>
            <w:r>
              <w:rPr>
                <w:color w:val="000000"/>
                <w:sz w:val="24"/>
                <w:szCs w:val="24"/>
              </w:rPr>
              <w:t>乌兰煤</w:t>
            </w:r>
            <w:r>
              <w:rPr>
                <w:color w:val="000000"/>
                <w:sz w:val="24"/>
                <w:szCs w:val="24"/>
              </w:rPr>
              <w:t>MTN1</w:t>
            </w:r>
          </w:p>
        </w:tc>
        <w:tc>
          <w:tcPr>
            <w:tcW w:w="1024" w:type="dxa"/>
            <w:vAlign w:val="center"/>
          </w:tcPr>
          <w:p w:rsidR="00912D6B" w:rsidRDefault="000D101B">
            <w:pPr>
              <w:jc w:val="right"/>
            </w:pPr>
            <w:r>
              <w:rPr>
                <w:color w:val="000000"/>
                <w:sz w:val="24"/>
                <w:szCs w:val="24"/>
              </w:rPr>
              <w:t>200,000</w:t>
            </w:r>
          </w:p>
        </w:tc>
        <w:tc>
          <w:tcPr>
            <w:tcW w:w="2150" w:type="dxa"/>
            <w:vAlign w:val="center"/>
          </w:tcPr>
          <w:p w:rsidR="00912D6B" w:rsidRDefault="000D101B">
            <w:pPr>
              <w:jc w:val="right"/>
            </w:pPr>
            <w:r>
              <w:rPr>
                <w:color w:val="000000"/>
                <w:sz w:val="24"/>
                <w:szCs w:val="24"/>
              </w:rPr>
              <w:t>20,052,000.00</w:t>
            </w:r>
          </w:p>
        </w:tc>
        <w:tc>
          <w:tcPr>
            <w:tcW w:w="1237" w:type="dxa"/>
            <w:vAlign w:val="center"/>
          </w:tcPr>
          <w:p w:rsidR="00912D6B" w:rsidRDefault="000D101B">
            <w:pPr>
              <w:jc w:val="right"/>
            </w:pPr>
            <w:r>
              <w:rPr>
                <w:color w:val="000000"/>
                <w:sz w:val="24"/>
                <w:szCs w:val="24"/>
              </w:rPr>
              <w:t>9.90</w:t>
            </w:r>
          </w:p>
        </w:tc>
      </w:tr>
      <w:tr w:rsidR="00912D6B" w:rsidTr="000D101B">
        <w:trPr>
          <w:jc w:val="center"/>
        </w:trPr>
        <w:tc>
          <w:tcPr>
            <w:tcW w:w="630" w:type="dxa"/>
            <w:vAlign w:val="center"/>
          </w:tcPr>
          <w:p w:rsidR="00912D6B" w:rsidRDefault="000D101B">
            <w:pPr>
              <w:jc w:val="center"/>
            </w:pPr>
            <w:r>
              <w:rPr>
                <w:color w:val="000000"/>
                <w:sz w:val="24"/>
                <w:szCs w:val="24"/>
              </w:rPr>
              <w:t>3</w:t>
            </w:r>
          </w:p>
        </w:tc>
        <w:tc>
          <w:tcPr>
            <w:tcW w:w="1418" w:type="dxa"/>
            <w:vAlign w:val="center"/>
          </w:tcPr>
          <w:p w:rsidR="00912D6B" w:rsidRDefault="000D101B">
            <w:pPr>
              <w:jc w:val="center"/>
            </w:pPr>
            <w:r>
              <w:rPr>
                <w:color w:val="000000"/>
                <w:sz w:val="24"/>
                <w:szCs w:val="24"/>
              </w:rPr>
              <w:t>011698937</w:t>
            </w:r>
          </w:p>
        </w:tc>
        <w:tc>
          <w:tcPr>
            <w:tcW w:w="2409" w:type="dxa"/>
            <w:vAlign w:val="center"/>
          </w:tcPr>
          <w:p w:rsidR="00912D6B" w:rsidRDefault="000D101B">
            <w:pPr>
              <w:jc w:val="center"/>
            </w:pPr>
            <w:r>
              <w:rPr>
                <w:color w:val="000000"/>
                <w:sz w:val="24"/>
                <w:szCs w:val="24"/>
              </w:rPr>
              <w:t>16</w:t>
            </w:r>
            <w:r>
              <w:rPr>
                <w:color w:val="000000"/>
                <w:sz w:val="24"/>
                <w:szCs w:val="24"/>
              </w:rPr>
              <w:t>兖州煤业</w:t>
            </w:r>
            <w:r>
              <w:rPr>
                <w:color w:val="000000"/>
                <w:sz w:val="24"/>
                <w:szCs w:val="24"/>
              </w:rPr>
              <w:t>SCP008</w:t>
            </w:r>
          </w:p>
        </w:tc>
        <w:tc>
          <w:tcPr>
            <w:tcW w:w="1024" w:type="dxa"/>
            <w:vAlign w:val="center"/>
          </w:tcPr>
          <w:p w:rsidR="00912D6B" w:rsidRDefault="000D101B">
            <w:pPr>
              <w:jc w:val="right"/>
            </w:pPr>
            <w:r>
              <w:rPr>
                <w:color w:val="000000"/>
                <w:sz w:val="24"/>
                <w:szCs w:val="24"/>
              </w:rPr>
              <w:t>200,000</w:t>
            </w:r>
          </w:p>
        </w:tc>
        <w:tc>
          <w:tcPr>
            <w:tcW w:w="2150" w:type="dxa"/>
            <w:vAlign w:val="center"/>
          </w:tcPr>
          <w:p w:rsidR="00912D6B" w:rsidRDefault="000D101B">
            <w:pPr>
              <w:jc w:val="right"/>
            </w:pPr>
            <w:r>
              <w:rPr>
                <w:color w:val="000000"/>
                <w:sz w:val="24"/>
                <w:szCs w:val="24"/>
              </w:rPr>
              <w:t>19,976,000.00</w:t>
            </w:r>
          </w:p>
        </w:tc>
        <w:tc>
          <w:tcPr>
            <w:tcW w:w="1237" w:type="dxa"/>
            <w:vAlign w:val="center"/>
          </w:tcPr>
          <w:p w:rsidR="00912D6B" w:rsidRDefault="000D101B">
            <w:pPr>
              <w:jc w:val="right"/>
            </w:pPr>
            <w:r>
              <w:rPr>
                <w:color w:val="000000"/>
                <w:sz w:val="24"/>
                <w:szCs w:val="24"/>
              </w:rPr>
              <w:t>9.86</w:t>
            </w:r>
          </w:p>
        </w:tc>
      </w:tr>
      <w:tr w:rsidR="00912D6B" w:rsidTr="000D101B">
        <w:trPr>
          <w:jc w:val="center"/>
        </w:trPr>
        <w:tc>
          <w:tcPr>
            <w:tcW w:w="630" w:type="dxa"/>
            <w:vAlign w:val="center"/>
          </w:tcPr>
          <w:p w:rsidR="00912D6B" w:rsidRDefault="000D101B">
            <w:pPr>
              <w:jc w:val="center"/>
            </w:pPr>
            <w:r>
              <w:rPr>
                <w:color w:val="000000"/>
                <w:sz w:val="24"/>
                <w:szCs w:val="24"/>
              </w:rPr>
              <w:t>4</w:t>
            </w:r>
          </w:p>
        </w:tc>
        <w:tc>
          <w:tcPr>
            <w:tcW w:w="1418" w:type="dxa"/>
            <w:vAlign w:val="center"/>
          </w:tcPr>
          <w:p w:rsidR="00912D6B" w:rsidRDefault="000D101B">
            <w:pPr>
              <w:jc w:val="center"/>
            </w:pPr>
            <w:r>
              <w:rPr>
                <w:color w:val="000000"/>
                <w:sz w:val="24"/>
                <w:szCs w:val="24"/>
              </w:rPr>
              <w:t>041662052</w:t>
            </w:r>
          </w:p>
        </w:tc>
        <w:tc>
          <w:tcPr>
            <w:tcW w:w="2409" w:type="dxa"/>
            <w:vAlign w:val="center"/>
          </w:tcPr>
          <w:p w:rsidR="00912D6B" w:rsidRDefault="000D101B">
            <w:pPr>
              <w:jc w:val="center"/>
            </w:pPr>
            <w:r>
              <w:rPr>
                <w:color w:val="000000"/>
                <w:sz w:val="24"/>
                <w:szCs w:val="24"/>
              </w:rPr>
              <w:t>16</w:t>
            </w:r>
            <w:r>
              <w:rPr>
                <w:color w:val="000000"/>
                <w:sz w:val="24"/>
                <w:szCs w:val="24"/>
              </w:rPr>
              <w:t>常熟投资</w:t>
            </w:r>
            <w:r>
              <w:rPr>
                <w:color w:val="000000"/>
                <w:sz w:val="24"/>
                <w:szCs w:val="24"/>
              </w:rPr>
              <w:t>CP001</w:t>
            </w:r>
          </w:p>
        </w:tc>
        <w:tc>
          <w:tcPr>
            <w:tcW w:w="1024" w:type="dxa"/>
            <w:vAlign w:val="center"/>
          </w:tcPr>
          <w:p w:rsidR="00912D6B" w:rsidRDefault="000D101B">
            <w:pPr>
              <w:jc w:val="right"/>
            </w:pPr>
            <w:r>
              <w:rPr>
                <w:color w:val="000000"/>
                <w:sz w:val="24"/>
                <w:szCs w:val="24"/>
              </w:rPr>
              <w:t>200,000</w:t>
            </w:r>
          </w:p>
        </w:tc>
        <w:tc>
          <w:tcPr>
            <w:tcW w:w="2150" w:type="dxa"/>
            <w:vAlign w:val="center"/>
          </w:tcPr>
          <w:p w:rsidR="00912D6B" w:rsidRDefault="000D101B">
            <w:pPr>
              <w:jc w:val="right"/>
            </w:pPr>
            <w:r>
              <w:rPr>
                <w:color w:val="000000"/>
                <w:sz w:val="24"/>
                <w:szCs w:val="24"/>
              </w:rPr>
              <w:t>19,856,000.00</w:t>
            </w:r>
          </w:p>
        </w:tc>
        <w:tc>
          <w:tcPr>
            <w:tcW w:w="1237" w:type="dxa"/>
            <w:vAlign w:val="center"/>
          </w:tcPr>
          <w:p w:rsidR="00912D6B" w:rsidRDefault="000D101B">
            <w:pPr>
              <w:jc w:val="right"/>
            </w:pPr>
            <w:r>
              <w:rPr>
                <w:color w:val="000000"/>
                <w:sz w:val="24"/>
                <w:szCs w:val="24"/>
              </w:rPr>
              <w:t>9.80</w:t>
            </w:r>
          </w:p>
        </w:tc>
      </w:tr>
      <w:tr w:rsidR="00912D6B" w:rsidTr="000D101B">
        <w:trPr>
          <w:jc w:val="center"/>
        </w:trPr>
        <w:tc>
          <w:tcPr>
            <w:tcW w:w="630" w:type="dxa"/>
            <w:vAlign w:val="center"/>
          </w:tcPr>
          <w:p w:rsidR="00912D6B" w:rsidRDefault="000D101B">
            <w:pPr>
              <w:jc w:val="center"/>
            </w:pPr>
            <w:r>
              <w:rPr>
                <w:color w:val="000000"/>
                <w:sz w:val="24"/>
                <w:szCs w:val="24"/>
              </w:rPr>
              <w:t>5</w:t>
            </w:r>
          </w:p>
        </w:tc>
        <w:tc>
          <w:tcPr>
            <w:tcW w:w="1418" w:type="dxa"/>
            <w:vAlign w:val="center"/>
          </w:tcPr>
          <w:p w:rsidR="00912D6B" w:rsidRDefault="000D101B">
            <w:pPr>
              <w:jc w:val="center"/>
            </w:pPr>
            <w:r>
              <w:rPr>
                <w:color w:val="000000"/>
                <w:sz w:val="24"/>
                <w:szCs w:val="24"/>
              </w:rPr>
              <w:t>101580004</w:t>
            </w:r>
          </w:p>
        </w:tc>
        <w:tc>
          <w:tcPr>
            <w:tcW w:w="2409" w:type="dxa"/>
            <w:vAlign w:val="center"/>
          </w:tcPr>
          <w:p w:rsidR="00912D6B" w:rsidRDefault="000D101B">
            <w:pPr>
              <w:jc w:val="center"/>
            </w:pPr>
            <w:r>
              <w:rPr>
                <w:color w:val="000000"/>
                <w:sz w:val="24"/>
                <w:szCs w:val="24"/>
              </w:rPr>
              <w:t>15</w:t>
            </w:r>
            <w:r>
              <w:rPr>
                <w:color w:val="000000"/>
                <w:sz w:val="24"/>
                <w:szCs w:val="24"/>
              </w:rPr>
              <w:t>营口沿海</w:t>
            </w:r>
            <w:r>
              <w:rPr>
                <w:color w:val="000000"/>
                <w:sz w:val="24"/>
                <w:szCs w:val="24"/>
              </w:rPr>
              <w:t>MTN001</w:t>
            </w:r>
          </w:p>
        </w:tc>
        <w:tc>
          <w:tcPr>
            <w:tcW w:w="1024" w:type="dxa"/>
            <w:vAlign w:val="center"/>
          </w:tcPr>
          <w:p w:rsidR="00912D6B" w:rsidRDefault="000D101B">
            <w:pPr>
              <w:jc w:val="right"/>
            </w:pPr>
            <w:r>
              <w:rPr>
                <w:color w:val="000000"/>
                <w:sz w:val="24"/>
                <w:szCs w:val="24"/>
              </w:rPr>
              <w:t>100,000</w:t>
            </w:r>
          </w:p>
        </w:tc>
        <w:tc>
          <w:tcPr>
            <w:tcW w:w="2150" w:type="dxa"/>
            <w:vAlign w:val="center"/>
          </w:tcPr>
          <w:p w:rsidR="00912D6B" w:rsidRDefault="000D101B">
            <w:pPr>
              <w:jc w:val="right"/>
            </w:pPr>
            <w:r>
              <w:rPr>
                <w:color w:val="000000"/>
                <w:sz w:val="24"/>
                <w:szCs w:val="24"/>
              </w:rPr>
              <w:t>10,198,000.00</w:t>
            </w:r>
          </w:p>
        </w:tc>
        <w:tc>
          <w:tcPr>
            <w:tcW w:w="1237" w:type="dxa"/>
            <w:vAlign w:val="center"/>
          </w:tcPr>
          <w:p w:rsidR="00912D6B" w:rsidRDefault="000D101B">
            <w:pPr>
              <w:jc w:val="right"/>
            </w:pPr>
            <w:r>
              <w:rPr>
                <w:color w:val="000000"/>
                <w:sz w:val="24"/>
                <w:szCs w:val="24"/>
              </w:rPr>
              <w:t>5.03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14,328.81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3,219,899.40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734.97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14,670.69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3,249,633.87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912D6B">
        <w:trPr>
          <w:jc w:val="center"/>
        </w:trPr>
        <w:tc>
          <w:tcPr>
            <w:tcW w:w="1883" w:type="dxa"/>
            <w:vAlign w:val="center"/>
          </w:tcPr>
          <w:p w:rsidR="00912D6B" w:rsidRDefault="000D101B">
            <w:pPr>
              <w:jc w:val="center"/>
            </w:pPr>
            <w:r>
              <w:rPr>
                <w:color w:val="000000"/>
                <w:sz w:val="24"/>
                <w:szCs w:val="24"/>
              </w:rPr>
              <w:t>1</w:t>
            </w:r>
          </w:p>
        </w:tc>
        <w:tc>
          <w:tcPr>
            <w:tcW w:w="1801" w:type="dxa"/>
            <w:vAlign w:val="center"/>
          </w:tcPr>
          <w:p w:rsidR="00912D6B" w:rsidRDefault="000D101B">
            <w:pPr>
              <w:jc w:val="center"/>
            </w:pPr>
            <w:r>
              <w:rPr>
                <w:color w:val="000000"/>
                <w:sz w:val="24"/>
                <w:szCs w:val="24"/>
              </w:rPr>
              <w:t>113008</w:t>
            </w:r>
          </w:p>
        </w:tc>
        <w:tc>
          <w:tcPr>
            <w:tcW w:w="1727" w:type="dxa"/>
            <w:vAlign w:val="center"/>
          </w:tcPr>
          <w:p w:rsidR="00912D6B" w:rsidRDefault="000D101B">
            <w:pPr>
              <w:jc w:val="center"/>
            </w:pPr>
            <w:r>
              <w:rPr>
                <w:color w:val="000000"/>
                <w:sz w:val="24"/>
                <w:szCs w:val="24"/>
              </w:rPr>
              <w:t>电气转债</w:t>
            </w:r>
          </w:p>
        </w:tc>
        <w:tc>
          <w:tcPr>
            <w:tcW w:w="1768" w:type="dxa"/>
            <w:vAlign w:val="center"/>
          </w:tcPr>
          <w:p w:rsidR="00912D6B" w:rsidRDefault="000D101B">
            <w:pPr>
              <w:jc w:val="right"/>
            </w:pPr>
            <w:r>
              <w:rPr>
                <w:color w:val="000000"/>
                <w:sz w:val="24"/>
                <w:szCs w:val="24"/>
              </w:rPr>
              <w:t>4,566,400.00</w:t>
            </w:r>
          </w:p>
        </w:tc>
        <w:tc>
          <w:tcPr>
            <w:tcW w:w="1689" w:type="dxa"/>
            <w:vAlign w:val="center"/>
          </w:tcPr>
          <w:p w:rsidR="00912D6B" w:rsidRDefault="000D101B">
            <w:pPr>
              <w:jc w:val="right"/>
            </w:pPr>
            <w:r>
              <w:rPr>
                <w:color w:val="000000"/>
                <w:sz w:val="24"/>
                <w:szCs w:val="24"/>
              </w:rPr>
              <w:t>2.25</w:t>
            </w:r>
          </w:p>
        </w:tc>
      </w:tr>
      <w:tr w:rsidR="00912D6B">
        <w:trPr>
          <w:jc w:val="center"/>
        </w:trPr>
        <w:tc>
          <w:tcPr>
            <w:tcW w:w="1883" w:type="dxa"/>
            <w:vAlign w:val="center"/>
          </w:tcPr>
          <w:p w:rsidR="00912D6B" w:rsidRDefault="000D101B">
            <w:pPr>
              <w:jc w:val="center"/>
            </w:pPr>
            <w:r>
              <w:rPr>
                <w:color w:val="000000"/>
                <w:sz w:val="24"/>
                <w:szCs w:val="24"/>
              </w:rPr>
              <w:t>2</w:t>
            </w:r>
          </w:p>
        </w:tc>
        <w:tc>
          <w:tcPr>
            <w:tcW w:w="1801" w:type="dxa"/>
            <w:vAlign w:val="center"/>
          </w:tcPr>
          <w:p w:rsidR="00912D6B" w:rsidRDefault="000D101B">
            <w:pPr>
              <w:jc w:val="center"/>
            </w:pPr>
            <w:r>
              <w:rPr>
                <w:color w:val="000000"/>
                <w:sz w:val="24"/>
                <w:szCs w:val="24"/>
              </w:rPr>
              <w:t>128009</w:t>
            </w:r>
          </w:p>
        </w:tc>
        <w:tc>
          <w:tcPr>
            <w:tcW w:w="1727" w:type="dxa"/>
            <w:vAlign w:val="center"/>
          </w:tcPr>
          <w:p w:rsidR="00912D6B" w:rsidRDefault="000D101B">
            <w:pPr>
              <w:jc w:val="center"/>
            </w:pPr>
            <w:proofErr w:type="gramStart"/>
            <w:r>
              <w:rPr>
                <w:color w:val="000000"/>
                <w:sz w:val="24"/>
                <w:szCs w:val="24"/>
              </w:rPr>
              <w:t>歌尔转债</w:t>
            </w:r>
            <w:proofErr w:type="gramEnd"/>
          </w:p>
        </w:tc>
        <w:tc>
          <w:tcPr>
            <w:tcW w:w="1768" w:type="dxa"/>
            <w:vAlign w:val="center"/>
          </w:tcPr>
          <w:p w:rsidR="00912D6B" w:rsidRDefault="000D101B">
            <w:pPr>
              <w:jc w:val="right"/>
            </w:pPr>
            <w:r>
              <w:rPr>
                <w:color w:val="000000"/>
                <w:sz w:val="24"/>
                <w:szCs w:val="24"/>
              </w:rPr>
              <w:t>1,940,100.00</w:t>
            </w:r>
          </w:p>
        </w:tc>
        <w:tc>
          <w:tcPr>
            <w:tcW w:w="1689" w:type="dxa"/>
            <w:vAlign w:val="center"/>
          </w:tcPr>
          <w:p w:rsidR="00912D6B" w:rsidRDefault="000D101B">
            <w:pPr>
              <w:jc w:val="right"/>
            </w:pPr>
            <w:r>
              <w:rPr>
                <w:color w:val="000000"/>
                <w:sz w:val="24"/>
                <w:szCs w:val="24"/>
              </w:rPr>
              <w:t>0.96</w:t>
            </w:r>
          </w:p>
        </w:tc>
      </w:tr>
      <w:tr w:rsidR="00912D6B">
        <w:trPr>
          <w:jc w:val="center"/>
        </w:trPr>
        <w:tc>
          <w:tcPr>
            <w:tcW w:w="1883" w:type="dxa"/>
            <w:vAlign w:val="center"/>
          </w:tcPr>
          <w:p w:rsidR="00912D6B" w:rsidRDefault="000D101B">
            <w:pPr>
              <w:jc w:val="center"/>
            </w:pPr>
            <w:r>
              <w:rPr>
                <w:color w:val="000000"/>
                <w:sz w:val="24"/>
                <w:szCs w:val="24"/>
              </w:rPr>
              <w:t>3</w:t>
            </w:r>
          </w:p>
        </w:tc>
        <w:tc>
          <w:tcPr>
            <w:tcW w:w="1801" w:type="dxa"/>
            <w:vAlign w:val="center"/>
          </w:tcPr>
          <w:p w:rsidR="00912D6B" w:rsidRDefault="000D101B">
            <w:pPr>
              <w:jc w:val="center"/>
            </w:pPr>
            <w:r>
              <w:rPr>
                <w:color w:val="000000"/>
                <w:sz w:val="24"/>
                <w:szCs w:val="24"/>
              </w:rPr>
              <w:t>110035</w:t>
            </w:r>
          </w:p>
        </w:tc>
        <w:tc>
          <w:tcPr>
            <w:tcW w:w="1727" w:type="dxa"/>
            <w:vAlign w:val="center"/>
          </w:tcPr>
          <w:p w:rsidR="00912D6B" w:rsidRDefault="000D101B">
            <w:pPr>
              <w:jc w:val="center"/>
            </w:pPr>
            <w:r>
              <w:rPr>
                <w:color w:val="000000"/>
                <w:sz w:val="24"/>
                <w:szCs w:val="24"/>
              </w:rPr>
              <w:t>白云转债</w:t>
            </w:r>
          </w:p>
        </w:tc>
        <w:tc>
          <w:tcPr>
            <w:tcW w:w="1768" w:type="dxa"/>
            <w:vAlign w:val="center"/>
          </w:tcPr>
          <w:p w:rsidR="00912D6B" w:rsidRDefault="000D101B">
            <w:pPr>
              <w:jc w:val="right"/>
            </w:pPr>
            <w:r>
              <w:rPr>
                <w:color w:val="000000"/>
                <w:sz w:val="24"/>
                <w:szCs w:val="24"/>
              </w:rPr>
              <w:t>1,929,900.00</w:t>
            </w:r>
          </w:p>
        </w:tc>
        <w:tc>
          <w:tcPr>
            <w:tcW w:w="1689" w:type="dxa"/>
            <w:vAlign w:val="center"/>
          </w:tcPr>
          <w:p w:rsidR="00912D6B" w:rsidRDefault="000D101B">
            <w:pPr>
              <w:jc w:val="right"/>
            </w:pPr>
            <w:r>
              <w:rPr>
                <w:color w:val="000000"/>
                <w:sz w:val="24"/>
                <w:szCs w:val="24"/>
              </w:rPr>
              <w:t>0.95</w:t>
            </w:r>
          </w:p>
        </w:tc>
      </w:tr>
      <w:tr w:rsidR="00912D6B">
        <w:trPr>
          <w:jc w:val="center"/>
        </w:trPr>
        <w:tc>
          <w:tcPr>
            <w:tcW w:w="1883" w:type="dxa"/>
            <w:vAlign w:val="center"/>
          </w:tcPr>
          <w:p w:rsidR="00912D6B" w:rsidRDefault="000D101B">
            <w:pPr>
              <w:jc w:val="center"/>
            </w:pPr>
            <w:r>
              <w:rPr>
                <w:color w:val="000000"/>
                <w:sz w:val="24"/>
                <w:szCs w:val="24"/>
              </w:rPr>
              <w:t>4</w:t>
            </w:r>
          </w:p>
        </w:tc>
        <w:tc>
          <w:tcPr>
            <w:tcW w:w="1801" w:type="dxa"/>
            <w:vAlign w:val="center"/>
          </w:tcPr>
          <w:p w:rsidR="00912D6B" w:rsidRDefault="000D101B">
            <w:pPr>
              <w:jc w:val="center"/>
            </w:pPr>
            <w:r>
              <w:rPr>
                <w:color w:val="000000"/>
                <w:sz w:val="24"/>
                <w:szCs w:val="24"/>
              </w:rPr>
              <w:t>123001</w:t>
            </w:r>
          </w:p>
        </w:tc>
        <w:tc>
          <w:tcPr>
            <w:tcW w:w="1727" w:type="dxa"/>
            <w:vAlign w:val="center"/>
          </w:tcPr>
          <w:p w:rsidR="00912D6B" w:rsidRDefault="000D101B">
            <w:pPr>
              <w:jc w:val="center"/>
            </w:pPr>
            <w:proofErr w:type="gramStart"/>
            <w:r>
              <w:rPr>
                <w:color w:val="000000"/>
                <w:sz w:val="24"/>
                <w:szCs w:val="24"/>
              </w:rPr>
              <w:t>蓝标转</w:t>
            </w:r>
            <w:proofErr w:type="gramEnd"/>
            <w:r>
              <w:rPr>
                <w:color w:val="000000"/>
                <w:sz w:val="24"/>
                <w:szCs w:val="24"/>
              </w:rPr>
              <w:t>债</w:t>
            </w:r>
          </w:p>
        </w:tc>
        <w:tc>
          <w:tcPr>
            <w:tcW w:w="1768" w:type="dxa"/>
            <w:vAlign w:val="center"/>
          </w:tcPr>
          <w:p w:rsidR="00912D6B" w:rsidRDefault="000D101B">
            <w:pPr>
              <w:jc w:val="right"/>
            </w:pPr>
            <w:r>
              <w:rPr>
                <w:color w:val="000000"/>
                <w:sz w:val="24"/>
                <w:szCs w:val="24"/>
              </w:rPr>
              <w:t>1,387,773.12</w:t>
            </w:r>
          </w:p>
        </w:tc>
        <w:tc>
          <w:tcPr>
            <w:tcW w:w="1689" w:type="dxa"/>
            <w:vAlign w:val="center"/>
          </w:tcPr>
          <w:p w:rsidR="00912D6B" w:rsidRDefault="000D101B">
            <w:pPr>
              <w:jc w:val="right"/>
            </w:pPr>
            <w:r>
              <w:rPr>
                <w:color w:val="000000"/>
                <w:sz w:val="24"/>
                <w:szCs w:val="24"/>
              </w:rPr>
              <w:t>0.68</w:t>
            </w:r>
          </w:p>
        </w:tc>
      </w:tr>
      <w:tr w:rsidR="00912D6B">
        <w:trPr>
          <w:jc w:val="center"/>
        </w:trPr>
        <w:tc>
          <w:tcPr>
            <w:tcW w:w="1883" w:type="dxa"/>
            <w:vAlign w:val="center"/>
          </w:tcPr>
          <w:p w:rsidR="00912D6B" w:rsidRDefault="000D101B">
            <w:pPr>
              <w:jc w:val="center"/>
            </w:pPr>
            <w:r>
              <w:rPr>
                <w:color w:val="000000"/>
                <w:sz w:val="24"/>
                <w:szCs w:val="24"/>
              </w:rPr>
              <w:t>5</w:t>
            </w:r>
          </w:p>
        </w:tc>
        <w:tc>
          <w:tcPr>
            <w:tcW w:w="1801" w:type="dxa"/>
            <w:vAlign w:val="center"/>
          </w:tcPr>
          <w:p w:rsidR="00912D6B" w:rsidRDefault="000D101B">
            <w:pPr>
              <w:jc w:val="center"/>
            </w:pPr>
            <w:r>
              <w:rPr>
                <w:color w:val="000000"/>
                <w:sz w:val="24"/>
                <w:szCs w:val="24"/>
              </w:rPr>
              <w:t>128013</w:t>
            </w:r>
          </w:p>
        </w:tc>
        <w:tc>
          <w:tcPr>
            <w:tcW w:w="1727" w:type="dxa"/>
            <w:vAlign w:val="center"/>
          </w:tcPr>
          <w:p w:rsidR="00912D6B" w:rsidRDefault="000D101B">
            <w:pPr>
              <w:jc w:val="center"/>
            </w:pPr>
            <w:r>
              <w:rPr>
                <w:color w:val="000000"/>
                <w:sz w:val="24"/>
                <w:szCs w:val="24"/>
              </w:rPr>
              <w:t>洪涛转债</w:t>
            </w:r>
          </w:p>
        </w:tc>
        <w:tc>
          <w:tcPr>
            <w:tcW w:w="1768" w:type="dxa"/>
            <w:vAlign w:val="center"/>
          </w:tcPr>
          <w:p w:rsidR="00912D6B" w:rsidRDefault="000D101B">
            <w:pPr>
              <w:jc w:val="right"/>
            </w:pPr>
            <w:r>
              <w:rPr>
                <w:color w:val="000000"/>
                <w:sz w:val="24"/>
                <w:szCs w:val="24"/>
              </w:rPr>
              <w:t>1,037,800.00</w:t>
            </w:r>
          </w:p>
        </w:tc>
        <w:tc>
          <w:tcPr>
            <w:tcW w:w="1689" w:type="dxa"/>
            <w:vAlign w:val="center"/>
          </w:tcPr>
          <w:p w:rsidR="00912D6B" w:rsidRDefault="000D101B">
            <w:pPr>
              <w:jc w:val="right"/>
            </w:pPr>
            <w:r>
              <w:rPr>
                <w:color w:val="000000"/>
                <w:sz w:val="24"/>
                <w:szCs w:val="24"/>
              </w:rPr>
              <w:t>0.51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6017"/>
        <w:gridCol w:w="2851"/>
      </w:tblGrid>
      <w:tr w:rsidR="004061AC" w:rsidRPr="00414345" w:rsidTr="000D101B">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2851"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155,437,827.99</w:t>
            </w:r>
          </w:p>
        </w:tc>
      </w:tr>
      <w:tr w:rsidR="004061AC" w:rsidRPr="00414345" w:rsidTr="000D101B">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2851"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22,414,463.82</w:t>
            </w:r>
          </w:p>
        </w:tc>
      </w:tr>
      <w:tr w:rsidR="004061AC" w:rsidRPr="00414345" w:rsidTr="000D101B">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2851"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28,728,126.10</w:t>
            </w:r>
          </w:p>
        </w:tc>
      </w:tr>
      <w:tr w:rsidR="004061AC" w:rsidRPr="00414345" w:rsidTr="000D101B">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2851"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0D101B">
        <w:trPr>
          <w:jc w:val="center"/>
        </w:trPr>
        <w:tc>
          <w:tcPr>
            <w:tcW w:w="6017"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2851"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149,124,165.71</w:t>
            </w:r>
          </w:p>
        </w:tc>
      </w:tr>
    </w:tbl>
    <w:p w:rsidR="00912D6B" w:rsidRDefault="000D101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733"/>
        <w:gridCol w:w="3135"/>
      </w:tblGrid>
      <w:tr w:rsidR="00ED2620" w:rsidRPr="00ED2620" w:rsidTr="000D101B">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0D101B">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0D101B">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0D101B">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0D101B">
        <w:trPr>
          <w:jc w:val="center"/>
        </w:trPr>
        <w:tc>
          <w:tcPr>
            <w:tcW w:w="573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13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49.31</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Default="00480B35" w:rsidP="00C15CAC">
      <w:pPr>
        <w:autoSpaceDE w:val="0"/>
        <w:autoSpaceDN w:val="0"/>
        <w:adjustRightInd w:val="0"/>
        <w:spacing w:before="29" w:line="288" w:lineRule="auto"/>
        <w:jc w:val="left"/>
        <w:rPr>
          <w:color w:val="000000"/>
          <w:sz w:val="24"/>
        </w:rPr>
      </w:pPr>
    </w:p>
    <w:p w:rsidR="00DE4A17" w:rsidRPr="00414345" w:rsidRDefault="00DE4A17"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lastRenderedPageBreak/>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426"/>
        <w:gridCol w:w="425"/>
        <w:gridCol w:w="1985"/>
        <w:gridCol w:w="1559"/>
        <w:gridCol w:w="851"/>
        <w:gridCol w:w="708"/>
        <w:gridCol w:w="1701"/>
        <w:gridCol w:w="1557"/>
      </w:tblGrid>
      <w:tr w:rsidR="003A58DC" w:rsidRPr="007E75F6" w:rsidTr="000D101B">
        <w:tc>
          <w:tcPr>
            <w:tcW w:w="426" w:type="dxa"/>
            <w:vMerge w:val="restart"/>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528" w:type="dxa"/>
            <w:gridSpan w:val="5"/>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3258" w:type="dxa"/>
            <w:gridSpan w:val="2"/>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3A58DC" w:rsidRPr="007E75F6" w:rsidTr="000D101B">
        <w:tc>
          <w:tcPr>
            <w:tcW w:w="426" w:type="dxa"/>
            <w:vMerge/>
            <w:vAlign w:val="center"/>
          </w:tcPr>
          <w:p w:rsidR="003A58DC" w:rsidRPr="00412CB5" w:rsidRDefault="003A58DC" w:rsidP="00B06DDA">
            <w:pPr>
              <w:autoSpaceDE w:val="0"/>
              <w:autoSpaceDN w:val="0"/>
              <w:adjustRightInd w:val="0"/>
              <w:jc w:val="center"/>
              <w:rPr>
                <w:rFonts w:ascii="宋体" w:hAnsi="宋体"/>
                <w:color w:val="000000"/>
                <w:sz w:val="22"/>
              </w:rPr>
            </w:pPr>
          </w:p>
        </w:tc>
        <w:tc>
          <w:tcPr>
            <w:tcW w:w="425"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985"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1559" w:type="dxa"/>
            <w:vAlign w:val="center"/>
          </w:tcPr>
          <w:p w:rsidR="003A58DC" w:rsidRPr="00412CB5" w:rsidRDefault="003A58DC" w:rsidP="00BC5E75">
            <w:pPr>
              <w:widowControl/>
              <w:jc w:val="center"/>
              <w:rPr>
                <w:rFonts w:ascii="宋体" w:hAnsi="宋体"/>
                <w:color w:val="000000"/>
                <w:sz w:val="22"/>
              </w:rPr>
            </w:pPr>
            <w:r w:rsidRPr="00412CB5">
              <w:rPr>
                <w:rFonts w:ascii="宋体" w:hAnsi="宋体" w:hint="eastAsia"/>
                <w:color w:val="000000"/>
                <w:sz w:val="22"/>
              </w:rPr>
              <w:t>期初份额</w:t>
            </w:r>
          </w:p>
        </w:tc>
        <w:tc>
          <w:tcPr>
            <w:tcW w:w="851" w:type="dxa"/>
            <w:vAlign w:val="center"/>
          </w:tcPr>
          <w:p w:rsidR="003A58DC" w:rsidRPr="00412CB5" w:rsidRDefault="003A58DC" w:rsidP="00BC5E75">
            <w:pPr>
              <w:widowControl/>
              <w:jc w:val="center"/>
              <w:rPr>
                <w:rFonts w:ascii="宋体" w:hAnsi="宋体"/>
                <w:color w:val="000000"/>
                <w:sz w:val="22"/>
              </w:rPr>
            </w:pPr>
            <w:r w:rsidRPr="00412CB5">
              <w:rPr>
                <w:rFonts w:ascii="宋体" w:hAnsi="宋体" w:hint="eastAsia"/>
                <w:color w:val="000000"/>
                <w:sz w:val="22"/>
              </w:rPr>
              <w:t>申购份额</w:t>
            </w:r>
          </w:p>
        </w:tc>
        <w:tc>
          <w:tcPr>
            <w:tcW w:w="708"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701"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557"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912D6B" w:rsidTr="000D101B">
        <w:tc>
          <w:tcPr>
            <w:tcW w:w="426" w:type="dxa"/>
          </w:tcPr>
          <w:p w:rsidR="00912D6B" w:rsidRDefault="00912D6B"/>
          <w:p w:rsidR="00912D6B" w:rsidRDefault="000D101B">
            <w:r>
              <w:rPr>
                <w:rFonts w:eastAsiaTheme="minorEastAsia" w:hint="eastAsia"/>
                <w:bCs/>
                <w:color w:val="000000" w:themeColor="text1"/>
                <w:sz w:val="24"/>
              </w:rPr>
              <w:t>机构</w:t>
            </w:r>
          </w:p>
        </w:tc>
        <w:tc>
          <w:tcPr>
            <w:tcW w:w="425" w:type="dxa"/>
            <w:vAlign w:val="center"/>
          </w:tcPr>
          <w:p w:rsidR="00912D6B" w:rsidRDefault="000D101B">
            <w:pPr>
              <w:jc w:val="center"/>
            </w:pPr>
            <w:r>
              <w:rPr>
                <w:color w:val="000000"/>
                <w:sz w:val="22"/>
              </w:rPr>
              <w:t>1</w:t>
            </w:r>
          </w:p>
        </w:tc>
        <w:tc>
          <w:tcPr>
            <w:tcW w:w="1985" w:type="dxa"/>
            <w:vAlign w:val="center"/>
          </w:tcPr>
          <w:p w:rsidR="00912D6B" w:rsidRDefault="000D101B">
            <w:pPr>
              <w:jc w:val="center"/>
            </w:pPr>
            <w:r>
              <w:rPr>
                <w:color w:val="000000"/>
                <w:sz w:val="22"/>
              </w:rPr>
              <w:t>2017/1/1-2017/3/31</w:t>
            </w:r>
          </w:p>
        </w:tc>
        <w:tc>
          <w:tcPr>
            <w:tcW w:w="1559" w:type="dxa"/>
            <w:vAlign w:val="center"/>
          </w:tcPr>
          <w:p w:rsidR="00912D6B" w:rsidRDefault="000D101B">
            <w:pPr>
              <w:jc w:val="center"/>
            </w:pPr>
            <w:r>
              <w:rPr>
                <w:color w:val="000000"/>
                <w:sz w:val="22"/>
              </w:rPr>
              <w:t>73,528,676.47</w:t>
            </w:r>
          </w:p>
        </w:tc>
        <w:tc>
          <w:tcPr>
            <w:tcW w:w="851" w:type="dxa"/>
            <w:vAlign w:val="center"/>
          </w:tcPr>
          <w:p w:rsidR="00912D6B" w:rsidRDefault="000D101B">
            <w:pPr>
              <w:jc w:val="center"/>
            </w:pPr>
            <w:r>
              <w:rPr>
                <w:color w:val="000000"/>
                <w:sz w:val="22"/>
              </w:rPr>
              <w:t>-</w:t>
            </w:r>
          </w:p>
        </w:tc>
        <w:tc>
          <w:tcPr>
            <w:tcW w:w="708" w:type="dxa"/>
            <w:vAlign w:val="center"/>
          </w:tcPr>
          <w:p w:rsidR="00912D6B" w:rsidRDefault="000D101B">
            <w:pPr>
              <w:jc w:val="center"/>
            </w:pPr>
            <w:r>
              <w:rPr>
                <w:color w:val="000000"/>
                <w:sz w:val="22"/>
              </w:rPr>
              <w:t>-</w:t>
            </w:r>
          </w:p>
        </w:tc>
        <w:tc>
          <w:tcPr>
            <w:tcW w:w="1701" w:type="dxa"/>
            <w:vAlign w:val="center"/>
          </w:tcPr>
          <w:p w:rsidR="00912D6B" w:rsidRDefault="000D101B">
            <w:pPr>
              <w:jc w:val="center"/>
            </w:pPr>
            <w:r>
              <w:rPr>
                <w:color w:val="000000"/>
                <w:sz w:val="22"/>
              </w:rPr>
              <w:t>73,528,676.47</w:t>
            </w:r>
          </w:p>
        </w:tc>
        <w:tc>
          <w:tcPr>
            <w:tcW w:w="1557" w:type="dxa"/>
            <w:vAlign w:val="center"/>
          </w:tcPr>
          <w:p w:rsidR="00912D6B" w:rsidRDefault="000D101B">
            <w:pPr>
              <w:jc w:val="center"/>
            </w:pPr>
            <w:r>
              <w:rPr>
                <w:color w:val="000000"/>
                <w:sz w:val="22"/>
              </w:rPr>
              <w:t>49.31%</w:t>
            </w:r>
          </w:p>
        </w:tc>
      </w:tr>
      <w:tr w:rsidR="003A58DC" w:rsidRPr="0077692E" w:rsidTr="00B06DDA">
        <w:tc>
          <w:tcPr>
            <w:tcW w:w="9212" w:type="dxa"/>
            <w:gridSpan w:val="8"/>
            <w:vAlign w:val="center"/>
          </w:tcPr>
          <w:p w:rsidR="003A58DC" w:rsidRPr="0077692E" w:rsidRDefault="003A58DC" w:rsidP="00B06DDA">
            <w:pPr>
              <w:autoSpaceDE w:val="0"/>
              <w:autoSpaceDN w:val="0"/>
              <w:adjustRightInd w:val="0"/>
              <w:ind w:firstLine="1126"/>
              <w:jc w:val="center"/>
              <w:rPr>
                <w:sz w:val="22"/>
              </w:rPr>
            </w:pPr>
            <w:r w:rsidRPr="0077692E">
              <w:rPr>
                <w:color w:val="000000"/>
                <w:sz w:val="22"/>
              </w:rPr>
              <w:t>产品特有风险</w:t>
            </w:r>
          </w:p>
        </w:tc>
      </w:tr>
      <w:tr w:rsidR="003A58DC" w:rsidRPr="00EF20F9" w:rsidTr="00B06DDA">
        <w:tc>
          <w:tcPr>
            <w:tcW w:w="9212" w:type="dxa"/>
            <w:gridSpan w:val="8"/>
            <w:vAlign w:val="center"/>
          </w:tcPr>
          <w:p w:rsidR="003A58DC" w:rsidRPr="00EF20F9" w:rsidRDefault="003A58DC" w:rsidP="00B06DD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12D6B" w:rsidRDefault="000D101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w:t>
      </w:r>
      <w:proofErr w:type="gramStart"/>
      <w:r>
        <w:rPr>
          <w:color w:val="000000"/>
          <w:sz w:val="24"/>
          <w:szCs w:val="24"/>
        </w:rPr>
        <w:t>交银施罗</w:t>
      </w:r>
      <w:proofErr w:type="gramEnd"/>
      <w:r>
        <w:rPr>
          <w:color w:val="000000"/>
          <w:sz w:val="24"/>
          <w:szCs w:val="24"/>
        </w:rPr>
        <w:t>德信用添利债券证券投资基金募集的文件；</w:t>
      </w:r>
      <w:r>
        <w:rPr>
          <w:color w:val="000000"/>
          <w:sz w:val="24"/>
          <w:szCs w:val="24"/>
        </w:rPr>
        <w:t xml:space="preserve"> </w:t>
      </w:r>
    </w:p>
    <w:p w:rsidR="00912D6B" w:rsidRDefault="000D101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912D6B" w:rsidRDefault="000D101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912D6B" w:rsidRDefault="000D101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912D6B" w:rsidRDefault="000D101B">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912D6B" w:rsidRDefault="000D101B">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912D6B" w:rsidRDefault="000D101B">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w:t>
      </w:r>
      <w:proofErr w:type="gramStart"/>
      <w:r>
        <w:rPr>
          <w:color w:val="000000"/>
          <w:sz w:val="24"/>
          <w:szCs w:val="24"/>
        </w:rPr>
        <w:t>交银施罗</w:t>
      </w:r>
      <w:proofErr w:type="gramEnd"/>
      <w:r>
        <w:rPr>
          <w:color w:val="000000"/>
          <w:sz w:val="24"/>
          <w:szCs w:val="24"/>
        </w:rPr>
        <w:t>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w:t>
      </w:r>
      <w:proofErr w:type="gramStart"/>
      <w:r w:rsidRPr="00414345">
        <w:rPr>
          <w:color w:val="000000"/>
          <w:sz w:val="24"/>
          <w:szCs w:val="24"/>
        </w:rPr>
        <w:t>交银施罗</w:t>
      </w:r>
      <w:proofErr w:type="gramEnd"/>
      <w:r w:rsidRPr="00414345">
        <w:rPr>
          <w:color w:val="000000"/>
          <w:sz w:val="24"/>
          <w:szCs w:val="24"/>
        </w:rPr>
        <w:t>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12D6B" w:rsidRDefault="000D101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2C3C7A" w:rsidRPr="00414345" w:rsidRDefault="006D7FF8" w:rsidP="009A59D4">
      <w:pPr>
        <w:spacing w:before="29" w:line="288" w:lineRule="auto"/>
        <w:ind w:firstLineChars="200" w:firstLine="480"/>
        <w:rPr>
          <w:rFonts w:hint="eastAsia"/>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bookmarkStart w:id="0" w:name="_GoBack"/>
      <w:bookmarkEnd w:id="0"/>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16" w:rsidRDefault="00CA6516" w:rsidP="00876D65">
      <w:r>
        <w:separator/>
      </w:r>
    </w:p>
  </w:endnote>
  <w:endnote w:type="continuationSeparator" w:id="0">
    <w:p w:rsidR="00CA6516" w:rsidRDefault="00CA651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9A59D4">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9A59D4">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16" w:rsidRDefault="00CA6516" w:rsidP="00876D65">
      <w:r>
        <w:separator/>
      </w:r>
    </w:p>
  </w:footnote>
  <w:footnote w:type="continuationSeparator" w:id="0">
    <w:p w:rsidR="00CA6516" w:rsidRDefault="00CA651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01B"/>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3455"/>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F0242"/>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190C"/>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2D6B"/>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A59D4"/>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5E75"/>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6516"/>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A1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9568F-CBFE-46CE-9A1A-84709413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4C8B2-E485-45EF-84FA-CFA5EE33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11</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568</cp:revision>
  <dcterms:created xsi:type="dcterms:W3CDTF">2012-10-16T06:07:00Z</dcterms:created>
  <dcterms:modified xsi:type="dcterms:W3CDTF">2017-04-20T08:32:00Z</dcterms:modified>
</cp:coreProperties>
</file>