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3651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23651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46313" w:rsidRDefault="0012579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46313" w:rsidRDefault="0012579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46313" w:rsidRDefault="0012579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46313" w:rsidRDefault="0012579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1004C3" w:rsidRDefault="003335BB">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236511" w:history="1">
        <w:r w:rsidR="001004C3" w:rsidRPr="002321C7">
          <w:rPr>
            <w:rStyle w:val="a9"/>
            <w:b/>
            <w:bCs/>
            <w:noProof/>
          </w:rPr>
          <w:t xml:space="preserve">§1  </w:t>
        </w:r>
        <w:r w:rsidR="001004C3" w:rsidRPr="002321C7">
          <w:rPr>
            <w:rStyle w:val="a9"/>
            <w:rFonts w:hint="eastAsia"/>
            <w:b/>
            <w:bCs/>
            <w:noProof/>
          </w:rPr>
          <w:t>重要提示及目录</w:t>
        </w:r>
        <w:r w:rsidR="001004C3">
          <w:rPr>
            <w:noProof/>
            <w:webHidden/>
          </w:rPr>
          <w:tab/>
        </w:r>
        <w:r w:rsidR="001004C3">
          <w:rPr>
            <w:noProof/>
            <w:webHidden/>
          </w:rPr>
          <w:fldChar w:fldCharType="begin"/>
        </w:r>
        <w:r w:rsidR="001004C3">
          <w:rPr>
            <w:noProof/>
            <w:webHidden/>
          </w:rPr>
          <w:instrText xml:space="preserve"> PAGEREF _Toc478236511 \h </w:instrText>
        </w:r>
        <w:r w:rsidR="001004C3">
          <w:rPr>
            <w:noProof/>
            <w:webHidden/>
          </w:rPr>
        </w:r>
        <w:r w:rsidR="001004C3">
          <w:rPr>
            <w:noProof/>
            <w:webHidden/>
          </w:rPr>
          <w:fldChar w:fldCharType="separate"/>
        </w:r>
        <w:r w:rsidR="001004C3">
          <w:rPr>
            <w:noProof/>
            <w:webHidden/>
          </w:rPr>
          <w:t>2</w:t>
        </w:r>
        <w:r w:rsidR="001004C3">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12" w:history="1">
        <w:r w:rsidRPr="002321C7">
          <w:rPr>
            <w:rStyle w:val="a9"/>
            <w:noProof/>
          </w:rPr>
          <w:t xml:space="preserve">1.1 </w:t>
        </w:r>
        <w:r w:rsidRPr="002321C7">
          <w:rPr>
            <w:rStyle w:val="a9"/>
            <w:rFonts w:hint="eastAsia"/>
            <w:noProof/>
          </w:rPr>
          <w:t>重要提示</w:t>
        </w:r>
        <w:r>
          <w:rPr>
            <w:noProof/>
            <w:webHidden/>
          </w:rPr>
          <w:tab/>
        </w:r>
        <w:r>
          <w:rPr>
            <w:noProof/>
            <w:webHidden/>
          </w:rPr>
          <w:fldChar w:fldCharType="begin"/>
        </w:r>
        <w:r>
          <w:rPr>
            <w:noProof/>
            <w:webHidden/>
          </w:rPr>
          <w:instrText xml:space="preserve"> PAGEREF _Toc478236512 \h </w:instrText>
        </w:r>
        <w:r>
          <w:rPr>
            <w:noProof/>
            <w:webHidden/>
          </w:rPr>
        </w:r>
        <w:r>
          <w:rPr>
            <w:noProof/>
            <w:webHidden/>
          </w:rPr>
          <w:fldChar w:fldCharType="separate"/>
        </w:r>
        <w:r>
          <w:rPr>
            <w:noProof/>
            <w:webHidden/>
          </w:rPr>
          <w:t>2</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13" w:history="1">
        <w:r w:rsidRPr="002321C7">
          <w:rPr>
            <w:rStyle w:val="a9"/>
            <w:b/>
            <w:bCs/>
            <w:noProof/>
          </w:rPr>
          <w:t xml:space="preserve">§2  </w:t>
        </w:r>
        <w:r w:rsidRPr="002321C7">
          <w:rPr>
            <w:rStyle w:val="a9"/>
            <w:rFonts w:hint="eastAsia"/>
            <w:b/>
            <w:bCs/>
            <w:noProof/>
          </w:rPr>
          <w:t>基金简介</w:t>
        </w:r>
        <w:r>
          <w:rPr>
            <w:noProof/>
            <w:webHidden/>
          </w:rPr>
          <w:tab/>
        </w:r>
        <w:r>
          <w:rPr>
            <w:noProof/>
            <w:webHidden/>
          </w:rPr>
          <w:fldChar w:fldCharType="begin"/>
        </w:r>
        <w:r>
          <w:rPr>
            <w:noProof/>
            <w:webHidden/>
          </w:rPr>
          <w:instrText xml:space="preserve"> PAGEREF _Toc478236513 \h </w:instrText>
        </w:r>
        <w:r>
          <w:rPr>
            <w:noProof/>
            <w:webHidden/>
          </w:rPr>
        </w:r>
        <w:r>
          <w:rPr>
            <w:noProof/>
            <w:webHidden/>
          </w:rPr>
          <w:fldChar w:fldCharType="separate"/>
        </w:r>
        <w:r>
          <w:rPr>
            <w:noProof/>
            <w:webHidden/>
          </w:rPr>
          <w:t>5</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14" w:history="1">
        <w:r w:rsidRPr="002321C7">
          <w:rPr>
            <w:rStyle w:val="a9"/>
            <w:noProof/>
          </w:rPr>
          <w:t xml:space="preserve">2.1 </w:t>
        </w:r>
        <w:r w:rsidRPr="002321C7">
          <w:rPr>
            <w:rStyle w:val="a9"/>
            <w:rFonts w:hint="eastAsia"/>
            <w:noProof/>
          </w:rPr>
          <w:t>基金基本情况</w:t>
        </w:r>
        <w:r>
          <w:rPr>
            <w:noProof/>
            <w:webHidden/>
          </w:rPr>
          <w:tab/>
        </w:r>
        <w:r>
          <w:rPr>
            <w:noProof/>
            <w:webHidden/>
          </w:rPr>
          <w:fldChar w:fldCharType="begin"/>
        </w:r>
        <w:r>
          <w:rPr>
            <w:noProof/>
            <w:webHidden/>
          </w:rPr>
          <w:instrText xml:space="preserve"> PAGEREF _Toc478236514 \h </w:instrText>
        </w:r>
        <w:r>
          <w:rPr>
            <w:noProof/>
            <w:webHidden/>
          </w:rPr>
        </w:r>
        <w:r>
          <w:rPr>
            <w:noProof/>
            <w:webHidden/>
          </w:rPr>
          <w:fldChar w:fldCharType="separate"/>
        </w:r>
        <w:r>
          <w:rPr>
            <w:noProof/>
            <w:webHidden/>
          </w:rPr>
          <w:t>5</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15" w:history="1">
        <w:r w:rsidRPr="002321C7">
          <w:rPr>
            <w:rStyle w:val="a9"/>
            <w:noProof/>
          </w:rPr>
          <w:t xml:space="preserve">2.2 </w:t>
        </w:r>
        <w:r w:rsidRPr="002321C7">
          <w:rPr>
            <w:rStyle w:val="a9"/>
            <w:rFonts w:hint="eastAsia"/>
            <w:noProof/>
          </w:rPr>
          <w:t>基金产品说明</w:t>
        </w:r>
        <w:r>
          <w:rPr>
            <w:noProof/>
            <w:webHidden/>
          </w:rPr>
          <w:tab/>
        </w:r>
        <w:r>
          <w:rPr>
            <w:noProof/>
            <w:webHidden/>
          </w:rPr>
          <w:fldChar w:fldCharType="begin"/>
        </w:r>
        <w:r>
          <w:rPr>
            <w:noProof/>
            <w:webHidden/>
          </w:rPr>
          <w:instrText xml:space="preserve"> PAGEREF _Toc478236515 \h </w:instrText>
        </w:r>
        <w:r>
          <w:rPr>
            <w:noProof/>
            <w:webHidden/>
          </w:rPr>
        </w:r>
        <w:r>
          <w:rPr>
            <w:noProof/>
            <w:webHidden/>
          </w:rPr>
          <w:fldChar w:fldCharType="separate"/>
        </w:r>
        <w:r>
          <w:rPr>
            <w:noProof/>
            <w:webHidden/>
          </w:rPr>
          <w:t>5</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16" w:history="1">
        <w:r w:rsidRPr="002321C7">
          <w:rPr>
            <w:rStyle w:val="a9"/>
            <w:noProof/>
          </w:rPr>
          <w:t xml:space="preserve">2.3 </w:t>
        </w:r>
        <w:r w:rsidRPr="002321C7">
          <w:rPr>
            <w:rStyle w:val="a9"/>
            <w:rFonts w:hint="eastAsia"/>
            <w:noProof/>
          </w:rPr>
          <w:t>基金管理人和基金托管人</w:t>
        </w:r>
        <w:r>
          <w:rPr>
            <w:noProof/>
            <w:webHidden/>
          </w:rPr>
          <w:tab/>
        </w:r>
        <w:r>
          <w:rPr>
            <w:noProof/>
            <w:webHidden/>
          </w:rPr>
          <w:fldChar w:fldCharType="begin"/>
        </w:r>
        <w:r>
          <w:rPr>
            <w:noProof/>
            <w:webHidden/>
          </w:rPr>
          <w:instrText xml:space="preserve"> PAGEREF _Toc478236516 \h </w:instrText>
        </w:r>
        <w:r>
          <w:rPr>
            <w:noProof/>
            <w:webHidden/>
          </w:rPr>
        </w:r>
        <w:r>
          <w:rPr>
            <w:noProof/>
            <w:webHidden/>
          </w:rPr>
          <w:fldChar w:fldCharType="separate"/>
        </w:r>
        <w:r>
          <w:rPr>
            <w:noProof/>
            <w:webHidden/>
          </w:rPr>
          <w:t>6</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17" w:history="1">
        <w:r w:rsidRPr="002321C7">
          <w:rPr>
            <w:rStyle w:val="a9"/>
            <w:noProof/>
          </w:rPr>
          <w:t xml:space="preserve">2.4 </w:t>
        </w:r>
        <w:r w:rsidRPr="002321C7">
          <w:rPr>
            <w:rStyle w:val="a9"/>
            <w:rFonts w:hint="eastAsia"/>
            <w:noProof/>
          </w:rPr>
          <w:t>信息披露方式</w:t>
        </w:r>
        <w:r>
          <w:rPr>
            <w:noProof/>
            <w:webHidden/>
          </w:rPr>
          <w:tab/>
        </w:r>
        <w:r>
          <w:rPr>
            <w:noProof/>
            <w:webHidden/>
          </w:rPr>
          <w:fldChar w:fldCharType="begin"/>
        </w:r>
        <w:r>
          <w:rPr>
            <w:noProof/>
            <w:webHidden/>
          </w:rPr>
          <w:instrText xml:space="preserve"> PAGEREF _Toc478236517 \h </w:instrText>
        </w:r>
        <w:r>
          <w:rPr>
            <w:noProof/>
            <w:webHidden/>
          </w:rPr>
        </w:r>
        <w:r>
          <w:rPr>
            <w:noProof/>
            <w:webHidden/>
          </w:rPr>
          <w:fldChar w:fldCharType="separate"/>
        </w:r>
        <w:r>
          <w:rPr>
            <w:noProof/>
            <w:webHidden/>
          </w:rPr>
          <w:t>6</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18" w:history="1">
        <w:r w:rsidRPr="002321C7">
          <w:rPr>
            <w:rStyle w:val="a9"/>
            <w:noProof/>
          </w:rPr>
          <w:t xml:space="preserve">2.5 </w:t>
        </w:r>
        <w:r w:rsidRPr="002321C7">
          <w:rPr>
            <w:rStyle w:val="a9"/>
            <w:rFonts w:hint="eastAsia"/>
            <w:noProof/>
          </w:rPr>
          <w:t>其他相关资料</w:t>
        </w:r>
        <w:r>
          <w:rPr>
            <w:noProof/>
            <w:webHidden/>
          </w:rPr>
          <w:tab/>
        </w:r>
        <w:r>
          <w:rPr>
            <w:noProof/>
            <w:webHidden/>
          </w:rPr>
          <w:fldChar w:fldCharType="begin"/>
        </w:r>
        <w:r>
          <w:rPr>
            <w:noProof/>
            <w:webHidden/>
          </w:rPr>
          <w:instrText xml:space="preserve"> PAGEREF _Toc478236518 \h </w:instrText>
        </w:r>
        <w:r>
          <w:rPr>
            <w:noProof/>
            <w:webHidden/>
          </w:rPr>
        </w:r>
        <w:r>
          <w:rPr>
            <w:noProof/>
            <w:webHidden/>
          </w:rPr>
          <w:fldChar w:fldCharType="separate"/>
        </w:r>
        <w:r>
          <w:rPr>
            <w:noProof/>
            <w:webHidden/>
          </w:rPr>
          <w:t>6</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19" w:history="1">
        <w:r w:rsidRPr="002321C7">
          <w:rPr>
            <w:rStyle w:val="a9"/>
            <w:b/>
            <w:bCs/>
            <w:noProof/>
          </w:rPr>
          <w:t xml:space="preserve">§3  </w:t>
        </w:r>
        <w:r w:rsidRPr="002321C7">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_Toc478236519 \h </w:instrText>
        </w:r>
        <w:r>
          <w:rPr>
            <w:noProof/>
            <w:webHidden/>
          </w:rPr>
        </w:r>
        <w:r>
          <w:rPr>
            <w:noProof/>
            <w:webHidden/>
          </w:rPr>
          <w:fldChar w:fldCharType="separate"/>
        </w:r>
        <w:r>
          <w:rPr>
            <w:noProof/>
            <w:webHidden/>
          </w:rPr>
          <w:t>7</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20" w:history="1">
        <w:r w:rsidRPr="002321C7">
          <w:rPr>
            <w:rStyle w:val="a9"/>
            <w:noProof/>
          </w:rPr>
          <w:t xml:space="preserve">3.1 </w:t>
        </w:r>
        <w:r w:rsidRPr="002321C7">
          <w:rPr>
            <w:rStyle w:val="a9"/>
            <w:rFonts w:hint="eastAsia"/>
            <w:noProof/>
          </w:rPr>
          <w:t>主要会计数据和财务指标</w:t>
        </w:r>
        <w:r>
          <w:rPr>
            <w:noProof/>
            <w:webHidden/>
          </w:rPr>
          <w:tab/>
        </w:r>
        <w:r>
          <w:rPr>
            <w:noProof/>
            <w:webHidden/>
          </w:rPr>
          <w:fldChar w:fldCharType="begin"/>
        </w:r>
        <w:r>
          <w:rPr>
            <w:noProof/>
            <w:webHidden/>
          </w:rPr>
          <w:instrText xml:space="preserve"> PAGEREF _Toc478236520 \h </w:instrText>
        </w:r>
        <w:r>
          <w:rPr>
            <w:noProof/>
            <w:webHidden/>
          </w:rPr>
        </w:r>
        <w:r>
          <w:rPr>
            <w:noProof/>
            <w:webHidden/>
          </w:rPr>
          <w:fldChar w:fldCharType="separate"/>
        </w:r>
        <w:r>
          <w:rPr>
            <w:noProof/>
            <w:webHidden/>
          </w:rPr>
          <w:t>7</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1" w:history="1">
        <w:r w:rsidRPr="002321C7">
          <w:rPr>
            <w:rStyle w:val="a9"/>
            <w:noProof/>
          </w:rPr>
          <w:t xml:space="preserve">3.2 </w:t>
        </w:r>
        <w:r w:rsidRPr="002321C7">
          <w:rPr>
            <w:rStyle w:val="a9"/>
            <w:rFonts w:hint="eastAsia"/>
            <w:noProof/>
          </w:rPr>
          <w:t>基金净值表现</w:t>
        </w:r>
        <w:r>
          <w:rPr>
            <w:noProof/>
            <w:webHidden/>
          </w:rPr>
          <w:tab/>
        </w:r>
        <w:r>
          <w:rPr>
            <w:noProof/>
            <w:webHidden/>
          </w:rPr>
          <w:fldChar w:fldCharType="begin"/>
        </w:r>
        <w:r>
          <w:rPr>
            <w:noProof/>
            <w:webHidden/>
          </w:rPr>
          <w:instrText xml:space="preserve"> PAGEREF _Toc478236521 \h </w:instrText>
        </w:r>
        <w:r>
          <w:rPr>
            <w:noProof/>
            <w:webHidden/>
          </w:rPr>
        </w:r>
        <w:r>
          <w:rPr>
            <w:noProof/>
            <w:webHidden/>
          </w:rPr>
          <w:fldChar w:fldCharType="separate"/>
        </w:r>
        <w:r>
          <w:rPr>
            <w:noProof/>
            <w:webHidden/>
          </w:rPr>
          <w:t>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2" w:history="1">
        <w:r w:rsidRPr="002321C7">
          <w:rPr>
            <w:rStyle w:val="a9"/>
            <w:noProof/>
          </w:rPr>
          <w:t xml:space="preserve">3.3 </w:t>
        </w:r>
        <w:r w:rsidRPr="002321C7">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_Toc478236522 \h </w:instrText>
        </w:r>
        <w:r>
          <w:rPr>
            <w:noProof/>
            <w:webHidden/>
          </w:rPr>
        </w:r>
        <w:r>
          <w:rPr>
            <w:noProof/>
            <w:webHidden/>
          </w:rPr>
          <w:fldChar w:fldCharType="separate"/>
        </w:r>
        <w:r>
          <w:rPr>
            <w:noProof/>
            <w:webHidden/>
          </w:rPr>
          <w:t>11</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23" w:history="1">
        <w:r w:rsidRPr="002321C7">
          <w:rPr>
            <w:rStyle w:val="a9"/>
            <w:b/>
            <w:bCs/>
            <w:noProof/>
          </w:rPr>
          <w:t xml:space="preserve">§4  </w:t>
        </w:r>
        <w:r w:rsidRPr="002321C7">
          <w:rPr>
            <w:rStyle w:val="a9"/>
            <w:rFonts w:hint="eastAsia"/>
            <w:b/>
            <w:bCs/>
            <w:noProof/>
          </w:rPr>
          <w:t>管理人报告</w:t>
        </w:r>
        <w:r>
          <w:rPr>
            <w:noProof/>
            <w:webHidden/>
          </w:rPr>
          <w:tab/>
        </w:r>
        <w:r>
          <w:rPr>
            <w:noProof/>
            <w:webHidden/>
          </w:rPr>
          <w:fldChar w:fldCharType="begin"/>
        </w:r>
        <w:r>
          <w:rPr>
            <w:noProof/>
            <w:webHidden/>
          </w:rPr>
          <w:instrText xml:space="preserve"> PAGEREF _Toc478236523 \h </w:instrText>
        </w:r>
        <w:r>
          <w:rPr>
            <w:noProof/>
            <w:webHidden/>
          </w:rPr>
        </w:r>
        <w:r>
          <w:rPr>
            <w:noProof/>
            <w:webHidden/>
          </w:rPr>
          <w:fldChar w:fldCharType="separate"/>
        </w:r>
        <w:r>
          <w:rPr>
            <w:noProof/>
            <w:webHidden/>
          </w:rPr>
          <w:t>11</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24" w:history="1">
        <w:r w:rsidRPr="002321C7">
          <w:rPr>
            <w:rStyle w:val="a9"/>
            <w:noProof/>
          </w:rPr>
          <w:t xml:space="preserve">4.1 </w:t>
        </w:r>
        <w:r w:rsidRPr="002321C7">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_Toc478236524 \h </w:instrText>
        </w:r>
        <w:r>
          <w:rPr>
            <w:noProof/>
            <w:webHidden/>
          </w:rPr>
        </w:r>
        <w:r>
          <w:rPr>
            <w:noProof/>
            <w:webHidden/>
          </w:rPr>
          <w:fldChar w:fldCharType="separate"/>
        </w:r>
        <w:r>
          <w:rPr>
            <w:noProof/>
            <w:webHidden/>
          </w:rPr>
          <w:t>11</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5" w:history="1">
        <w:r w:rsidRPr="002321C7">
          <w:rPr>
            <w:rStyle w:val="a9"/>
            <w:noProof/>
          </w:rPr>
          <w:t xml:space="preserve">4.2 </w:t>
        </w:r>
        <w:r w:rsidRPr="002321C7">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_Toc478236525 \h </w:instrText>
        </w:r>
        <w:r>
          <w:rPr>
            <w:noProof/>
            <w:webHidden/>
          </w:rPr>
        </w:r>
        <w:r>
          <w:rPr>
            <w:noProof/>
            <w:webHidden/>
          </w:rPr>
          <w:fldChar w:fldCharType="separate"/>
        </w:r>
        <w:r>
          <w:rPr>
            <w:noProof/>
            <w:webHidden/>
          </w:rPr>
          <w:t>13</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6" w:history="1">
        <w:r w:rsidRPr="002321C7">
          <w:rPr>
            <w:rStyle w:val="a9"/>
            <w:noProof/>
          </w:rPr>
          <w:t xml:space="preserve">4.3 </w:t>
        </w:r>
        <w:r w:rsidRPr="002321C7">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_Toc478236526 \h </w:instrText>
        </w:r>
        <w:r>
          <w:rPr>
            <w:noProof/>
            <w:webHidden/>
          </w:rPr>
        </w:r>
        <w:r>
          <w:rPr>
            <w:noProof/>
            <w:webHidden/>
          </w:rPr>
          <w:fldChar w:fldCharType="separate"/>
        </w:r>
        <w:r>
          <w:rPr>
            <w:noProof/>
            <w:webHidden/>
          </w:rPr>
          <w:t>13</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7" w:history="1">
        <w:r w:rsidRPr="002321C7">
          <w:rPr>
            <w:rStyle w:val="a9"/>
            <w:noProof/>
          </w:rPr>
          <w:t xml:space="preserve">4.4 </w:t>
        </w:r>
        <w:r w:rsidRPr="002321C7">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_Toc478236527 \h </w:instrText>
        </w:r>
        <w:r>
          <w:rPr>
            <w:noProof/>
            <w:webHidden/>
          </w:rPr>
        </w:r>
        <w:r>
          <w:rPr>
            <w:noProof/>
            <w:webHidden/>
          </w:rPr>
          <w:fldChar w:fldCharType="separate"/>
        </w:r>
        <w:r>
          <w:rPr>
            <w:noProof/>
            <w:webHidden/>
          </w:rPr>
          <w:t>14</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8" w:history="1">
        <w:r w:rsidRPr="002321C7">
          <w:rPr>
            <w:rStyle w:val="a9"/>
            <w:noProof/>
          </w:rPr>
          <w:t xml:space="preserve">4.5 </w:t>
        </w:r>
        <w:r w:rsidRPr="002321C7">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_Toc478236528 \h </w:instrText>
        </w:r>
        <w:r>
          <w:rPr>
            <w:noProof/>
            <w:webHidden/>
          </w:rPr>
        </w:r>
        <w:r>
          <w:rPr>
            <w:noProof/>
            <w:webHidden/>
          </w:rPr>
          <w:fldChar w:fldCharType="separate"/>
        </w:r>
        <w:r>
          <w:rPr>
            <w:noProof/>
            <w:webHidden/>
          </w:rPr>
          <w:t>15</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29" w:history="1">
        <w:r w:rsidRPr="002321C7">
          <w:rPr>
            <w:rStyle w:val="a9"/>
            <w:noProof/>
          </w:rPr>
          <w:t xml:space="preserve">4.6 </w:t>
        </w:r>
        <w:r w:rsidRPr="002321C7">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_Toc478236529 \h </w:instrText>
        </w:r>
        <w:r>
          <w:rPr>
            <w:noProof/>
            <w:webHidden/>
          </w:rPr>
        </w:r>
        <w:r>
          <w:rPr>
            <w:noProof/>
            <w:webHidden/>
          </w:rPr>
          <w:fldChar w:fldCharType="separate"/>
        </w:r>
        <w:r>
          <w:rPr>
            <w:noProof/>
            <w:webHidden/>
          </w:rPr>
          <w:t>16</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30" w:history="1">
        <w:r w:rsidRPr="002321C7">
          <w:rPr>
            <w:rStyle w:val="a9"/>
            <w:noProof/>
          </w:rPr>
          <w:t xml:space="preserve">4.7 </w:t>
        </w:r>
        <w:r w:rsidRPr="002321C7">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_Toc478236530 \h </w:instrText>
        </w:r>
        <w:r>
          <w:rPr>
            <w:noProof/>
            <w:webHidden/>
          </w:rPr>
        </w:r>
        <w:r>
          <w:rPr>
            <w:noProof/>
            <w:webHidden/>
          </w:rPr>
          <w:fldChar w:fldCharType="separate"/>
        </w:r>
        <w:r>
          <w:rPr>
            <w:noProof/>
            <w:webHidden/>
          </w:rPr>
          <w:t>16</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31" w:history="1">
        <w:r w:rsidRPr="002321C7">
          <w:rPr>
            <w:rStyle w:val="a9"/>
            <w:noProof/>
          </w:rPr>
          <w:t xml:space="preserve">4.8 </w:t>
        </w:r>
        <w:r w:rsidRPr="002321C7">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_Toc478236531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32" w:history="1">
        <w:r w:rsidRPr="002321C7">
          <w:rPr>
            <w:rStyle w:val="a9"/>
            <w:noProof/>
          </w:rPr>
          <w:t xml:space="preserve">4.9 </w:t>
        </w:r>
        <w:r w:rsidRPr="002321C7">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_Toc478236532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33" w:history="1">
        <w:r w:rsidRPr="002321C7">
          <w:rPr>
            <w:rStyle w:val="a9"/>
            <w:b/>
            <w:bCs/>
            <w:noProof/>
          </w:rPr>
          <w:t xml:space="preserve">§5  </w:t>
        </w:r>
        <w:r w:rsidRPr="002321C7">
          <w:rPr>
            <w:rStyle w:val="a9"/>
            <w:rFonts w:hint="eastAsia"/>
            <w:b/>
            <w:bCs/>
            <w:noProof/>
          </w:rPr>
          <w:t>托管人报告</w:t>
        </w:r>
        <w:r>
          <w:rPr>
            <w:noProof/>
            <w:webHidden/>
          </w:rPr>
          <w:tab/>
        </w:r>
        <w:r>
          <w:rPr>
            <w:noProof/>
            <w:webHidden/>
          </w:rPr>
          <w:fldChar w:fldCharType="begin"/>
        </w:r>
        <w:r>
          <w:rPr>
            <w:noProof/>
            <w:webHidden/>
          </w:rPr>
          <w:instrText xml:space="preserve"> PAGEREF _Toc478236533 \h </w:instrText>
        </w:r>
        <w:r>
          <w:rPr>
            <w:noProof/>
            <w:webHidden/>
          </w:rPr>
        </w:r>
        <w:r>
          <w:rPr>
            <w:noProof/>
            <w:webHidden/>
          </w:rPr>
          <w:fldChar w:fldCharType="separate"/>
        </w:r>
        <w:r>
          <w:rPr>
            <w:noProof/>
            <w:webHidden/>
          </w:rPr>
          <w:t>17</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34" w:history="1">
        <w:r w:rsidRPr="002321C7">
          <w:rPr>
            <w:rStyle w:val="a9"/>
            <w:noProof/>
          </w:rPr>
          <w:t xml:space="preserve">5.1 </w:t>
        </w:r>
        <w:r w:rsidRPr="002321C7">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_Toc478236534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35" w:history="1">
        <w:r w:rsidRPr="002321C7">
          <w:rPr>
            <w:rStyle w:val="a9"/>
            <w:noProof/>
          </w:rPr>
          <w:t xml:space="preserve">5.2 </w:t>
        </w:r>
        <w:r w:rsidRPr="002321C7">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_Toc478236535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36" w:history="1">
        <w:r w:rsidRPr="002321C7">
          <w:rPr>
            <w:rStyle w:val="a9"/>
            <w:noProof/>
          </w:rPr>
          <w:t xml:space="preserve">5.3 </w:t>
        </w:r>
        <w:r w:rsidRPr="002321C7">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_Toc478236536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37" w:history="1">
        <w:r w:rsidRPr="002321C7">
          <w:rPr>
            <w:rStyle w:val="a9"/>
            <w:b/>
            <w:bCs/>
            <w:noProof/>
          </w:rPr>
          <w:t xml:space="preserve">§6  </w:t>
        </w:r>
        <w:r w:rsidRPr="002321C7">
          <w:rPr>
            <w:rStyle w:val="a9"/>
            <w:rFonts w:hint="eastAsia"/>
            <w:b/>
            <w:bCs/>
            <w:noProof/>
          </w:rPr>
          <w:t>审计报告</w:t>
        </w:r>
        <w:r>
          <w:rPr>
            <w:noProof/>
            <w:webHidden/>
          </w:rPr>
          <w:tab/>
        </w:r>
        <w:r>
          <w:rPr>
            <w:noProof/>
            <w:webHidden/>
          </w:rPr>
          <w:fldChar w:fldCharType="begin"/>
        </w:r>
        <w:r>
          <w:rPr>
            <w:noProof/>
            <w:webHidden/>
          </w:rPr>
          <w:instrText xml:space="preserve"> PAGEREF _Toc478236537 \h </w:instrText>
        </w:r>
        <w:r>
          <w:rPr>
            <w:noProof/>
            <w:webHidden/>
          </w:rPr>
        </w:r>
        <w:r>
          <w:rPr>
            <w:noProof/>
            <w:webHidden/>
          </w:rPr>
          <w:fldChar w:fldCharType="separate"/>
        </w:r>
        <w:r>
          <w:rPr>
            <w:noProof/>
            <w:webHidden/>
          </w:rPr>
          <w:t>17</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38" w:history="1">
        <w:r w:rsidRPr="002321C7">
          <w:rPr>
            <w:rStyle w:val="a9"/>
            <w:b/>
            <w:bCs/>
            <w:noProof/>
          </w:rPr>
          <w:t xml:space="preserve">§7  </w:t>
        </w:r>
        <w:r w:rsidRPr="002321C7">
          <w:rPr>
            <w:rStyle w:val="a9"/>
            <w:rFonts w:hint="eastAsia"/>
            <w:b/>
            <w:bCs/>
            <w:noProof/>
          </w:rPr>
          <w:t>年度财务报表</w:t>
        </w:r>
        <w:r>
          <w:rPr>
            <w:noProof/>
            <w:webHidden/>
          </w:rPr>
          <w:tab/>
        </w:r>
        <w:r>
          <w:rPr>
            <w:noProof/>
            <w:webHidden/>
          </w:rPr>
          <w:fldChar w:fldCharType="begin"/>
        </w:r>
        <w:r>
          <w:rPr>
            <w:noProof/>
            <w:webHidden/>
          </w:rPr>
          <w:instrText xml:space="preserve"> PAGEREF _Toc478236538 \h </w:instrText>
        </w:r>
        <w:r>
          <w:rPr>
            <w:noProof/>
            <w:webHidden/>
          </w:rPr>
        </w:r>
        <w:r>
          <w:rPr>
            <w:noProof/>
            <w:webHidden/>
          </w:rPr>
          <w:fldChar w:fldCharType="separate"/>
        </w:r>
        <w:r>
          <w:rPr>
            <w:noProof/>
            <w:webHidden/>
          </w:rPr>
          <w:t>19</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39" w:history="1">
        <w:r w:rsidRPr="002321C7">
          <w:rPr>
            <w:rStyle w:val="a9"/>
            <w:noProof/>
          </w:rPr>
          <w:t xml:space="preserve">7.1 </w:t>
        </w:r>
        <w:r w:rsidRPr="002321C7">
          <w:rPr>
            <w:rStyle w:val="a9"/>
            <w:rFonts w:hint="eastAsia"/>
            <w:noProof/>
          </w:rPr>
          <w:t>资产负债表</w:t>
        </w:r>
        <w:r>
          <w:rPr>
            <w:noProof/>
            <w:webHidden/>
          </w:rPr>
          <w:tab/>
        </w:r>
        <w:r>
          <w:rPr>
            <w:noProof/>
            <w:webHidden/>
          </w:rPr>
          <w:fldChar w:fldCharType="begin"/>
        </w:r>
        <w:r>
          <w:rPr>
            <w:noProof/>
            <w:webHidden/>
          </w:rPr>
          <w:instrText xml:space="preserve"> PAGEREF _Toc478236539 \h </w:instrText>
        </w:r>
        <w:r>
          <w:rPr>
            <w:noProof/>
            <w:webHidden/>
          </w:rPr>
        </w:r>
        <w:r>
          <w:rPr>
            <w:noProof/>
            <w:webHidden/>
          </w:rPr>
          <w:fldChar w:fldCharType="separate"/>
        </w:r>
        <w:r>
          <w:rPr>
            <w:noProof/>
            <w:webHidden/>
          </w:rPr>
          <w:t>19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0" w:history="1">
        <w:r w:rsidRPr="002321C7">
          <w:rPr>
            <w:rStyle w:val="a9"/>
            <w:noProof/>
          </w:rPr>
          <w:t xml:space="preserve">7.2 </w:t>
        </w:r>
        <w:r w:rsidRPr="002321C7">
          <w:rPr>
            <w:rStyle w:val="a9"/>
            <w:rFonts w:hint="eastAsia"/>
            <w:noProof/>
          </w:rPr>
          <w:t>利润表</w:t>
        </w:r>
        <w:r>
          <w:rPr>
            <w:noProof/>
            <w:webHidden/>
          </w:rPr>
          <w:tab/>
        </w:r>
        <w:r>
          <w:rPr>
            <w:noProof/>
            <w:webHidden/>
          </w:rPr>
          <w:fldChar w:fldCharType="begin"/>
        </w:r>
        <w:r>
          <w:rPr>
            <w:noProof/>
            <w:webHidden/>
          </w:rPr>
          <w:instrText xml:space="preserve"> PAGEREF _Toc478236540 \h </w:instrText>
        </w:r>
        <w:r>
          <w:rPr>
            <w:noProof/>
            <w:webHidden/>
          </w:rPr>
        </w:r>
        <w:r>
          <w:rPr>
            <w:noProof/>
            <w:webHidden/>
          </w:rPr>
          <w:fldChar w:fldCharType="separate"/>
        </w:r>
        <w:r>
          <w:rPr>
            <w:noProof/>
            <w:webHidden/>
          </w:rPr>
          <w:t>20</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1" w:history="1">
        <w:r w:rsidRPr="002321C7">
          <w:rPr>
            <w:rStyle w:val="a9"/>
            <w:noProof/>
          </w:rPr>
          <w:t xml:space="preserve">7.3 </w:t>
        </w:r>
        <w:r w:rsidRPr="002321C7">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_Toc478236541 \h </w:instrText>
        </w:r>
        <w:r>
          <w:rPr>
            <w:noProof/>
            <w:webHidden/>
          </w:rPr>
        </w:r>
        <w:r>
          <w:rPr>
            <w:noProof/>
            <w:webHidden/>
          </w:rPr>
          <w:fldChar w:fldCharType="separate"/>
        </w:r>
        <w:r>
          <w:rPr>
            <w:noProof/>
            <w:webHidden/>
          </w:rPr>
          <w:t>21</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2" w:history="1">
        <w:r w:rsidRPr="002321C7">
          <w:rPr>
            <w:rStyle w:val="a9"/>
            <w:noProof/>
          </w:rPr>
          <w:t xml:space="preserve">7.4 </w:t>
        </w:r>
        <w:r w:rsidRPr="002321C7">
          <w:rPr>
            <w:rStyle w:val="a9"/>
            <w:rFonts w:hint="eastAsia"/>
            <w:noProof/>
          </w:rPr>
          <w:t>报表附注</w:t>
        </w:r>
        <w:r>
          <w:rPr>
            <w:noProof/>
            <w:webHidden/>
          </w:rPr>
          <w:tab/>
        </w:r>
        <w:r>
          <w:rPr>
            <w:noProof/>
            <w:webHidden/>
          </w:rPr>
          <w:fldChar w:fldCharType="begin"/>
        </w:r>
        <w:r>
          <w:rPr>
            <w:noProof/>
            <w:webHidden/>
          </w:rPr>
          <w:instrText xml:space="preserve"> PAGEREF _Toc478236542 \h </w:instrText>
        </w:r>
        <w:r>
          <w:rPr>
            <w:noProof/>
            <w:webHidden/>
          </w:rPr>
        </w:r>
        <w:r>
          <w:rPr>
            <w:noProof/>
            <w:webHidden/>
          </w:rPr>
          <w:fldChar w:fldCharType="separate"/>
        </w:r>
        <w:r>
          <w:rPr>
            <w:noProof/>
            <w:webHidden/>
          </w:rPr>
          <w:t>23</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43" w:history="1">
        <w:r w:rsidRPr="002321C7">
          <w:rPr>
            <w:rStyle w:val="a9"/>
            <w:b/>
            <w:bCs/>
            <w:noProof/>
          </w:rPr>
          <w:t xml:space="preserve">§8  </w:t>
        </w:r>
        <w:r w:rsidRPr="002321C7">
          <w:rPr>
            <w:rStyle w:val="a9"/>
            <w:rFonts w:hint="eastAsia"/>
            <w:b/>
            <w:bCs/>
            <w:noProof/>
          </w:rPr>
          <w:t>投资组合报告</w:t>
        </w:r>
        <w:r>
          <w:rPr>
            <w:noProof/>
            <w:webHidden/>
          </w:rPr>
          <w:tab/>
        </w:r>
        <w:r>
          <w:rPr>
            <w:noProof/>
            <w:webHidden/>
          </w:rPr>
          <w:fldChar w:fldCharType="begin"/>
        </w:r>
        <w:r>
          <w:rPr>
            <w:noProof/>
            <w:webHidden/>
          </w:rPr>
          <w:instrText xml:space="preserve"> PAGEREF _Toc478236543 \h </w:instrText>
        </w:r>
        <w:r>
          <w:rPr>
            <w:noProof/>
            <w:webHidden/>
          </w:rPr>
        </w:r>
        <w:r>
          <w:rPr>
            <w:noProof/>
            <w:webHidden/>
          </w:rPr>
          <w:fldChar w:fldCharType="separate"/>
        </w:r>
        <w:r>
          <w:rPr>
            <w:noProof/>
            <w:webHidden/>
          </w:rPr>
          <w:t>47</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44" w:history="1">
        <w:r w:rsidRPr="002321C7">
          <w:rPr>
            <w:rStyle w:val="a9"/>
            <w:noProof/>
          </w:rPr>
          <w:t xml:space="preserve">8.1 </w:t>
        </w:r>
        <w:r w:rsidRPr="002321C7">
          <w:rPr>
            <w:rStyle w:val="a9"/>
            <w:rFonts w:hint="eastAsia"/>
            <w:noProof/>
          </w:rPr>
          <w:t>期末基金资产组合情况</w:t>
        </w:r>
        <w:r>
          <w:rPr>
            <w:noProof/>
            <w:webHidden/>
          </w:rPr>
          <w:tab/>
        </w:r>
        <w:r>
          <w:rPr>
            <w:noProof/>
            <w:webHidden/>
          </w:rPr>
          <w:fldChar w:fldCharType="begin"/>
        </w:r>
        <w:r>
          <w:rPr>
            <w:noProof/>
            <w:webHidden/>
          </w:rPr>
          <w:instrText xml:space="preserve"> PAGEREF _Toc478236544 \h </w:instrText>
        </w:r>
        <w:r>
          <w:rPr>
            <w:noProof/>
            <w:webHidden/>
          </w:rPr>
        </w:r>
        <w:r>
          <w:rPr>
            <w:noProof/>
            <w:webHidden/>
          </w:rPr>
          <w:fldChar w:fldCharType="separate"/>
        </w:r>
        <w:r>
          <w:rPr>
            <w:noProof/>
            <w:webHidden/>
          </w:rPr>
          <w:t>47</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5" w:history="1">
        <w:r w:rsidRPr="002321C7">
          <w:rPr>
            <w:rStyle w:val="a9"/>
            <w:noProof/>
          </w:rPr>
          <w:t xml:space="preserve">8.2 </w:t>
        </w:r>
        <w:r w:rsidRPr="002321C7">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_Toc478236545 \h </w:instrText>
        </w:r>
        <w:r>
          <w:rPr>
            <w:noProof/>
            <w:webHidden/>
          </w:rPr>
        </w:r>
        <w:r>
          <w:rPr>
            <w:noProof/>
            <w:webHidden/>
          </w:rPr>
          <w:fldChar w:fldCharType="separate"/>
        </w:r>
        <w:r>
          <w:rPr>
            <w:noProof/>
            <w:webHidden/>
          </w:rPr>
          <w:t>48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6" w:history="1">
        <w:r w:rsidRPr="002321C7">
          <w:rPr>
            <w:rStyle w:val="a9"/>
            <w:noProof/>
          </w:rPr>
          <w:t xml:space="preserve">8.3 </w:t>
        </w:r>
        <w:r w:rsidRPr="002321C7">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_Toc478236546 \h </w:instrText>
        </w:r>
        <w:r>
          <w:rPr>
            <w:noProof/>
            <w:webHidden/>
          </w:rPr>
        </w:r>
        <w:r>
          <w:rPr>
            <w:noProof/>
            <w:webHidden/>
          </w:rPr>
          <w:fldChar w:fldCharType="separate"/>
        </w:r>
        <w:r>
          <w:rPr>
            <w:noProof/>
            <w:webHidden/>
          </w:rPr>
          <w:t>48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7" w:history="1">
        <w:r w:rsidRPr="002321C7">
          <w:rPr>
            <w:rStyle w:val="a9"/>
            <w:noProof/>
          </w:rPr>
          <w:t xml:space="preserve">8.4 </w:t>
        </w:r>
        <w:r w:rsidRPr="002321C7">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_Toc478236547 \h </w:instrText>
        </w:r>
        <w:r>
          <w:rPr>
            <w:noProof/>
            <w:webHidden/>
          </w:rPr>
        </w:r>
        <w:r>
          <w:rPr>
            <w:noProof/>
            <w:webHidden/>
          </w:rPr>
          <w:fldChar w:fldCharType="separate"/>
        </w:r>
        <w:r>
          <w:rPr>
            <w:noProof/>
            <w:webHidden/>
          </w:rPr>
          <w:t>48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8" w:history="1">
        <w:r w:rsidRPr="002321C7">
          <w:rPr>
            <w:rStyle w:val="a9"/>
            <w:noProof/>
          </w:rPr>
          <w:t xml:space="preserve">8.5 </w:t>
        </w:r>
        <w:r w:rsidRPr="002321C7">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_Toc478236548 \h </w:instrText>
        </w:r>
        <w:r>
          <w:rPr>
            <w:noProof/>
            <w:webHidden/>
          </w:rPr>
        </w:r>
        <w:r>
          <w:rPr>
            <w:noProof/>
            <w:webHidden/>
          </w:rPr>
          <w:fldChar w:fldCharType="separate"/>
        </w:r>
        <w:r>
          <w:rPr>
            <w:noProof/>
            <w:webHidden/>
          </w:rPr>
          <w:t>48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49" w:history="1">
        <w:r w:rsidRPr="002321C7">
          <w:rPr>
            <w:rStyle w:val="a9"/>
            <w:noProof/>
          </w:rPr>
          <w:t xml:space="preserve">8.6 </w:t>
        </w:r>
        <w:r w:rsidRPr="002321C7">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_Toc478236549 \h </w:instrText>
        </w:r>
        <w:r>
          <w:rPr>
            <w:noProof/>
            <w:webHidden/>
          </w:rPr>
        </w:r>
        <w:r>
          <w:rPr>
            <w:noProof/>
            <w:webHidden/>
          </w:rPr>
          <w:fldChar w:fldCharType="separate"/>
        </w:r>
        <w:r>
          <w:rPr>
            <w:noProof/>
            <w:webHidden/>
          </w:rPr>
          <w:t>48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0" w:history="1">
        <w:r w:rsidRPr="002321C7">
          <w:rPr>
            <w:rStyle w:val="a9"/>
            <w:noProof/>
          </w:rPr>
          <w:t xml:space="preserve">8.7 </w:t>
        </w:r>
        <w:r w:rsidRPr="002321C7">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_Toc478236550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1" w:history="1">
        <w:r w:rsidRPr="002321C7">
          <w:rPr>
            <w:rStyle w:val="a9"/>
            <w:noProof/>
          </w:rPr>
          <w:t xml:space="preserve">8.8 </w:t>
        </w:r>
        <w:r w:rsidRPr="002321C7">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_Toc478236551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2" w:history="1">
        <w:r w:rsidRPr="002321C7">
          <w:rPr>
            <w:rStyle w:val="a9"/>
            <w:noProof/>
          </w:rPr>
          <w:t xml:space="preserve">8.9 </w:t>
        </w:r>
        <w:r w:rsidRPr="002321C7">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_Toc478236552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3" w:history="1">
        <w:r w:rsidRPr="002321C7">
          <w:rPr>
            <w:rStyle w:val="a9"/>
            <w:noProof/>
          </w:rPr>
          <w:t xml:space="preserve">8.10 </w:t>
        </w:r>
        <w:r w:rsidRPr="002321C7">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_Toc478236553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4" w:history="1">
        <w:r w:rsidRPr="002321C7">
          <w:rPr>
            <w:rStyle w:val="a9"/>
            <w:noProof/>
          </w:rPr>
          <w:t>8.11</w:t>
        </w:r>
        <w:r w:rsidR="004211FD">
          <w:rPr>
            <w:rStyle w:val="a9"/>
            <w:noProof/>
          </w:rPr>
          <w:t xml:space="preserve"> </w:t>
        </w:r>
        <w:r w:rsidRPr="002321C7">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_Toc478236554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5" w:history="1">
        <w:r w:rsidRPr="002321C7">
          <w:rPr>
            <w:rStyle w:val="a9"/>
            <w:noProof/>
          </w:rPr>
          <w:t xml:space="preserve">8.12 </w:t>
        </w:r>
        <w:r w:rsidRPr="002321C7">
          <w:rPr>
            <w:rStyle w:val="a9"/>
            <w:rFonts w:hint="eastAsia"/>
            <w:noProof/>
          </w:rPr>
          <w:t>投资组合报告附注</w:t>
        </w:r>
        <w:r>
          <w:rPr>
            <w:noProof/>
            <w:webHidden/>
          </w:rPr>
          <w:tab/>
        </w:r>
        <w:r>
          <w:rPr>
            <w:noProof/>
            <w:webHidden/>
          </w:rPr>
          <w:fldChar w:fldCharType="begin"/>
        </w:r>
        <w:r>
          <w:rPr>
            <w:noProof/>
            <w:webHidden/>
          </w:rPr>
          <w:instrText xml:space="preserve"> PAGEREF _Toc478236555 \h </w:instrText>
        </w:r>
        <w:r>
          <w:rPr>
            <w:noProof/>
            <w:webHidden/>
          </w:rPr>
        </w:r>
        <w:r>
          <w:rPr>
            <w:noProof/>
            <w:webHidden/>
          </w:rPr>
          <w:fldChar w:fldCharType="separate"/>
        </w:r>
        <w:r>
          <w:rPr>
            <w:noProof/>
            <w:webHidden/>
          </w:rPr>
          <w:t>49</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56" w:history="1">
        <w:r w:rsidRPr="002321C7">
          <w:rPr>
            <w:rStyle w:val="a9"/>
            <w:b/>
            <w:bCs/>
            <w:noProof/>
          </w:rPr>
          <w:t xml:space="preserve">§9  </w:t>
        </w:r>
        <w:r w:rsidRPr="002321C7">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_Toc478236556 \h </w:instrText>
        </w:r>
        <w:r>
          <w:rPr>
            <w:noProof/>
            <w:webHidden/>
          </w:rPr>
        </w:r>
        <w:r>
          <w:rPr>
            <w:noProof/>
            <w:webHidden/>
          </w:rPr>
          <w:fldChar w:fldCharType="separate"/>
        </w:r>
        <w:r>
          <w:rPr>
            <w:noProof/>
            <w:webHidden/>
          </w:rPr>
          <w:t>50</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57" w:history="1">
        <w:r w:rsidRPr="002321C7">
          <w:rPr>
            <w:rStyle w:val="a9"/>
            <w:noProof/>
          </w:rPr>
          <w:t xml:space="preserve">9.1 </w:t>
        </w:r>
        <w:r w:rsidRPr="002321C7">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_Toc478236557 \h </w:instrText>
        </w:r>
        <w:r>
          <w:rPr>
            <w:noProof/>
            <w:webHidden/>
          </w:rPr>
        </w:r>
        <w:r>
          <w:rPr>
            <w:noProof/>
            <w:webHidden/>
          </w:rPr>
          <w:fldChar w:fldCharType="separate"/>
        </w:r>
        <w:r>
          <w:rPr>
            <w:noProof/>
            <w:webHidden/>
          </w:rPr>
          <w:t>50</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8" w:history="1">
        <w:r w:rsidRPr="002321C7">
          <w:rPr>
            <w:rStyle w:val="a9"/>
            <w:noProof/>
          </w:rPr>
          <w:t xml:space="preserve">9.2 </w:t>
        </w:r>
        <w:r w:rsidRPr="002321C7">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_Toc478236558 \h </w:instrText>
        </w:r>
        <w:r>
          <w:rPr>
            <w:noProof/>
            <w:webHidden/>
          </w:rPr>
        </w:r>
        <w:r>
          <w:rPr>
            <w:noProof/>
            <w:webHidden/>
          </w:rPr>
          <w:fldChar w:fldCharType="separate"/>
        </w:r>
        <w:r>
          <w:rPr>
            <w:noProof/>
            <w:webHidden/>
          </w:rPr>
          <w:t>51</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59" w:history="1">
        <w:r w:rsidRPr="002321C7">
          <w:rPr>
            <w:rStyle w:val="a9"/>
            <w:noProof/>
          </w:rPr>
          <w:t>9.3</w:t>
        </w:r>
        <w:r>
          <w:rPr>
            <w:rStyle w:val="a9"/>
            <w:rFonts w:hint="eastAsia"/>
            <w:noProof/>
          </w:rPr>
          <w:t xml:space="preserve"> </w:t>
        </w:r>
        <w:r w:rsidRPr="002321C7">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_Toc478236559 \h </w:instrText>
        </w:r>
        <w:r>
          <w:rPr>
            <w:noProof/>
            <w:webHidden/>
          </w:rPr>
        </w:r>
        <w:r>
          <w:rPr>
            <w:noProof/>
            <w:webHidden/>
          </w:rPr>
          <w:fldChar w:fldCharType="separate"/>
        </w:r>
        <w:r>
          <w:rPr>
            <w:noProof/>
            <w:webHidden/>
          </w:rPr>
          <w:t>51</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60" w:history="1">
        <w:r w:rsidRPr="002321C7">
          <w:rPr>
            <w:rStyle w:val="a9"/>
            <w:b/>
            <w:bCs/>
            <w:noProof/>
          </w:rPr>
          <w:t xml:space="preserve">§10  </w:t>
        </w:r>
        <w:r w:rsidRPr="002321C7">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_Toc478236560 \h </w:instrText>
        </w:r>
        <w:r>
          <w:rPr>
            <w:noProof/>
            <w:webHidden/>
          </w:rPr>
        </w:r>
        <w:r>
          <w:rPr>
            <w:noProof/>
            <w:webHidden/>
          </w:rPr>
          <w:fldChar w:fldCharType="separate"/>
        </w:r>
        <w:r>
          <w:rPr>
            <w:noProof/>
            <w:webHidden/>
          </w:rPr>
          <w:t>51</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61" w:history="1">
        <w:r w:rsidRPr="002321C7">
          <w:rPr>
            <w:rStyle w:val="a9"/>
            <w:b/>
            <w:bCs/>
            <w:noProof/>
          </w:rPr>
          <w:t xml:space="preserve">§11  </w:t>
        </w:r>
        <w:r w:rsidRPr="002321C7">
          <w:rPr>
            <w:rStyle w:val="a9"/>
            <w:rFonts w:hint="eastAsia"/>
            <w:b/>
            <w:bCs/>
            <w:noProof/>
          </w:rPr>
          <w:t>重大事件揭示</w:t>
        </w:r>
        <w:r>
          <w:rPr>
            <w:noProof/>
            <w:webHidden/>
          </w:rPr>
          <w:tab/>
        </w:r>
        <w:r>
          <w:rPr>
            <w:noProof/>
            <w:webHidden/>
          </w:rPr>
          <w:fldChar w:fldCharType="begin"/>
        </w:r>
        <w:r>
          <w:rPr>
            <w:noProof/>
            <w:webHidden/>
          </w:rPr>
          <w:instrText xml:space="preserve"> PAGEREF _Toc478236561 \h </w:instrText>
        </w:r>
        <w:r>
          <w:rPr>
            <w:noProof/>
            <w:webHidden/>
          </w:rPr>
        </w:r>
        <w:r>
          <w:rPr>
            <w:noProof/>
            <w:webHidden/>
          </w:rPr>
          <w:fldChar w:fldCharType="separate"/>
        </w:r>
        <w:r>
          <w:rPr>
            <w:noProof/>
            <w:webHidden/>
          </w:rPr>
          <w:t>52</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62" w:history="1">
        <w:r w:rsidRPr="002321C7">
          <w:rPr>
            <w:rStyle w:val="a9"/>
            <w:noProof/>
          </w:rPr>
          <w:t>11.1</w:t>
        </w:r>
        <w:r>
          <w:rPr>
            <w:rStyle w:val="a9"/>
            <w:rFonts w:hint="eastAsia"/>
            <w:noProof/>
          </w:rPr>
          <w:t xml:space="preserve"> </w:t>
        </w:r>
        <w:r w:rsidRPr="002321C7">
          <w:rPr>
            <w:rStyle w:val="a9"/>
            <w:rFonts w:hint="eastAsia"/>
            <w:noProof/>
          </w:rPr>
          <w:t>基金份额持有人大会决议</w:t>
        </w:r>
        <w:r>
          <w:rPr>
            <w:noProof/>
            <w:webHidden/>
          </w:rPr>
          <w:tab/>
        </w:r>
        <w:r>
          <w:rPr>
            <w:noProof/>
            <w:webHidden/>
          </w:rPr>
          <w:fldChar w:fldCharType="begin"/>
        </w:r>
        <w:r>
          <w:rPr>
            <w:noProof/>
            <w:webHidden/>
          </w:rPr>
          <w:instrText xml:space="preserve"> PAGEREF _Toc478236562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3" w:history="1">
        <w:r w:rsidRPr="002321C7">
          <w:rPr>
            <w:rStyle w:val="a9"/>
            <w:noProof/>
          </w:rPr>
          <w:t xml:space="preserve">11.2 </w:t>
        </w:r>
        <w:r w:rsidRPr="002321C7">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_Toc478236563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4" w:history="1">
        <w:r w:rsidRPr="002321C7">
          <w:rPr>
            <w:rStyle w:val="a9"/>
            <w:noProof/>
          </w:rPr>
          <w:t xml:space="preserve">11.3 </w:t>
        </w:r>
        <w:r w:rsidRPr="002321C7">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_Toc478236564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5" w:history="1">
        <w:r w:rsidRPr="002321C7">
          <w:rPr>
            <w:rStyle w:val="a9"/>
            <w:noProof/>
          </w:rPr>
          <w:t xml:space="preserve">11.4 </w:t>
        </w:r>
        <w:r w:rsidRPr="002321C7">
          <w:rPr>
            <w:rStyle w:val="a9"/>
            <w:rFonts w:hint="eastAsia"/>
            <w:noProof/>
          </w:rPr>
          <w:t>基金投资策略的改变</w:t>
        </w:r>
        <w:r>
          <w:rPr>
            <w:noProof/>
            <w:webHidden/>
          </w:rPr>
          <w:tab/>
        </w:r>
        <w:r>
          <w:rPr>
            <w:noProof/>
            <w:webHidden/>
          </w:rPr>
          <w:fldChar w:fldCharType="begin"/>
        </w:r>
        <w:r>
          <w:rPr>
            <w:noProof/>
            <w:webHidden/>
          </w:rPr>
          <w:instrText xml:space="preserve"> PAGEREF _Toc478236565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6" w:history="1">
        <w:r w:rsidRPr="002321C7">
          <w:rPr>
            <w:rStyle w:val="a9"/>
            <w:noProof/>
          </w:rPr>
          <w:t>11.5</w:t>
        </w:r>
        <w:r>
          <w:rPr>
            <w:rStyle w:val="a9"/>
            <w:rFonts w:hint="eastAsia"/>
            <w:noProof/>
          </w:rPr>
          <w:t xml:space="preserve"> </w:t>
        </w:r>
        <w:r w:rsidRPr="002321C7">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_Toc478236566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7" w:history="1">
        <w:r w:rsidRPr="002321C7">
          <w:rPr>
            <w:rStyle w:val="a9"/>
            <w:noProof/>
          </w:rPr>
          <w:t xml:space="preserve">11.6 </w:t>
        </w:r>
        <w:r w:rsidRPr="002321C7">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_Toc478236567 \h </w:instrText>
        </w:r>
        <w:r>
          <w:rPr>
            <w:noProof/>
            <w:webHidden/>
          </w:rPr>
        </w:r>
        <w:r>
          <w:rPr>
            <w:noProof/>
            <w:webHidden/>
          </w:rPr>
          <w:fldChar w:fldCharType="separate"/>
        </w:r>
        <w:r>
          <w:rPr>
            <w:noProof/>
            <w:webHidden/>
          </w:rPr>
          <w:t>52</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8" w:history="1">
        <w:r w:rsidRPr="002321C7">
          <w:rPr>
            <w:rStyle w:val="a9"/>
            <w:noProof/>
          </w:rPr>
          <w:t xml:space="preserve">11.7 </w:t>
        </w:r>
        <w:r w:rsidRPr="002321C7">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_Toc478236568 \h </w:instrText>
        </w:r>
        <w:r>
          <w:rPr>
            <w:noProof/>
            <w:webHidden/>
          </w:rPr>
        </w:r>
        <w:r>
          <w:rPr>
            <w:noProof/>
            <w:webHidden/>
          </w:rPr>
          <w:fldChar w:fldCharType="separate"/>
        </w:r>
        <w:r>
          <w:rPr>
            <w:noProof/>
            <w:webHidden/>
          </w:rPr>
          <w:t>53</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69" w:history="1">
        <w:r w:rsidRPr="002321C7">
          <w:rPr>
            <w:rStyle w:val="a9"/>
            <w:noProof/>
          </w:rPr>
          <w:t xml:space="preserve">11.8 </w:t>
        </w:r>
        <w:r w:rsidRPr="002321C7">
          <w:rPr>
            <w:rStyle w:val="a9"/>
            <w:rFonts w:hint="eastAsia"/>
            <w:noProof/>
          </w:rPr>
          <w:t>其他重大事件</w:t>
        </w:r>
        <w:r>
          <w:rPr>
            <w:noProof/>
            <w:webHidden/>
          </w:rPr>
          <w:tab/>
        </w:r>
        <w:r>
          <w:rPr>
            <w:noProof/>
            <w:webHidden/>
          </w:rPr>
          <w:fldChar w:fldCharType="begin"/>
        </w:r>
        <w:r>
          <w:rPr>
            <w:noProof/>
            <w:webHidden/>
          </w:rPr>
          <w:instrText xml:space="preserve"> PAGEREF _Toc478236569 \h </w:instrText>
        </w:r>
        <w:r>
          <w:rPr>
            <w:noProof/>
            <w:webHidden/>
          </w:rPr>
        </w:r>
        <w:r>
          <w:rPr>
            <w:noProof/>
            <w:webHidden/>
          </w:rPr>
          <w:fldChar w:fldCharType="separate"/>
        </w:r>
        <w:r>
          <w:rPr>
            <w:noProof/>
            <w:webHidden/>
          </w:rPr>
          <w:t>55</w:t>
        </w:r>
        <w:r>
          <w:rPr>
            <w:noProof/>
            <w:webHidden/>
          </w:rPr>
          <w:fldChar w:fldCharType="end"/>
        </w:r>
      </w:hyperlink>
    </w:p>
    <w:p w:rsidR="001004C3" w:rsidRDefault="001004C3">
      <w:pPr>
        <w:pStyle w:val="11"/>
        <w:rPr>
          <w:rFonts w:asciiTheme="minorHAnsi" w:eastAsiaTheme="minorEastAsia" w:hAnsiTheme="minorHAnsi" w:cstheme="minorBidi"/>
          <w:noProof/>
          <w:szCs w:val="22"/>
        </w:rPr>
      </w:pPr>
      <w:hyperlink w:anchor="_Toc478236570" w:history="1">
        <w:r w:rsidRPr="002321C7">
          <w:rPr>
            <w:rStyle w:val="a9"/>
            <w:b/>
            <w:bCs/>
            <w:noProof/>
          </w:rPr>
          <w:t xml:space="preserve">§12  </w:t>
        </w:r>
        <w:r w:rsidRPr="002321C7">
          <w:rPr>
            <w:rStyle w:val="a9"/>
            <w:rFonts w:hint="eastAsia"/>
            <w:b/>
            <w:bCs/>
            <w:noProof/>
          </w:rPr>
          <w:t>备查文件目录</w:t>
        </w:r>
        <w:r>
          <w:rPr>
            <w:noProof/>
            <w:webHidden/>
          </w:rPr>
          <w:tab/>
        </w:r>
        <w:r>
          <w:rPr>
            <w:noProof/>
            <w:webHidden/>
          </w:rPr>
          <w:fldChar w:fldCharType="begin"/>
        </w:r>
        <w:r>
          <w:rPr>
            <w:noProof/>
            <w:webHidden/>
          </w:rPr>
          <w:instrText xml:space="preserve"> PAGEREF _Toc478236570 \h </w:instrText>
        </w:r>
        <w:r>
          <w:rPr>
            <w:noProof/>
            <w:webHidden/>
          </w:rPr>
        </w:r>
        <w:r>
          <w:rPr>
            <w:noProof/>
            <w:webHidden/>
          </w:rPr>
          <w:fldChar w:fldCharType="separate"/>
        </w:r>
        <w:r>
          <w:rPr>
            <w:noProof/>
            <w:webHidden/>
          </w:rPr>
          <w:t>58</w:t>
        </w:r>
        <w:r>
          <w:rPr>
            <w:noProof/>
            <w:webHidden/>
          </w:rPr>
          <w:fldChar w:fldCharType="end"/>
        </w:r>
      </w:hyperlink>
    </w:p>
    <w:p w:rsidR="001004C3" w:rsidRDefault="001004C3" w:rsidP="001004C3">
      <w:pPr>
        <w:pStyle w:val="22"/>
        <w:ind w:left="420"/>
        <w:rPr>
          <w:rFonts w:asciiTheme="minorHAnsi" w:eastAsiaTheme="minorEastAsia" w:hAnsiTheme="minorHAnsi" w:cstheme="minorBidi"/>
          <w:noProof/>
          <w:kern w:val="2"/>
          <w:szCs w:val="22"/>
        </w:rPr>
      </w:pPr>
      <w:hyperlink w:anchor="_Toc478236571" w:history="1">
        <w:r w:rsidRPr="002321C7">
          <w:rPr>
            <w:rStyle w:val="a9"/>
            <w:noProof/>
          </w:rPr>
          <w:t xml:space="preserve">12.1 </w:t>
        </w:r>
        <w:r w:rsidRPr="002321C7">
          <w:rPr>
            <w:rStyle w:val="a9"/>
            <w:rFonts w:hint="eastAsia"/>
            <w:noProof/>
          </w:rPr>
          <w:t>备查文件目录</w:t>
        </w:r>
        <w:r>
          <w:rPr>
            <w:noProof/>
            <w:webHidden/>
          </w:rPr>
          <w:tab/>
        </w:r>
        <w:r>
          <w:rPr>
            <w:noProof/>
            <w:webHidden/>
          </w:rPr>
          <w:fldChar w:fldCharType="begin"/>
        </w:r>
        <w:r>
          <w:rPr>
            <w:noProof/>
            <w:webHidden/>
          </w:rPr>
          <w:instrText xml:space="preserve"> PAGEREF _Toc478236571 \h </w:instrText>
        </w:r>
        <w:r>
          <w:rPr>
            <w:noProof/>
            <w:webHidden/>
          </w:rPr>
        </w:r>
        <w:r>
          <w:rPr>
            <w:noProof/>
            <w:webHidden/>
          </w:rPr>
          <w:fldChar w:fldCharType="separate"/>
        </w:r>
        <w:r>
          <w:rPr>
            <w:noProof/>
            <w:webHidden/>
          </w:rPr>
          <w:t>58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72" w:history="1">
        <w:r w:rsidRPr="002321C7">
          <w:rPr>
            <w:rStyle w:val="a9"/>
            <w:noProof/>
          </w:rPr>
          <w:t xml:space="preserve">12.2 </w:t>
        </w:r>
        <w:r w:rsidRPr="002321C7">
          <w:rPr>
            <w:rStyle w:val="a9"/>
            <w:rFonts w:hint="eastAsia"/>
            <w:noProof/>
          </w:rPr>
          <w:t>存放地点</w:t>
        </w:r>
        <w:r>
          <w:rPr>
            <w:noProof/>
            <w:webHidden/>
          </w:rPr>
          <w:tab/>
        </w:r>
        <w:r>
          <w:rPr>
            <w:noProof/>
            <w:webHidden/>
          </w:rPr>
          <w:fldChar w:fldCharType="begin"/>
        </w:r>
        <w:r>
          <w:rPr>
            <w:noProof/>
            <w:webHidden/>
          </w:rPr>
          <w:instrText xml:space="preserve"> PAGEREF _Toc478236572 \h </w:instrText>
        </w:r>
        <w:r>
          <w:rPr>
            <w:noProof/>
            <w:webHidden/>
          </w:rPr>
        </w:r>
        <w:r>
          <w:rPr>
            <w:noProof/>
            <w:webHidden/>
          </w:rPr>
          <w:fldChar w:fldCharType="separate"/>
        </w:r>
        <w:r>
          <w:rPr>
            <w:noProof/>
            <w:webHidden/>
          </w:rPr>
          <w:t>58</w:t>
        </w:r>
        <w:r>
          <w:rPr>
            <w:noProof/>
            <w:webHidden/>
          </w:rPr>
          <w:fldChar w:fldCharType="end"/>
        </w:r>
      </w:hyperlink>
    </w:p>
    <w:p w:rsidR="001004C3" w:rsidRDefault="001004C3">
      <w:pPr>
        <w:pStyle w:val="22"/>
        <w:ind w:left="420"/>
        <w:rPr>
          <w:rFonts w:asciiTheme="minorHAnsi" w:eastAsiaTheme="minorEastAsia" w:hAnsiTheme="minorHAnsi" w:cstheme="minorBidi"/>
          <w:noProof/>
          <w:kern w:val="2"/>
          <w:szCs w:val="22"/>
        </w:rPr>
      </w:pPr>
      <w:hyperlink w:anchor="_Toc478236573" w:history="1">
        <w:r w:rsidRPr="002321C7">
          <w:rPr>
            <w:rStyle w:val="a9"/>
            <w:noProof/>
          </w:rPr>
          <w:t xml:space="preserve">12.3 </w:t>
        </w:r>
        <w:r w:rsidRPr="002321C7">
          <w:rPr>
            <w:rStyle w:val="a9"/>
            <w:rFonts w:hint="eastAsia"/>
            <w:noProof/>
          </w:rPr>
          <w:t>查阅方式</w:t>
        </w:r>
        <w:r>
          <w:rPr>
            <w:noProof/>
            <w:webHidden/>
          </w:rPr>
          <w:tab/>
        </w:r>
        <w:r>
          <w:rPr>
            <w:noProof/>
            <w:webHidden/>
          </w:rPr>
          <w:fldChar w:fldCharType="begin"/>
        </w:r>
        <w:r>
          <w:rPr>
            <w:noProof/>
            <w:webHidden/>
          </w:rPr>
          <w:instrText xml:space="preserve"> PAGEREF _Toc478236573 \h </w:instrText>
        </w:r>
        <w:r>
          <w:rPr>
            <w:noProof/>
            <w:webHidden/>
          </w:rPr>
        </w:r>
        <w:r>
          <w:rPr>
            <w:noProof/>
            <w:webHidden/>
          </w:rPr>
          <w:fldChar w:fldCharType="separate"/>
        </w:r>
        <w:r>
          <w:rPr>
            <w:noProof/>
            <w:webHidden/>
          </w:rPr>
          <w:t>58</w:t>
        </w:r>
        <w:r>
          <w:rPr>
            <w:noProof/>
            <w:webHidden/>
          </w:rPr>
          <w:fldChar w:fldCharType="end"/>
        </w:r>
      </w:hyperlink>
    </w:p>
    <w:p w:rsidR="001A59F9" w:rsidRPr="00D564C7" w:rsidRDefault="003335BB"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7823651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78236514"/>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2008</w:t>
            </w:r>
            <w:r w:rsidRPr="00400137">
              <w:rPr>
                <w:sz w:val="24"/>
              </w:rPr>
              <w:t>年</w:t>
            </w:r>
            <w:r w:rsidRPr="00400137">
              <w:rPr>
                <w:sz w:val="24"/>
              </w:rPr>
              <w:t>3</w:t>
            </w:r>
            <w:r w:rsidRPr="00400137">
              <w:rPr>
                <w:sz w:val="24"/>
              </w:rPr>
              <w:t>月</w:t>
            </w:r>
            <w:r w:rsidRPr="00400137">
              <w:rPr>
                <w:sz w:val="24"/>
              </w:rPr>
              <w:t>31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545,009,455.79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519682</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430,434,305.12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114,575,150.67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4211FD" w:rsidRDefault="001A59F9" w:rsidP="004211FD">
      <w:pPr>
        <w:pStyle w:val="20"/>
        <w:spacing w:before="29" w:after="0" w:line="288" w:lineRule="auto"/>
        <w:rPr>
          <w:b w:val="0"/>
          <w:kern w:val="0"/>
        </w:rPr>
      </w:pPr>
      <w:bookmarkStart w:id="13" w:name="_Toc361324846"/>
      <w:bookmarkStart w:id="14" w:name="_Toc478236515"/>
      <w:r w:rsidRPr="004211FD">
        <w:rPr>
          <w:rFonts w:ascii="Times New Roman" w:hAnsi="Times New Roman"/>
          <w:kern w:val="0"/>
          <w:szCs w:val="24"/>
        </w:rPr>
        <w:t xml:space="preserve">2.2 </w:t>
      </w:r>
      <w:r w:rsidRPr="004211FD">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中债企业债总指数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本基金是一只债券型基金，在证券投资基金中属于中等风险的品种，其长期平均风险和预期收益高于货币市场基金，低于股票型基金。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211FD" w:rsidRDefault="001A59F9" w:rsidP="004211FD">
      <w:pPr>
        <w:pStyle w:val="20"/>
        <w:spacing w:before="29" w:after="0" w:line="288" w:lineRule="auto"/>
        <w:rPr>
          <w:b w:val="0"/>
          <w:kern w:val="0"/>
        </w:rPr>
      </w:pPr>
      <w:bookmarkStart w:id="15" w:name="_Toc225498247"/>
      <w:bookmarkStart w:id="16" w:name="_Toc361324847"/>
      <w:bookmarkStart w:id="17" w:name="_Toc478236516"/>
      <w:r w:rsidRPr="004211FD">
        <w:rPr>
          <w:rFonts w:ascii="Times New Roman" w:hAnsi="Times New Roman"/>
          <w:kern w:val="0"/>
          <w:szCs w:val="24"/>
        </w:rPr>
        <w:t xml:space="preserve">2.3 </w:t>
      </w:r>
      <w:r w:rsidRPr="004211F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王洪章</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8" w:name="_Toc225498248"/>
      <w:bookmarkStart w:id="19" w:name="_Toc361324848"/>
      <w:bookmarkStart w:id="20" w:name="_Toc478236517"/>
      <w:r w:rsidRPr="004211FD">
        <w:rPr>
          <w:rFonts w:ascii="Times New Roman" w:hAnsi="Times New Roman"/>
          <w:kern w:val="0"/>
          <w:szCs w:val="24"/>
        </w:rPr>
        <w:t xml:space="preserve">2.4 </w:t>
      </w:r>
      <w:r w:rsidRPr="004211F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21" w:name="_Toc225498249"/>
      <w:bookmarkStart w:id="22" w:name="_Toc361324849"/>
      <w:bookmarkStart w:id="23" w:name="_Toc478236518"/>
      <w:r w:rsidRPr="004211FD">
        <w:rPr>
          <w:rFonts w:ascii="Times New Roman" w:hAnsi="Times New Roman"/>
          <w:kern w:val="0"/>
          <w:szCs w:val="24"/>
        </w:rPr>
        <w:t xml:space="preserve">2.5 </w:t>
      </w:r>
      <w:r w:rsidRPr="004211F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651650">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651650">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651650">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236519"/>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4211FD" w:rsidRDefault="001A59F9" w:rsidP="004211FD">
      <w:pPr>
        <w:pStyle w:val="20"/>
        <w:spacing w:before="29" w:after="0" w:line="288" w:lineRule="auto"/>
        <w:rPr>
          <w:b w:val="0"/>
          <w:kern w:val="0"/>
        </w:rPr>
      </w:pPr>
      <w:bookmarkStart w:id="29" w:name="_Toc286996129"/>
      <w:bookmarkStart w:id="30" w:name="_Toc361324851"/>
      <w:bookmarkStart w:id="31" w:name="_Toc478236520"/>
      <w:r w:rsidRPr="004211FD">
        <w:rPr>
          <w:rFonts w:ascii="Times New Roman" w:hAnsi="Times New Roman"/>
          <w:kern w:val="0"/>
          <w:szCs w:val="24"/>
        </w:rPr>
        <w:t xml:space="preserve">3.1 </w:t>
      </w:r>
      <w:r w:rsidRPr="004211FD">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19,626,125.59</w:t>
            </w:r>
          </w:p>
        </w:tc>
        <w:tc>
          <w:tcPr>
            <w:tcW w:w="686" w:type="pct"/>
            <w:vAlign w:val="center"/>
          </w:tcPr>
          <w:p w:rsidR="001A59F9" w:rsidRPr="005C7DCF" w:rsidRDefault="001A59F9" w:rsidP="00704789">
            <w:pPr>
              <w:spacing w:before="29" w:line="288" w:lineRule="auto"/>
              <w:jc w:val="right"/>
              <w:rPr>
                <w:szCs w:val="21"/>
              </w:rPr>
            </w:pPr>
            <w:r w:rsidRPr="005C7DCF">
              <w:rPr>
                <w:szCs w:val="21"/>
              </w:rPr>
              <w:t>4,354,382.91</w:t>
            </w:r>
          </w:p>
        </w:tc>
        <w:tc>
          <w:tcPr>
            <w:tcW w:w="687" w:type="pct"/>
            <w:vAlign w:val="center"/>
          </w:tcPr>
          <w:p w:rsidR="001A59F9" w:rsidRPr="005C7DCF" w:rsidRDefault="00AB54C1" w:rsidP="00704789">
            <w:pPr>
              <w:spacing w:before="29" w:line="288" w:lineRule="auto"/>
              <w:jc w:val="right"/>
              <w:rPr>
                <w:szCs w:val="21"/>
              </w:rPr>
            </w:pPr>
            <w:r w:rsidRPr="005C7DCF">
              <w:rPr>
                <w:szCs w:val="21"/>
              </w:rPr>
              <w:t>83,153,624.16</w:t>
            </w:r>
          </w:p>
        </w:tc>
        <w:tc>
          <w:tcPr>
            <w:tcW w:w="687" w:type="pct"/>
            <w:vAlign w:val="center"/>
          </w:tcPr>
          <w:p w:rsidR="001A59F9" w:rsidRPr="005C7DCF" w:rsidRDefault="00AB54C1" w:rsidP="00704789">
            <w:pPr>
              <w:spacing w:before="29" w:line="288" w:lineRule="auto"/>
              <w:jc w:val="right"/>
              <w:rPr>
                <w:szCs w:val="21"/>
              </w:rPr>
            </w:pPr>
            <w:r w:rsidRPr="005C7DCF">
              <w:rPr>
                <w:szCs w:val="21"/>
              </w:rPr>
              <w:t>28,134,197.62</w:t>
            </w:r>
          </w:p>
        </w:tc>
        <w:tc>
          <w:tcPr>
            <w:tcW w:w="688" w:type="pct"/>
            <w:vAlign w:val="center"/>
          </w:tcPr>
          <w:p w:rsidR="001A59F9" w:rsidRPr="005C7DCF" w:rsidRDefault="00AB54C1" w:rsidP="00704789">
            <w:pPr>
              <w:spacing w:before="29" w:line="288" w:lineRule="auto"/>
              <w:jc w:val="right"/>
              <w:rPr>
                <w:szCs w:val="21"/>
              </w:rPr>
            </w:pPr>
            <w:r w:rsidRPr="005C7DCF">
              <w:rPr>
                <w:szCs w:val="21"/>
              </w:rPr>
              <w:t>104,635,086.95</w:t>
            </w:r>
          </w:p>
        </w:tc>
        <w:tc>
          <w:tcPr>
            <w:tcW w:w="744" w:type="pct"/>
            <w:vAlign w:val="center"/>
          </w:tcPr>
          <w:p w:rsidR="001A59F9" w:rsidRPr="005C7DCF" w:rsidRDefault="00AB54C1" w:rsidP="00704789">
            <w:pPr>
              <w:spacing w:before="29" w:line="288" w:lineRule="auto"/>
              <w:jc w:val="right"/>
              <w:rPr>
                <w:szCs w:val="21"/>
              </w:rPr>
            </w:pPr>
            <w:r w:rsidRPr="005C7DCF">
              <w:rPr>
                <w:szCs w:val="21"/>
              </w:rPr>
              <w:t>26,974,431.32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-6,823,400.26</w:t>
            </w:r>
          </w:p>
        </w:tc>
        <w:tc>
          <w:tcPr>
            <w:tcW w:w="686" w:type="pct"/>
            <w:vAlign w:val="center"/>
          </w:tcPr>
          <w:p w:rsidR="001A59F9" w:rsidRPr="005C7DCF" w:rsidRDefault="001A59F9" w:rsidP="00704789">
            <w:pPr>
              <w:spacing w:before="29" w:line="288" w:lineRule="auto"/>
              <w:jc w:val="right"/>
              <w:rPr>
                <w:szCs w:val="21"/>
              </w:rPr>
            </w:pPr>
            <w:r w:rsidRPr="005C7DCF">
              <w:rPr>
                <w:szCs w:val="21"/>
              </w:rPr>
              <w:t>-2,248,944.16</w:t>
            </w:r>
          </w:p>
        </w:tc>
        <w:tc>
          <w:tcPr>
            <w:tcW w:w="687" w:type="pct"/>
            <w:vAlign w:val="center"/>
          </w:tcPr>
          <w:p w:rsidR="001A59F9" w:rsidRPr="005C7DCF" w:rsidRDefault="00AB54C1" w:rsidP="00704789">
            <w:pPr>
              <w:spacing w:before="29" w:line="288" w:lineRule="auto"/>
              <w:jc w:val="right"/>
              <w:rPr>
                <w:szCs w:val="21"/>
              </w:rPr>
            </w:pPr>
            <w:r w:rsidRPr="005C7DCF">
              <w:rPr>
                <w:szCs w:val="21"/>
              </w:rPr>
              <w:t>91,192,631.09</w:t>
            </w:r>
          </w:p>
        </w:tc>
        <w:tc>
          <w:tcPr>
            <w:tcW w:w="687" w:type="pct"/>
            <w:vAlign w:val="center"/>
          </w:tcPr>
          <w:p w:rsidR="001A59F9" w:rsidRPr="005C7DCF" w:rsidRDefault="00AB54C1" w:rsidP="00704789">
            <w:pPr>
              <w:spacing w:before="29" w:line="288" w:lineRule="auto"/>
              <w:jc w:val="right"/>
              <w:rPr>
                <w:szCs w:val="21"/>
              </w:rPr>
            </w:pPr>
            <w:r w:rsidRPr="005C7DCF">
              <w:rPr>
                <w:szCs w:val="21"/>
              </w:rPr>
              <w:t>25,829,399.53</w:t>
            </w:r>
          </w:p>
        </w:tc>
        <w:tc>
          <w:tcPr>
            <w:tcW w:w="688" w:type="pct"/>
            <w:vAlign w:val="center"/>
          </w:tcPr>
          <w:p w:rsidR="001A59F9" w:rsidRPr="005C7DCF" w:rsidRDefault="00AB54C1" w:rsidP="00704789">
            <w:pPr>
              <w:spacing w:before="29" w:line="288" w:lineRule="auto"/>
              <w:jc w:val="right"/>
              <w:rPr>
                <w:szCs w:val="21"/>
              </w:rPr>
            </w:pPr>
            <w:r w:rsidRPr="005C7DCF">
              <w:rPr>
                <w:szCs w:val="21"/>
              </w:rPr>
              <w:t>186,520,316.01</w:t>
            </w:r>
          </w:p>
        </w:tc>
        <w:tc>
          <w:tcPr>
            <w:tcW w:w="744" w:type="pct"/>
            <w:vAlign w:val="center"/>
          </w:tcPr>
          <w:p w:rsidR="001A59F9" w:rsidRPr="005C7DCF" w:rsidRDefault="00AB54C1" w:rsidP="00704789">
            <w:pPr>
              <w:spacing w:before="29" w:line="288" w:lineRule="auto"/>
              <w:jc w:val="right"/>
              <w:rPr>
                <w:szCs w:val="21"/>
              </w:rPr>
            </w:pPr>
            <w:r w:rsidRPr="005C7DCF">
              <w:rPr>
                <w:szCs w:val="21"/>
              </w:rPr>
              <w:t>47,714,782.10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-0.0085</w:t>
            </w:r>
          </w:p>
        </w:tc>
        <w:tc>
          <w:tcPr>
            <w:tcW w:w="686" w:type="pct"/>
            <w:vAlign w:val="center"/>
          </w:tcPr>
          <w:p w:rsidR="001A59F9" w:rsidRPr="005C7DCF" w:rsidRDefault="001A59F9" w:rsidP="00704789">
            <w:pPr>
              <w:spacing w:before="29" w:line="288" w:lineRule="auto"/>
              <w:jc w:val="right"/>
              <w:rPr>
                <w:szCs w:val="21"/>
              </w:rPr>
            </w:pPr>
            <w:r w:rsidRPr="005C7DCF">
              <w:rPr>
                <w:szCs w:val="21"/>
              </w:rPr>
              <w:t>-0.0111</w:t>
            </w:r>
          </w:p>
        </w:tc>
        <w:tc>
          <w:tcPr>
            <w:tcW w:w="687" w:type="pct"/>
            <w:vAlign w:val="center"/>
          </w:tcPr>
          <w:p w:rsidR="001A59F9" w:rsidRPr="005C7DCF" w:rsidRDefault="00AB54C1" w:rsidP="00704789">
            <w:pPr>
              <w:spacing w:before="29" w:line="288" w:lineRule="auto"/>
              <w:jc w:val="right"/>
              <w:rPr>
                <w:szCs w:val="21"/>
              </w:rPr>
            </w:pPr>
            <w:r w:rsidRPr="005C7DCF">
              <w:rPr>
                <w:szCs w:val="21"/>
              </w:rPr>
              <w:t>0.0845</w:t>
            </w:r>
          </w:p>
        </w:tc>
        <w:tc>
          <w:tcPr>
            <w:tcW w:w="687" w:type="pct"/>
            <w:vAlign w:val="center"/>
          </w:tcPr>
          <w:p w:rsidR="001A59F9" w:rsidRPr="005C7DCF" w:rsidRDefault="00AB54C1" w:rsidP="00704789">
            <w:pPr>
              <w:spacing w:before="29" w:line="288" w:lineRule="auto"/>
              <w:jc w:val="right"/>
              <w:rPr>
                <w:szCs w:val="21"/>
              </w:rPr>
            </w:pPr>
            <w:r w:rsidRPr="005C7DCF">
              <w:rPr>
                <w:szCs w:val="21"/>
              </w:rPr>
              <w:t>0.0798</w:t>
            </w:r>
          </w:p>
        </w:tc>
        <w:tc>
          <w:tcPr>
            <w:tcW w:w="688" w:type="pct"/>
            <w:vAlign w:val="center"/>
          </w:tcPr>
          <w:p w:rsidR="001A59F9" w:rsidRPr="005C7DCF" w:rsidRDefault="00AB54C1" w:rsidP="00704789">
            <w:pPr>
              <w:spacing w:before="29" w:line="288" w:lineRule="auto"/>
              <w:jc w:val="right"/>
              <w:rPr>
                <w:szCs w:val="21"/>
              </w:rPr>
            </w:pPr>
            <w:r w:rsidRPr="005C7DCF">
              <w:rPr>
                <w:szCs w:val="21"/>
              </w:rPr>
              <w:t>0.1734</w:t>
            </w:r>
          </w:p>
        </w:tc>
        <w:tc>
          <w:tcPr>
            <w:tcW w:w="744" w:type="pct"/>
            <w:vAlign w:val="center"/>
          </w:tcPr>
          <w:p w:rsidR="001A59F9" w:rsidRPr="005C7DCF" w:rsidRDefault="00AB54C1" w:rsidP="00704789">
            <w:pPr>
              <w:spacing w:before="29" w:line="288" w:lineRule="auto"/>
              <w:jc w:val="right"/>
              <w:rPr>
                <w:szCs w:val="21"/>
              </w:rPr>
            </w:pPr>
            <w:r w:rsidRPr="005C7DCF">
              <w:rPr>
                <w:szCs w:val="21"/>
              </w:rPr>
              <w:t>0.1779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-0.84%</w:t>
            </w:r>
          </w:p>
        </w:tc>
        <w:tc>
          <w:tcPr>
            <w:tcW w:w="686" w:type="pct"/>
            <w:vAlign w:val="center"/>
          </w:tcPr>
          <w:p w:rsidR="001A59F9" w:rsidRPr="005C7DCF" w:rsidRDefault="001A59F9" w:rsidP="00704789">
            <w:pPr>
              <w:spacing w:before="29" w:line="288" w:lineRule="auto"/>
              <w:jc w:val="right"/>
              <w:rPr>
                <w:szCs w:val="21"/>
              </w:rPr>
            </w:pPr>
            <w:r w:rsidRPr="005C7DCF">
              <w:rPr>
                <w:szCs w:val="21"/>
              </w:rPr>
              <w:t>-1.10%</w:t>
            </w:r>
          </w:p>
        </w:tc>
        <w:tc>
          <w:tcPr>
            <w:tcW w:w="687" w:type="pct"/>
            <w:vAlign w:val="center"/>
          </w:tcPr>
          <w:p w:rsidR="001A59F9" w:rsidRPr="005C7DCF" w:rsidRDefault="00AB54C1" w:rsidP="00704789">
            <w:pPr>
              <w:spacing w:before="29" w:line="288" w:lineRule="auto"/>
              <w:jc w:val="right"/>
              <w:rPr>
                <w:szCs w:val="21"/>
              </w:rPr>
            </w:pPr>
            <w:r w:rsidRPr="005C7DCF">
              <w:rPr>
                <w:szCs w:val="21"/>
              </w:rPr>
              <w:t>8.19%</w:t>
            </w:r>
          </w:p>
        </w:tc>
        <w:tc>
          <w:tcPr>
            <w:tcW w:w="687" w:type="pct"/>
            <w:vAlign w:val="center"/>
          </w:tcPr>
          <w:p w:rsidR="001A59F9" w:rsidRPr="005C7DCF" w:rsidRDefault="00AB54C1" w:rsidP="00704789">
            <w:pPr>
              <w:spacing w:before="29" w:line="288" w:lineRule="auto"/>
              <w:jc w:val="right"/>
              <w:rPr>
                <w:szCs w:val="21"/>
              </w:rPr>
            </w:pPr>
            <w:r w:rsidRPr="005C7DCF">
              <w:rPr>
                <w:szCs w:val="21"/>
              </w:rPr>
              <w:t>7.76%</w:t>
            </w:r>
          </w:p>
        </w:tc>
        <w:tc>
          <w:tcPr>
            <w:tcW w:w="688" w:type="pct"/>
            <w:vAlign w:val="center"/>
          </w:tcPr>
          <w:p w:rsidR="001A59F9" w:rsidRPr="005C7DCF" w:rsidRDefault="00AB54C1" w:rsidP="00704789">
            <w:pPr>
              <w:spacing w:before="29" w:line="288" w:lineRule="auto"/>
              <w:jc w:val="right"/>
              <w:rPr>
                <w:szCs w:val="21"/>
              </w:rPr>
            </w:pPr>
            <w:r w:rsidRPr="005C7DCF">
              <w:rPr>
                <w:szCs w:val="21"/>
              </w:rPr>
              <w:t>17.02%</w:t>
            </w:r>
          </w:p>
        </w:tc>
        <w:tc>
          <w:tcPr>
            <w:tcW w:w="744" w:type="pct"/>
            <w:vAlign w:val="center"/>
          </w:tcPr>
          <w:p w:rsidR="001A59F9" w:rsidRPr="005C7DCF" w:rsidRDefault="00AB54C1" w:rsidP="00704789">
            <w:pPr>
              <w:spacing w:before="29" w:line="288" w:lineRule="auto"/>
              <w:jc w:val="right"/>
              <w:rPr>
                <w:szCs w:val="21"/>
              </w:rPr>
            </w:pPr>
            <w:r w:rsidRPr="005C7DCF">
              <w:rPr>
                <w:szCs w:val="21"/>
              </w:rPr>
              <w:t>17.45%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-1.72%</w:t>
            </w:r>
          </w:p>
        </w:tc>
        <w:tc>
          <w:tcPr>
            <w:tcW w:w="686" w:type="pct"/>
            <w:vAlign w:val="center"/>
          </w:tcPr>
          <w:p w:rsidR="001A59F9" w:rsidRPr="005C7DCF" w:rsidRDefault="001A59F9" w:rsidP="00704789">
            <w:pPr>
              <w:spacing w:before="29" w:line="288" w:lineRule="auto"/>
              <w:jc w:val="right"/>
              <w:rPr>
                <w:szCs w:val="21"/>
              </w:rPr>
            </w:pPr>
            <w:r w:rsidRPr="005C7DCF">
              <w:rPr>
                <w:szCs w:val="21"/>
              </w:rPr>
              <w:t>-2.13%</w:t>
            </w:r>
          </w:p>
        </w:tc>
        <w:tc>
          <w:tcPr>
            <w:tcW w:w="687" w:type="pct"/>
            <w:vAlign w:val="center"/>
          </w:tcPr>
          <w:p w:rsidR="001A59F9" w:rsidRPr="005C7DCF" w:rsidRDefault="00AB54C1" w:rsidP="00704789">
            <w:pPr>
              <w:spacing w:before="29" w:line="288" w:lineRule="auto"/>
              <w:jc w:val="right"/>
              <w:rPr>
                <w:szCs w:val="21"/>
              </w:rPr>
            </w:pPr>
            <w:r w:rsidRPr="005C7DCF">
              <w:rPr>
                <w:szCs w:val="21"/>
              </w:rPr>
              <w:t>9.60%</w:t>
            </w:r>
          </w:p>
        </w:tc>
        <w:tc>
          <w:tcPr>
            <w:tcW w:w="687" w:type="pct"/>
            <w:vAlign w:val="center"/>
          </w:tcPr>
          <w:p w:rsidR="001A59F9" w:rsidRPr="005C7DCF" w:rsidRDefault="00AB54C1" w:rsidP="00704789">
            <w:pPr>
              <w:spacing w:before="29" w:line="288" w:lineRule="auto"/>
              <w:jc w:val="right"/>
              <w:rPr>
                <w:szCs w:val="21"/>
              </w:rPr>
            </w:pPr>
            <w:r w:rsidRPr="005C7DCF">
              <w:rPr>
                <w:szCs w:val="21"/>
              </w:rPr>
              <w:t>9.13%</w:t>
            </w:r>
          </w:p>
        </w:tc>
        <w:tc>
          <w:tcPr>
            <w:tcW w:w="688" w:type="pct"/>
            <w:vAlign w:val="center"/>
          </w:tcPr>
          <w:p w:rsidR="001A59F9" w:rsidRPr="005C7DCF" w:rsidRDefault="00AB54C1" w:rsidP="00704789">
            <w:pPr>
              <w:spacing w:before="29" w:line="288" w:lineRule="auto"/>
              <w:jc w:val="right"/>
              <w:rPr>
                <w:szCs w:val="21"/>
              </w:rPr>
            </w:pPr>
            <w:r w:rsidRPr="005C7DCF">
              <w:rPr>
                <w:szCs w:val="21"/>
              </w:rPr>
              <w:t>19.84%</w:t>
            </w:r>
          </w:p>
        </w:tc>
        <w:tc>
          <w:tcPr>
            <w:tcW w:w="744" w:type="pct"/>
            <w:vAlign w:val="center"/>
          </w:tcPr>
          <w:p w:rsidR="001A59F9" w:rsidRPr="005C7DCF" w:rsidRDefault="00AB54C1" w:rsidP="00704789">
            <w:pPr>
              <w:spacing w:before="29" w:line="288" w:lineRule="auto"/>
              <w:jc w:val="right"/>
              <w:rPr>
                <w:szCs w:val="21"/>
              </w:rPr>
            </w:pPr>
            <w:r w:rsidRPr="005C7DCF">
              <w:rPr>
                <w:szCs w:val="21"/>
              </w:rPr>
              <w:t>19.35%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-13,810,626.01</w:t>
            </w:r>
          </w:p>
        </w:tc>
        <w:tc>
          <w:tcPr>
            <w:tcW w:w="687" w:type="pct"/>
            <w:vAlign w:val="center"/>
          </w:tcPr>
          <w:p w:rsidR="001A59F9" w:rsidRPr="005C7DCF" w:rsidRDefault="001A59F9" w:rsidP="0078762A">
            <w:pPr>
              <w:spacing w:before="29" w:line="288" w:lineRule="auto"/>
              <w:jc w:val="right"/>
              <w:rPr>
                <w:szCs w:val="21"/>
              </w:rPr>
            </w:pPr>
            <w:r w:rsidRPr="005C7DCF">
              <w:rPr>
                <w:szCs w:val="21"/>
              </w:rPr>
              <w:t>-3,900,989.57</w:t>
            </w:r>
          </w:p>
        </w:tc>
        <w:tc>
          <w:tcPr>
            <w:tcW w:w="688" w:type="pct"/>
            <w:vAlign w:val="center"/>
          </w:tcPr>
          <w:p w:rsidR="001A59F9" w:rsidRPr="005C7DCF" w:rsidRDefault="00AB54C1" w:rsidP="0078762A">
            <w:pPr>
              <w:spacing w:before="29" w:line="288" w:lineRule="auto"/>
              <w:jc w:val="right"/>
              <w:rPr>
                <w:szCs w:val="21"/>
              </w:rPr>
            </w:pPr>
            <w:r w:rsidRPr="005C7DCF">
              <w:rPr>
                <w:szCs w:val="21"/>
              </w:rPr>
              <w:t>45,916,338.10</w:t>
            </w:r>
          </w:p>
        </w:tc>
        <w:tc>
          <w:tcPr>
            <w:tcW w:w="688" w:type="pct"/>
            <w:vAlign w:val="center"/>
          </w:tcPr>
          <w:p w:rsidR="001A59F9" w:rsidRPr="005C7DCF" w:rsidRDefault="00AB54C1" w:rsidP="0078762A">
            <w:pPr>
              <w:spacing w:before="29" w:line="288" w:lineRule="auto"/>
              <w:jc w:val="right"/>
              <w:rPr>
                <w:szCs w:val="21"/>
              </w:rPr>
            </w:pPr>
            <w:r w:rsidRPr="005C7DCF">
              <w:rPr>
                <w:szCs w:val="21"/>
              </w:rPr>
              <w:t>15,561,196.99</w:t>
            </w:r>
          </w:p>
        </w:tc>
        <w:tc>
          <w:tcPr>
            <w:tcW w:w="684" w:type="pct"/>
            <w:vAlign w:val="center"/>
          </w:tcPr>
          <w:p w:rsidR="001A59F9" w:rsidRPr="005C7DCF" w:rsidRDefault="00AB54C1" w:rsidP="0078762A">
            <w:pPr>
              <w:spacing w:before="29" w:line="288" w:lineRule="auto"/>
              <w:jc w:val="right"/>
              <w:rPr>
                <w:szCs w:val="21"/>
              </w:rPr>
            </w:pPr>
            <w:r w:rsidRPr="005C7DCF">
              <w:rPr>
                <w:szCs w:val="21"/>
              </w:rPr>
              <w:t>84,480,717.41</w:t>
            </w:r>
          </w:p>
        </w:tc>
        <w:tc>
          <w:tcPr>
            <w:tcW w:w="744" w:type="pct"/>
            <w:vAlign w:val="center"/>
          </w:tcPr>
          <w:p w:rsidR="001A59F9" w:rsidRPr="005C7DCF" w:rsidRDefault="00AB54C1" w:rsidP="0078762A">
            <w:pPr>
              <w:spacing w:before="29" w:line="288" w:lineRule="auto"/>
              <w:jc w:val="right"/>
              <w:rPr>
                <w:szCs w:val="21"/>
              </w:rPr>
            </w:pPr>
            <w:r w:rsidRPr="005C7DCF">
              <w:rPr>
                <w:szCs w:val="21"/>
              </w:rPr>
              <w:t>17,260,211.84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-0.0321</w:t>
            </w:r>
          </w:p>
        </w:tc>
        <w:tc>
          <w:tcPr>
            <w:tcW w:w="687" w:type="pct"/>
            <w:vAlign w:val="center"/>
          </w:tcPr>
          <w:p w:rsidR="001A59F9" w:rsidRPr="005C7DCF" w:rsidRDefault="001A59F9" w:rsidP="0078762A">
            <w:pPr>
              <w:spacing w:before="29" w:line="288" w:lineRule="auto"/>
              <w:jc w:val="right"/>
              <w:rPr>
                <w:szCs w:val="21"/>
              </w:rPr>
            </w:pPr>
            <w:r w:rsidRPr="005C7DCF">
              <w:rPr>
                <w:szCs w:val="21"/>
              </w:rPr>
              <w:t>-0.0340</w:t>
            </w:r>
          </w:p>
        </w:tc>
        <w:tc>
          <w:tcPr>
            <w:tcW w:w="688" w:type="pct"/>
            <w:vAlign w:val="center"/>
          </w:tcPr>
          <w:p w:rsidR="001A59F9" w:rsidRPr="005C7DCF" w:rsidRDefault="00AB54C1" w:rsidP="0078762A">
            <w:pPr>
              <w:spacing w:before="29" w:line="288" w:lineRule="auto"/>
              <w:jc w:val="right"/>
              <w:rPr>
                <w:szCs w:val="21"/>
              </w:rPr>
            </w:pPr>
            <w:r w:rsidRPr="005C7DCF">
              <w:rPr>
                <w:szCs w:val="21"/>
              </w:rPr>
              <w:t>0.0483</w:t>
            </w:r>
          </w:p>
        </w:tc>
        <w:tc>
          <w:tcPr>
            <w:tcW w:w="688" w:type="pct"/>
            <w:vAlign w:val="center"/>
          </w:tcPr>
          <w:p w:rsidR="001A59F9" w:rsidRPr="005C7DCF" w:rsidRDefault="00AB54C1" w:rsidP="0078762A">
            <w:pPr>
              <w:spacing w:before="29" w:line="288" w:lineRule="auto"/>
              <w:jc w:val="right"/>
              <w:rPr>
                <w:szCs w:val="21"/>
              </w:rPr>
            </w:pPr>
            <w:r w:rsidRPr="005C7DCF">
              <w:rPr>
                <w:szCs w:val="21"/>
              </w:rPr>
              <w:t>0.0457</w:t>
            </w:r>
          </w:p>
        </w:tc>
        <w:tc>
          <w:tcPr>
            <w:tcW w:w="684" w:type="pct"/>
            <w:vAlign w:val="center"/>
          </w:tcPr>
          <w:p w:rsidR="001A59F9" w:rsidRPr="005C7DCF" w:rsidRDefault="00AB54C1" w:rsidP="0078762A">
            <w:pPr>
              <w:spacing w:before="29" w:line="288" w:lineRule="auto"/>
              <w:jc w:val="right"/>
              <w:rPr>
                <w:szCs w:val="21"/>
              </w:rPr>
            </w:pPr>
            <w:r w:rsidRPr="005C7DCF">
              <w:rPr>
                <w:szCs w:val="21"/>
              </w:rPr>
              <w:t>0.0835</w:t>
            </w:r>
          </w:p>
        </w:tc>
        <w:tc>
          <w:tcPr>
            <w:tcW w:w="744" w:type="pct"/>
            <w:vAlign w:val="center"/>
          </w:tcPr>
          <w:p w:rsidR="001A59F9" w:rsidRPr="005C7DCF" w:rsidRDefault="00AB54C1" w:rsidP="0078762A">
            <w:pPr>
              <w:spacing w:before="29" w:line="288" w:lineRule="auto"/>
              <w:jc w:val="right"/>
              <w:rPr>
                <w:szCs w:val="21"/>
              </w:rPr>
            </w:pPr>
            <w:r w:rsidRPr="005C7DCF">
              <w:rPr>
                <w:szCs w:val="21"/>
              </w:rPr>
              <w:t>0.0814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416,623,679.11</w:t>
            </w:r>
          </w:p>
        </w:tc>
        <w:tc>
          <w:tcPr>
            <w:tcW w:w="687" w:type="pct"/>
            <w:vAlign w:val="center"/>
          </w:tcPr>
          <w:p w:rsidR="001A59F9" w:rsidRPr="005C7DCF" w:rsidRDefault="001A59F9" w:rsidP="0078762A">
            <w:pPr>
              <w:spacing w:before="29" w:line="288" w:lineRule="auto"/>
              <w:jc w:val="right"/>
              <w:rPr>
                <w:szCs w:val="21"/>
              </w:rPr>
            </w:pPr>
            <w:r w:rsidRPr="005C7DCF">
              <w:rPr>
                <w:szCs w:val="21"/>
              </w:rPr>
              <w:t>110,674,161.10</w:t>
            </w:r>
          </w:p>
        </w:tc>
        <w:tc>
          <w:tcPr>
            <w:tcW w:w="688" w:type="pct"/>
            <w:vAlign w:val="center"/>
          </w:tcPr>
          <w:p w:rsidR="001A59F9" w:rsidRPr="005C7DCF" w:rsidRDefault="00AB54C1" w:rsidP="0078762A">
            <w:pPr>
              <w:spacing w:before="29" w:line="288" w:lineRule="auto"/>
              <w:jc w:val="right"/>
              <w:rPr>
                <w:szCs w:val="21"/>
              </w:rPr>
            </w:pPr>
            <w:r w:rsidRPr="005C7DCF">
              <w:rPr>
                <w:szCs w:val="21"/>
              </w:rPr>
              <w:t>996,213,367.30</w:t>
            </w:r>
          </w:p>
        </w:tc>
        <w:tc>
          <w:tcPr>
            <w:tcW w:w="688" w:type="pct"/>
            <w:vAlign w:val="center"/>
          </w:tcPr>
          <w:p w:rsidR="001A59F9" w:rsidRPr="005C7DCF" w:rsidRDefault="00AB54C1" w:rsidP="0078762A">
            <w:pPr>
              <w:spacing w:before="29" w:line="288" w:lineRule="auto"/>
              <w:jc w:val="right"/>
              <w:rPr>
                <w:szCs w:val="21"/>
              </w:rPr>
            </w:pPr>
            <w:r w:rsidRPr="005C7DCF">
              <w:rPr>
                <w:szCs w:val="21"/>
              </w:rPr>
              <w:t>356,087,946.82</w:t>
            </w:r>
          </w:p>
        </w:tc>
        <w:tc>
          <w:tcPr>
            <w:tcW w:w="684" w:type="pct"/>
            <w:vAlign w:val="center"/>
          </w:tcPr>
          <w:p w:rsidR="001A59F9" w:rsidRPr="005C7DCF" w:rsidRDefault="00AB54C1" w:rsidP="0078762A">
            <w:pPr>
              <w:spacing w:before="29" w:line="288" w:lineRule="auto"/>
              <w:jc w:val="right"/>
              <w:rPr>
                <w:szCs w:val="21"/>
              </w:rPr>
            </w:pPr>
            <w:r w:rsidRPr="005C7DCF">
              <w:rPr>
                <w:szCs w:val="21"/>
              </w:rPr>
              <w:t>1,096,370,858.68</w:t>
            </w:r>
          </w:p>
        </w:tc>
        <w:tc>
          <w:tcPr>
            <w:tcW w:w="744" w:type="pct"/>
            <w:vAlign w:val="center"/>
          </w:tcPr>
          <w:p w:rsidR="001A59F9" w:rsidRPr="005C7DCF" w:rsidRDefault="00AB54C1" w:rsidP="0078762A">
            <w:pPr>
              <w:spacing w:before="29" w:line="288" w:lineRule="auto"/>
              <w:jc w:val="right"/>
              <w:rPr>
                <w:szCs w:val="21"/>
              </w:rPr>
            </w:pPr>
            <w:r w:rsidRPr="005C7DCF">
              <w:rPr>
                <w:szCs w:val="21"/>
              </w:rPr>
              <w:t>229,314,997.23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0.9679</w:t>
            </w:r>
          </w:p>
        </w:tc>
        <w:tc>
          <w:tcPr>
            <w:tcW w:w="687" w:type="pct"/>
            <w:vAlign w:val="center"/>
          </w:tcPr>
          <w:p w:rsidR="001A59F9" w:rsidRPr="005C7DCF" w:rsidRDefault="001A59F9" w:rsidP="0078762A">
            <w:pPr>
              <w:spacing w:before="29" w:line="288" w:lineRule="auto"/>
              <w:jc w:val="right"/>
              <w:rPr>
                <w:szCs w:val="21"/>
              </w:rPr>
            </w:pPr>
            <w:r w:rsidRPr="005C7DCF">
              <w:rPr>
                <w:szCs w:val="21"/>
              </w:rPr>
              <w:t>0.9660</w:t>
            </w:r>
          </w:p>
        </w:tc>
        <w:tc>
          <w:tcPr>
            <w:tcW w:w="688" w:type="pct"/>
            <w:vAlign w:val="center"/>
          </w:tcPr>
          <w:p w:rsidR="001A59F9" w:rsidRPr="005C7DCF" w:rsidRDefault="00AB54C1" w:rsidP="0078762A">
            <w:pPr>
              <w:spacing w:before="29" w:line="288" w:lineRule="auto"/>
              <w:jc w:val="right"/>
              <w:rPr>
                <w:szCs w:val="21"/>
              </w:rPr>
            </w:pPr>
            <w:r w:rsidRPr="005C7DCF">
              <w:rPr>
                <w:szCs w:val="21"/>
              </w:rPr>
              <w:t>1.0483</w:t>
            </w:r>
          </w:p>
        </w:tc>
        <w:tc>
          <w:tcPr>
            <w:tcW w:w="688" w:type="pct"/>
            <w:vAlign w:val="center"/>
          </w:tcPr>
          <w:p w:rsidR="001A59F9" w:rsidRPr="005C7DCF" w:rsidRDefault="00AB54C1" w:rsidP="0078762A">
            <w:pPr>
              <w:spacing w:before="29" w:line="288" w:lineRule="auto"/>
              <w:jc w:val="right"/>
              <w:rPr>
                <w:szCs w:val="21"/>
              </w:rPr>
            </w:pPr>
            <w:r w:rsidRPr="005C7DCF">
              <w:rPr>
                <w:szCs w:val="21"/>
              </w:rPr>
              <w:t>1.0457</w:t>
            </w:r>
          </w:p>
        </w:tc>
        <w:tc>
          <w:tcPr>
            <w:tcW w:w="684" w:type="pct"/>
            <w:vAlign w:val="center"/>
          </w:tcPr>
          <w:p w:rsidR="001A59F9" w:rsidRPr="005C7DCF" w:rsidRDefault="00AB54C1" w:rsidP="0078762A">
            <w:pPr>
              <w:spacing w:before="29" w:line="288" w:lineRule="auto"/>
              <w:jc w:val="right"/>
              <w:rPr>
                <w:szCs w:val="21"/>
              </w:rPr>
            </w:pPr>
            <w:r w:rsidRPr="005C7DCF">
              <w:rPr>
                <w:szCs w:val="21"/>
              </w:rPr>
              <w:t>1.0835</w:t>
            </w:r>
          </w:p>
        </w:tc>
        <w:tc>
          <w:tcPr>
            <w:tcW w:w="744" w:type="pct"/>
            <w:vAlign w:val="center"/>
          </w:tcPr>
          <w:p w:rsidR="001A59F9" w:rsidRPr="005C7DCF" w:rsidRDefault="00AB54C1" w:rsidP="0078762A">
            <w:pPr>
              <w:spacing w:before="29" w:line="288" w:lineRule="auto"/>
              <w:jc w:val="right"/>
              <w:rPr>
                <w:szCs w:val="21"/>
              </w:rPr>
            </w:pPr>
            <w:r w:rsidRPr="005C7DCF">
              <w:rPr>
                <w:szCs w:val="21"/>
              </w:rPr>
              <w:t>1.0814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72.43%</w:t>
            </w:r>
          </w:p>
        </w:tc>
        <w:tc>
          <w:tcPr>
            <w:tcW w:w="687" w:type="pct"/>
            <w:vAlign w:val="center"/>
          </w:tcPr>
          <w:p w:rsidR="001A59F9" w:rsidRPr="005C7DCF" w:rsidRDefault="001A59F9" w:rsidP="00704789">
            <w:pPr>
              <w:spacing w:before="29" w:line="288" w:lineRule="auto"/>
              <w:jc w:val="right"/>
              <w:rPr>
                <w:szCs w:val="21"/>
              </w:rPr>
            </w:pPr>
            <w:r w:rsidRPr="005C7DCF">
              <w:rPr>
                <w:szCs w:val="21"/>
              </w:rPr>
              <w:t>65.99%</w:t>
            </w:r>
          </w:p>
        </w:tc>
        <w:tc>
          <w:tcPr>
            <w:tcW w:w="687" w:type="pct"/>
            <w:vAlign w:val="center"/>
          </w:tcPr>
          <w:p w:rsidR="001A59F9" w:rsidRPr="005C7DCF" w:rsidRDefault="00AB54C1" w:rsidP="00704789">
            <w:pPr>
              <w:spacing w:before="29" w:line="288" w:lineRule="auto"/>
              <w:jc w:val="right"/>
              <w:rPr>
                <w:szCs w:val="21"/>
              </w:rPr>
            </w:pPr>
            <w:r w:rsidRPr="005C7DCF">
              <w:rPr>
                <w:szCs w:val="21"/>
              </w:rPr>
              <w:t>75.44%</w:t>
            </w:r>
          </w:p>
        </w:tc>
        <w:tc>
          <w:tcPr>
            <w:tcW w:w="688" w:type="pct"/>
            <w:vAlign w:val="center"/>
          </w:tcPr>
          <w:p w:rsidR="001A59F9" w:rsidRPr="005C7DCF" w:rsidRDefault="00AB54C1" w:rsidP="00704789">
            <w:pPr>
              <w:spacing w:before="29" w:line="288" w:lineRule="auto"/>
              <w:jc w:val="right"/>
              <w:rPr>
                <w:szCs w:val="21"/>
              </w:rPr>
            </w:pPr>
            <w:r w:rsidRPr="005C7DCF">
              <w:rPr>
                <w:szCs w:val="21"/>
              </w:rPr>
              <w:t>69.61%</w:t>
            </w:r>
          </w:p>
        </w:tc>
        <w:tc>
          <w:tcPr>
            <w:tcW w:w="687" w:type="pct"/>
            <w:vAlign w:val="center"/>
          </w:tcPr>
          <w:p w:rsidR="001A59F9" w:rsidRPr="005C7DCF" w:rsidRDefault="00AB54C1" w:rsidP="00704789">
            <w:pPr>
              <w:spacing w:before="29" w:line="288" w:lineRule="auto"/>
              <w:jc w:val="right"/>
              <w:rPr>
                <w:szCs w:val="21"/>
              </w:rPr>
            </w:pPr>
            <w:r w:rsidRPr="005C7DCF">
              <w:rPr>
                <w:szCs w:val="21"/>
              </w:rPr>
              <w:t>60.07%</w:t>
            </w:r>
          </w:p>
        </w:tc>
        <w:tc>
          <w:tcPr>
            <w:tcW w:w="743" w:type="pct"/>
            <w:vAlign w:val="center"/>
          </w:tcPr>
          <w:p w:rsidR="001A59F9" w:rsidRPr="005C7DCF" w:rsidRDefault="00AB54C1" w:rsidP="00704789">
            <w:pPr>
              <w:spacing w:before="29" w:line="288" w:lineRule="auto"/>
              <w:jc w:val="right"/>
              <w:rPr>
                <w:szCs w:val="21"/>
              </w:rPr>
            </w:pPr>
            <w:r w:rsidRPr="005C7DCF">
              <w:rPr>
                <w:szCs w:val="21"/>
              </w:rPr>
              <w:t>55.43%</w:t>
            </w:r>
          </w:p>
        </w:tc>
      </w:tr>
    </w:tbl>
    <w:p w:rsidR="00A46313" w:rsidRDefault="0012579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32" w:name="_Toc225498252"/>
      <w:bookmarkStart w:id="33" w:name="_Toc361324852"/>
      <w:bookmarkStart w:id="34" w:name="_Toc478236521"/>
      <w:r w:rsidRPr="004211FD">
        <w:rPr>
          <w:rFonts w:ascii="Times New Roman" w:hAnsi="Times New Roman"/>
          <w:kern w:val="0"/>
          <w:szCs w:val="24"/>
        </w:rPr>
        <w:t xml:space="preserve">3.2 </w:t>
      </w:r>
      <w:r w:rsidRPr="004211FD">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46313">
        <w:tc>
          <w:tcPr>
            <w:tcW w:w="1286" w:type="dxa"/>
            <w:vAlign w:val="center"/>
          </w:tcPr>
          <w:p w:rsidR="00A46313" w:rsidRDefault="00125795">
            <w:pPr>
              <w:jc w:val="left"/>
            </w:pPr>
            <w:r>
              <w:rPr>
                <w:color w:val="000000"/>
                <w:sz w:val="24"/>
              </w:rPr>
              <w:t>过去三个月</w:t>
            </w:r>
          </w:p>
        </w:tc>
        <w:tc>
          <w:tcPr>
            <w:tcW w:w="1286" w:type="dxa"/>
            <w:vAlign w:val="center"/>
          </w:tcPr>
          <w:p w:rsidR="00A46313" w:rsidRDefault="00125795">
            <w:pPr>
              <w:jc w:val="center"/>
            </w:pPr>
            <w:r>
              <w:rPr>
                <w:color w:val="000000"/>
                <w:sz w:val="24"/>
              </w:rPr>
              <w:t>-3.30%</w:t>
            </w:r>
          </w:p>
        </w:tc>
        <w:tc>
          <w:tcPr>
            <w:tcW w:w="1286" w:type="dxa"/>
            <w:vAlign w:val="center"/>
          </w:tcPr>
          <w:p w:rsidR="00A46313" w:rsidRDefault="00125795">
            <w:pPr>
              <w:jc w:val="center"/>
            </w:pPr>
            <w:r>
              <w:rPr>
                <w:color w:val="000000"/>
                <w:sz w:val="24"/>
              </w:rPr>
              <w:t>0.19%</w:t>
            </w:r>
          </w:p>
        </w:tc>
        <w:tc>
          <w:tcPr>
            <w:tcW w:w="1285" w:type="dxa"/>
            <w:vAlign w:val="center"/>
          </w:tcPr>
          <w:p w:rsidR="00A46313" w:rsidRDefault="00125795">
            <w:pPr>
              <w:jc w:val="center"/>
            </w:pPr>
            <w:r>
              <w:rPr>
                <w:color w:val="000000"/>
                <w:sz w:val="24"/>
              </w:rPr>
              <w:t>-4.97%</w:t>
            </w:r>
          </w:p>
        </w:tc>
        <w:tc>
          <w:tcPr>
            <w:tcW w:w="1285" w:type="dxa"/>
            <w:vAlign w:val="center"/>
          </w:tcPr>
          <w:p w:rsidR="00A46313" w:rsidRDefault="00125795">
            <w:pPr>
              <w:jc w:val="center"/>
            </w:pPr>
            <w:r>
              <w:rPr>
                <w:color w:val="000000"/>
                <w:sz w:val="24"/>
              </w:rPr>
              <w:t>0.15%</w:t>
            </w:r>
          </w:p>
        </w:tc>
        <w:tc>
          <w:tcPr>
            <w:tcW w:w="1285" w:type="dxa"/>
            <w:vAlign w:val="center"/>
          </w:tcPr>
          <w:p w:rsidR="00A46313" w:rsidRDefault="00125795">
            <w:pPr>
              <w:jc w:val="center"/>
            </w:pPr>
            <w:r>
              <w:rPr>
                <w:color w:val="000000"/>
                <w:sz w:val="24"/>
              </w:rPr>
              <w:t>1.67%</w:t>
            </w:r>
          </w:p>
        </w:tc>
        <w:tc>
          <w:tcPr>
            <w:tcW w:w="1285" w:type="dxa"/>
            <w:vAlign w:val="center"/>
          </w:tcPr>
          <w:p w:rsidR="00A46313" w:rsidRDefault="00125795">
            <w:pPr>
              <w:jc w:val="center"/>
            </w:pPr>
            <w:r>
              <w:rPr>
                <w:color w:val="000000"/>
                <w:sz w:val="24"/>
              </w:rPr>
              <w:t>0.04%</w:t>
            </w:r>
          </w:p>
        </w:tc>
      </w:tr>
      <w:tr w:rsidR="00A46313">
        <w:tc>
          <w:tcPr>
            <w:tcW w:w="1286" w:type="dxa"/>
            <w:vAlign w:val="center"/>
          </w:tcPr>
          <w:p w:rsidR="00A46313" w:rsidRDefault="00125795">
            <w:pPr>
              <w:jc w:val="left"/>
            </w:pPr>
            <w:r>
              <w:rPr>
                <w:color w:val="000000"/>
                <w:sz w:val="24"/>
              </w:rPr>
              <w:t>过去六个月</w:t>
            </w:r>
          </w:p>
        </w:tc>
        <w:tc>
          <w:tcPr>
            <w:tcW w:w="1286" w:type="dxa"/>
            <w:vAlign w:val="center"/>
          </w:tcPr>
          <w:p w:rsidR="00A46313" w:rsidRDefault="00125795">
            <w:pPr>
              <w:jc w:val="center"/>
            </w:pPr>
            <w:r>
              <w:rPr>
                <w:color w:val="000000"/>
                <w:sz w:val="24"/>
              </w:rPr>
              <w:t>-1.58%</w:t>
            </w:r>
          </w:p>
        </w:tc>
        <w:tc>
          <w:tcPr>
            <w:tcW w:w="1286" w:type="dxa"/>
            <w:vAlign w:val="center"/>
          </w:tcPr>
          <w:p w:rsidR="00A46313" w:rsidRDefault="00125795">
            <w:pPr>
              <w:jc w:val="center"/>
            </w:pPr>
            <w:r>
              <w:rPr>
                <w:color w:val="000000"/>
                <w:sz w:val="24"/>
              </w:rPr>
              <w:t>0.14%</w:t>
            </w:r>
          </w:p>
        </w:tc>
        <w:tc>
          <w:tcPr>
            <w:tcW w:w="1285" w:type="dxa"/>
            <w:vAlign w:val="center"/>
          </w:tcPr>
          <w:p w:rsidR="00A46313" w:rsidRDefault="00125795">
            <w:pPr>
              <w:jc w:val="center"/>
            </w:pPr>
            <w:r>
              <w:rPr>
                <w:color w:val="000000"/>
                <w:sz w:val="24"/>
              </w:rPr>
              <w:t>-4.71%</w:t>
            </w:r>
          </w:p>
        </w:tc>
        <w:tc>
          <w:tcPr>
            <w:tcW w:w="1285" w:type="dxa"/>
            <w:vAlign w:val="center"/>
          </w:tcPr>
          <w:p w:rsidR="00A46313" w:rsidRDefault="00125795">
            <w:pPr>
              <w:jc w:val="center"/>
            </w:pPr>
            <w:r>
              <w:rPr>
                <w:color w:val="000000"/>
                <w:sz w:val="24"/>
              </w:rPr>
              <w:t>0.12%</w:t>
            </w:r>
          </w:p>
        </w:tc>
        <w:tc>
          <w:tcPr>
            <w:tcW w:w="1285" w:type="dxa"/>
            <w:vAlign w:val="center"/>
          </w:tcPr>
          <w:p w:rsidR="00A46313" w:rsidRDefault="00125795">
            <w:pPr>
              <w:jc w:val="center"/>
            </w:pPr>
            <w:r>
              <w:rPr>
                <w:color w:val="000000"/>
                <w:sz w:val="24"/>
              </w:rPr>
              <w:t>3.13%</w:t>
            </w:r>
          </w:p>
        </w:tc>
        <w:tc>
          <w:tcPr>
            <w:tcW w:w="1285" w:type="dxa"/>
            <w:vAlign w:val="center"/>
          </w:tcPr>
          <w:p w:rsidR="00A46313" w:rsidRDefault="00125795">
            <w:pPr>
              <w:jc w:val="center"/>
            </w:pPr>
            <w:r>
              <w:rPr>
                <w:color w:val="000000"/>
                <w:sz w:val="24"/>
              </w:rPr>
              <w:t>0.02%</w:t>
            </w:r>
          </w:p>
        </w:tc>
      </w:tr>
      <w:tr w:rsidR="00A46313">
        <w:tc>
          <w:tcPr>
            <w:tcW w:w="1286" w:type="dxa"/>
            <w:vAlign w:val="center"/>
          </w:tcPr>
          <w:p w:rsidR="00A46313" w:rsidRDefault="00125795">
            <w:pPr>
              <w:jc w:val="left"/>
            </w:pPr>
            <w:r>
              <w:rPr>
                <w:color w:val="000000"/>
                <w:sz w:val="24"/>
              </w:rPr>
              <w:t>过去一年</w:t>
            </w:r>
          </w:p>
        </w:tc>
        <w:tc>
          <w:tcPr>
            <w:tcW w:w="1286" w:type="dxa"/>
            <w:vAlign w:val="center"/>
          </w:tcPr>
          <w:p w:rsidR="00A46313" w:rsidRDefault="00125795">
            <w:pPr>
              <w:jc w:val="center"/>
            </w:pPr>
            <w:r>
              <w:rPr>
                <w:color w:val="000000"/>
                <w:sz w:val="24"/>
              </w:rPr>
              <w:t>-1.72%</w:t>
            </w:r>
          </w:p>
        </w:tc>
        <w:tc>
          <w:tcPr>
            <w:tcW w:w="1286" w:type="dxa"/>
            <w:vAlign w:val="center"/>
          </w:tcPr>
          <w:p w:rsidR="00A46313" w:rsidRDefault="00125795">
            <w:pPr>
              <w:jc w:val="center"/>
            </w:pPr>
            <w:r>
              <w:rPr>
                <w:color w:val="000000"/>
                <w:sz w:val="24"/>
              </w:rPr>
              <w:t>0.12%</w:t>
            </w:r>
          </w:p>
        </w:tc>
        <w:tc>
          <w:tcPr>
            <w:tcW w:w="1285" w:type="dxa"/>
            <w:vAlign w:val="center"/>
          </w:tcPr>
          <w:p w:rsidR="00A46313" w:rsidRDefault="00125795">
            <w:pPr>
              <w:jc w:val="center"/>
            </w:pPr>
            <w:r>
              <w:rPr>
                <w:color w:val="000000"/>
                <w:sz w:val="24"/>
              </w:rPr>
              <w:t>-7.89%</w:t>
            </w:r>
          </w:p>
        </w:tc>
        <w:tc>
          <w:tcPr>
            <w:tcW w:w="1285" w:type="dxa"/>
            <w:vAlign w:val="center"/>
          </w:tcPr>
          <w:p w:rsidR="00A46313" w:rsidRDefault="00125795">
            <w:pPr>
              <w:jc w:val="center"/>
            </w:pPr>
            <w:r>
              <w:rPr>
                <w:color w:val="000000"/>
                <w:sz w:val="24"/>
              </w:rPr>
              <w:t>0.11%</w:t>
            </w:r>
          </w:p>
        </w:tc>
        <w:tc>
          <w:tcPr>
            <w:tcW w:w="1285" w:type="dxa"/>
            <w:vAlign w:val="center"/>
          </w:tcPr>
          <w:p w:rsidR="00A46313" w:rsidRDefault="00125795">
            <w:pPr>
              <w:jc w:val="center"/>
            </w:pPr>
            <w:r>
              <w:rPr>
                <w:color w:val="000000"/>
                <w:sz w:val="24"/>
              </w:rPr>
              <w:t>6.17%</w:t>
            </w:r>
          </w:p>
        </w:tc>
        <w:tc>
          <w:tcPr>
            <w:tcW w:w="1285" w:type="dxa"/>
            <w:vAlign w:val="center"/>
          </w:tcPr>
          <w:p w:rsidR="00A46313" w:rsidRDefault="00125795">
            <w:pPr>
              <w:jc w:val="center"/>
            </w:pPr>
            <w:r>
              <w:rPr>
                <w:color w:val="000000"/>
                <w:sz w:val="24"/>
              </w:rPr>
              <w:t>0.01%</w:t>
            </w:r>
          </w:p>
        </w:tc>
      </w:tr>
      <w:tr w:rsidR="00A46313">
        <w:tc>
          <w:tcPr>
            <w:tcW w:w="1286" w:type="dxa"/>
            <w:vAlign w:val="center"/>
          </w:tcPr>
          <w:p w:rsidR="00A46313" w:rsidRDefault="00125795">
            <w:pPr>
              <w:jc w:val="left"/>
            </w:pPr>
            <w:r>
              <w:rPr>
                <w:color w:val="000000"/>
                <w:sz w:val="24"/>
              </w:rPr>
              <w:t>过去三年</w:t>
            </w:r>
          </w:p>
        </w:tc>
        <w:tc>
          <w:tcPr>
            <w:tcW w:w="1286" w:type="dxa"/>
            <w:vAlign w:val="center"/>
          </w:tcPr>
          <w:p w:rsidR="00A46313" w:rsidRDefault="00125795">
            <w:pPr>
              <w:jc w:val="center"/>
            </w:pPr>
            <w:r>
              <w:rPr>
                <w:color w:val="000000"/>
                <w:sz w:val="24"/>
              </w:rPr>
              <w:t>29.09%</w:t>
            </w:r>
          </w:p>
        </w:tc>
        <w:tc>
          <w:tcPr>
            <w:tcW w:w="1286" w:type="dxa"/>
            <w:vAlign w:val="center"/>
          </w:tcPr>
          <w:p w:rsidR="00A46313" w:rsidRDefault="00125795">
            <w:pPr>
              <w:jc w:val="center"/>
            </w:pPr>
            <w:r>
              <w:rPr>
                <w:color w:val="000000"/>
                <w:sz w:val="24"/>
              </w:rPr>
              <w:t>0.20%</w:t>
            </w:r>
          </w:p>
        </w:tc>
        <w:tc>
          <w:tcPr>
            <w:tcW w:w="1285" w:type="dxa"/>
            <w:vAlign w:val="center"/>
          </w:tcPr>
          <w:p w:rsidR="00A46313" w:rsidRDefault="00125795">
            <w:pPr>
              <w:jc w:val="center"/>
            </w:pPr>
            <w:r>
              <w:rPr>
                <w:color w:val="000000"/>
                <w:sz w:val="24"/>
              </w:rPr>
              <w:t>-0.91%</w:t>
            </w:r>
          </w:p>
        </w:tc>
        <w:tc>
          <w:tcPr>
            <w:tcW w:w="1285" w:type="dxa"/>
            <w:vAlign w:val="center"/>
          </w:tcPr>
          <w:p w:rsidR="00A46313" w:rsidRDefault="00125795">
            <w:pPr>
              <w:jc w:val="center"/>
            </w:pPr>
            <w:r>
              <w:rPr>
                <w:color w:val="000000"/>
                <w:sz w:val="24"/>
              </w:rPr>
              <w:t>0.11%</w:t>
            </w:r>
          </w:p>
        </w:tc>
        <w:tc>
          <w:tcPr>
            <w:tcW w:w="1285" w:type="dxa"/>
            <w:vAlign w:val="center"/>
          </w:tcPr>
          <w:p w:rsidR="00A46313" w:rsidRDefault="00125795">
            <w:pPr>
              <w:jc w:val="center"/>
            </w:pPr>
            <w:r>
              <w:rPr>
                <w:color w:val="000000"/>
                <w:sz w:val="24"/>
              </w:rPr>
              <w:t>30.00%</w:t>
            </w:r>
          </w:p>
        </w:tc>
        <w:tc>
          <w:tcPr>
            <w:tcW w:w="1285" w:type="dxa"/>
            <w:vAlign w:val="center"/>
          </w:tcPr>
          <w:p w:rsidR="00A46313" w:rsidRDefault="00125795">
            <w:pPr>
              <w:jc w:val="center"/>
            </w:pPr>
            <w:r>
              <w:rPr>
                <w:color w:val="000000"/>
                <w:sz w:val="24"/>
              </w:rPr>
              <w:t>0.09%</w:t>
            </w:r>
          </w:p>
        </w:tc>
      </w:tr>
      <w:tr w:rsidR="00A46313">
        <w:tc>
          <w:tcPr>
            <w:tcW w:w="1286" w:type="dxa"/>
            <w:vAlign w:val="center"/>
          </w:tcPr>
          <w:p w:rsidR="00A46313" w:rsidRDefault="00125795">
            <w:pPr>
              <w:jc w:val="left"/>
            </w:pPr>
            <w:r>
              <w:rPr>
                <w:color w:val="000000"/>
                <w:sz w:val="24"/>
              </w:rPr>
              <w:t>过去五年</w:t>
            </w:r>
          </w:p>
        </w:tc>
        <w:tc>
          <w:tcPr>
            <w:tcW w:w="1286" w:type="dxa"/>
            <w:vAlign w:val="center"/>
          </w:tcPr>
          <w:p w:rsidR="00A46313" w:rsidRDefault="00125795">
            <w:pPr>
              <w:jc w:val="center"/>
            </w:pPr>
            <w:r>
              <w:rPr>
                <w:color w:val="000000"/>
                <w:sz w:val="24"/>
              </w:rPr>
              <w:t>43.29%</w:t>
            </w:r>
          </w:p>
        </w:tc>
        <w:tc>
          <w:tcPr>
            <w:tcW w:w="1286" w:type="dxa"/>
            <w:vAlign w:val="center"/>
          </w:tcPr>
          <w:p w:rsidR="00A46313" w:rsidRDefault="00125795">
            <w:pPr>
              <w:jc w:val="center"/>
            </w:pPr>
            <w:r>
              <w:rPr>
                <w:color w:val="000000"/>
                <w:sz w:val="24"/>
              </w:rPr>
              <w:t>0.23%</w:t>
            </w:r>
          </w:p>
        </w:tc>
        <w:tc>
          <w:tcPr>
            <w:tcW w:w="1285" w:type="dxa"/>
            <w:vAlign w:val="center"/>
          </w:tcPr>
          <w:p w:rsidR="00A46313" w:rsidRDefault="00125795">
            <w:pPr>
              <w:jc w:val="center"/>
            </w:pPr>
            <w:r>
              <w:rPr>
                <w:color w:val="000000"/>
                <w:sz w:val="24"/>
              </w:rPr>
              <w:t>-1.05%</w:t>
            </w:r>
          </w:p>
        </w:tc>
        <w:tc>
          <w:tcPr>
            <w:tcW w:w="1285" w:type="dxa"/>
            <w:vAlign w:val="center"/>
          </w:tcPr>
          <w:p w:rsidR="00A46313" w:rsidRDefault="00125795">
            <w:pPr>
              <w:jc w:val="center"/>
            </w:pPr>
            <w:r>
              <w:rPr>
                <w:color w:val="000000"/>
                <w:sz w:val="24"/>
              </w:rPr>
              <w:t>0.10%</w:t>
            </w:r>
          </w:p>
        </w:tc>
        <w:tc>
          <w:tcPr>
            <w:tcW w:w="1285" w:type="dxa"/>
            <w:vAlign w:val="center"/>
          </w:tcPr>
          <w:p w:rsidR="00A46313" w:rsidRDefault="00125795">
            <w:pPr>
              <w:jc w:val="center"/>
            </w:pPr>
            <w:r>
              <w:rPr>
                <w:color w:val="000000"/>
                <w:sz w:val="24"/>
              </w:rPr>
              <w:t>44.34%</w:t>
            </w:r>
          </w:p>
        </w:tc>
        <w:tc>
          <w:tcPr>
            <w:tcW w:w="1285" w:type="dxa"/>
            <w:vAlign w:val="center"/>
          </w:tcPr>
          <w:p w:rsidR="00A46313" w:rsidRDefault="00125795">
            <w:pPr>
              <w:jc w:val="center"/>
            </w:pPr>
            <w:r>
              <w:rPr>
                <w:color w:val="000000"/>
                <w:sz w:val="24"/>
              </w:rPr>
              <w:t>0.13%</w:t>
            </w:r>
          </w:p>
        </w:tc>
      </w:tr>
      <w:tr w:rsidR="00A46313">
        <w:tc>
          <w:tcPr>
            <w:tcW w:w="1286" w:type="dxa"/>
            <w:vAlign w:val="center"/>
          </w:tcPr>
          <w:p w:rsidR="00A46313" w:rsidRDefault="00125795">
            <w:pPr>
              <w:jc w:val="left"/>
            </w:pPr>
            <w:r>
              <w:rPr>
                <w:color w:val="000000"/>
                <w:sz w:val="24"/>
              </w:rPr>
              <w:t>自基金合同生效起至今</w:t>
            </w:r>
          </w:p>
        </w:tc>
        <w:tc>
          <w:tcPr>
            <w:tcW w:w="1286" w:type="dxa"/>
            <w:vAlign w:val="center"/>
          </w:tcPr>
          <w:p w:rsidR="00A46313" w:rsidRDefault="00125795">
            <w:pPr>
              <w:jc w:val="center"/>
            </w:pPr>
            <w:r>
              <w:rPr>
                <w:color w:val="000000"/>
                <w:sz w:val="24"/>
              </w:rPr>
              <w:t>72.43%</w:t>
            </w:r>
          </w:p>
        </w:tc>
        <w:tc>
          <w:tcPr>
            <w:tcW w:w="1286" w:type="dxa"/>
            <w:vAlign w:val="center"/>
          </w:tcPr>
          <w:p w:rsidR="00A46313" w:rsidRDefault="00125795">
            <w:pPr>
              <w:jc w:val="center"/>
            </w:pPr>
            <w:r>
              <w:rPr>
                <w:color w:val="000000"/>
                <w:sz w:val="24"/>
              </w:rPr>
              <w:t>0.28%</w:t>
            </w:r>
          </w:p>
        </w:tc>
        <w:tc>
          <w:tcPr>
            <w:tcW w:w="1285" w:type="dxa"/>
            <w:vAlign w:val="center"/>
          </w:tcPr>
          <w:p w:rsidR="00A46313" w:rsidRDefault="00125795">
            <w:pPr>
              <w:jc w:val="center"/>
            </w:pPr>
            <w:r>
              <w:rPr>
                <w:color w:val="000000"/>
                <w:sz w:val="24"/>
              </w:rPr>
              <w:t>4.66%</w:t>
            </w:r>
          </w:p>
        </w:tc>
        <w:tc>
          <w:tcPr>
            <w:tcW w:w="1285" w:type="dxa"/>
            <w:vAlign w:val="center"/>
          </w:tcPr>
          <w:p w:rsidR="00A46313" w:rsidRDefault="00125795">
            <w:pPr>
              <w:jc w:val="center"/>
            </w:pPr>
            <w:r>
              <w:rPr>
                <w:color w:val="000000"/>
                <w:sz w:val="24"/>
              </w:rPr>
              <w:t>0.13%</w:t>
            </w:r>
          </w:p>
        </w:tc>
        <w:tc>
          <w:tcPr>
            <w:tcW w:w="1285" w:type="dxa"/>
            <w:vAlign w:val="center"/>
          </w:tcPr>
          <w:p w:rsidR="00A46313" w:rsidRDefault="00125795">
            <w:pPr>
              <w:jc w:val="center"/>
            </w:pPr>
            <w:r>
              <w:rPr>
                <w:color w:val="000000"/>
                <w:sz w:val="24"/>
              </w:rPr>
              <w:t>67.77%</w:t>
            </w:r>
          </w:p>
        </w:tc>
        <w:tc>
          <w:tcPr>
            <w:tcW w:w="1285" w:type="dxa"/>
            <w:vAlign w:val="center"/>
          </w:tcPr>
          <w:p w:rsidR="00A46313" w:rsidRDefault="00125795">
            <w:pPr>
              <w:jc w:val="center"/>
            </w:pPr>
            <w:r>
              <w:rPr>
                <w:color w:val="000000"/>
                <w:sz w:val="24"/>
              </w:rPr>
              <w:t>0.15%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46313">
        <w:tc>
          <w:tcPr>
            <w:tcW w:w="1286" w:type="dxa"/>
            <w:vAlign w:val="center"/>
          </w:tcPr>
          <w:p w:rsidR="00A46313" w:rsidRDefault="00125795">
            <w:pPr>
              <w:jc w:val="left"/>
            </w:pPr>
            <w:r>
              <w:rPr>
                <w:color w:val="000000"/>
                <w:sz w:val="24"/>
              </w:rPr>
              <w:t>过去三个月</w:t>
            </w:r>
          </w:p>
        </w:tc>
        <w:tc>
          <w:tcPr>
            <w:tcW w:w="1286" w:type="dxa"/>
            <w:vAlign w:val="center"/>
          </w:tcPr>
          <w:p w:rsidR="00A46313" w:rsidRDefault="00125795">
            <w:pPr>
              <w:jc w:val="center"/>
            </w:pPr>
            <w:r>
              <w:rPr>
                <w:color w:val="000000"/>
                <w:sz w:val="24"/>
              </w:rPr>
              <w:t>-3.40%</w:t>
            </w:r>
          </w:p>
        </w:tc>
        <w:tc>
          <w:tcPr>
            <w:tcW w:w="1286" w:type="dxa"/>
            <w:vAlign w:val="center"/>
          </w:tcPr>
          <w:p w:rsidR="00A46313" w:rsidRDefault="00125795">
            <w:pPr>
              <w:jc w:val="center"/>
            </w:pPr>
            <w:r>
              <w:rPr>
                <w:color w:val="000000"/>
                <w:sz w:val="24"/>
              </w:rPr>
              <w:t>0.19%</w:t>
            </w:r>
          </w:p>
        </w:tc>
        <w:tc>
          <w:tcPr>
            <w:tcW w:w="1285" w:type="dxa"/>
            <w:vAlign w:val="center"/>
          </w:tcPr>
          <w:p w:rsidR="00A46313" w:rsidRDefault="00125795">
            <w:pPr>
              <w:jc w:val="center"/>
            </w:pPr>
            <w:r>
              <w:rPr>
                <w:color w:val="000000"/>
                <w:sz w:val="24"/>
              </w:rPr>
              <w:t>-4.97%</w:t>
            </w:r>
          </w:p>
        </w:tc>
        <w:tc>
          <w:tcPr>
            <w:tcW w:w="1285" w:type="dxa"/>
            <w:vAlign w:val="center"/>
          </w:tcPr>
          <w:p w:rsidR="00A46313" w:rsidRDefault="00125795">
            <w:pPr>
              <w:jc w:val="center"/>
            </w:pPr>
            <w:r>
              <w:rPr>
                <w:color w:val="000000"/>
                <w:sz w:val="24"/>
              </w:rPr>
              <w:t>0.15%</w:t>
            </w:r>
          </w:p>
        </w:tc>
        <w:tc>
          <w:tcPr>
            <w:tcW w:w="1285" w:type="dxa"/>
            <w:vAlign w:val="center"/>
          </w:tcPr>
          <w:p w:rsidR="00A46313" w:rsidRDefault="00125795">
            <w:pPr>
              <w:jc w:val="center"/>
            </w:pPr>
            <w:r>
              <w:rPr>
                <w:color w:val="000000"/>
                <w:sz w:val="24"/>
              </w:rPr>
              <w:t>1.57%</w:t>
            </w:r>
          </w:p>
        </w:tc>
        <w:tc>
          <w:tcPr>
            <w:tcW w:w="1285" w:type="dxa"/>
            <w:vAlign w:val="center"/>
          </w:tcPr>
          <w:p w:rsidR="00A46313" w:rsidRDefault="00125795">
            <w:pPr>
              <w:jc w:val="center"/>
            </w:pPr>
            <w:r>
              <w:rPr>
                <w:color w:val="000000"/>
                <w:sz w:val="24"/>
              </w:rPr>
              <w:t>0.04%</w:t>
            </w:r>
          </w:p>
        </w:tc>
      </w:tr>
      <w:tr w:rsidR="00A46313">
        <w:tc>
          <w:tcPr>
            <w:tcW w:w="1286" w:type="dxa"/>
            <w:vAlign w:val="center"/>
          </w:tcPr>
          <w:p w:rsidR="00A46313" w:rsidRDefault="00125795">
            <w:pPr>
              <w:jc w:val="left"/>
            </w:pPr>
            <w:r>
              <w:rPr>
                <w:color w:val="000000"/>
                <w:sz w:val="24"/>
              </w:rPr>
              <w:t>过去六个月</w:t>
            </w:r>
          </w:p>
        </w:tc>
        <w:tc>
          <w:tcPr>
            <w:tcW w:w="1286" w:type="dxa"/>
            <w:vAlign w:val="center"/>
          </w:tcPr>
          <w:p w:rsidR="00A46313" w:rsidRDefault="00125795">
            <w:pPr>
              <w:jc w:val="center"/>
            </w:pPr>
            <w:r>
              <w:rPr>
                <w:color w:val="000000"/>
                <w:sz w:val="24"/>
              </w:rPr>
              <w:t>-1.80%</w:t>
            </w:r>
          </w:p>
        </w:tc>
        <w:tc>
          <w:tcPr>
            <w:tcW w:w="1286" w:type="dxa"/>
            <w:vAlign w:val="center"/>
          </w:tcPr>
          <w:p w:rsidR="00A46313" w:rsidRDefault="00125795">
            <w:pPr>
              <w:jc w:val="center"/>
            </w:pPr>
            <w:r>
              <w:rPr>
                <w:color w:val="000000"/>
                <w:sz w:val="24"/>
              </w:rPr>
              <w:t>0.14%</w:t>
            </w:r>
          </w:p>
        </w:tc>
        <w:tc>
          <w:tcPr>
            <w:tcW w:w="1285" w:type="dxa"/>
            <w:vAlign w:val="center"/>
          </w:tcPr>
          <w:p w:rsidR="00A46313" w:rsidRDefault="00125795">
            <w:pPr>
              <w:jc w:val="center"/>
            </w:pPr>
            <w:r>
              <w:rPr>
                <w:color w:val="000000"/>
                <w:sz w:val="24"/>
              </w:rPr>
              <w:t>-4.71%</w:t>
            </w:r>
          </w:p>
        </w:tc>
        <w:tc>
          <w:tcPr>
            <w:tcW w:w="1285" w:type="dxa"/>
            <w:vAlign w:val="center"/>
          </w:tcPr>
          <w:p w:rsidR="00A46313" w:rsidRDefault="00125795">
            <w:pPr>
              <w:jc w:val="center"/>
            </w:pPr>
            <w:r>
              <w:rPr>
                <w:color w:val="000000"/>
                <w:sz w:val="24"/>
              </w:rPr>
              <w:t>0.12%</w:t>
            </w:r>
          </w:p>
        </w:tc>
        <w:tc>
          <w:tcPr>
            <w:tcW w:w="1285" w:type="dxa"/>
            <w:vAlign w:val="center"/>
          </w:tcPr>
          <w:p w:rsidR="00A46313" w:rsidRDefault="00125795">
            <w:pPr>
              <w:jc w:val="center"/>
            </w:pPr>
            <w:r>
              <w:rPr>
                <w:color w:val="000000"/>
                <w:sz w:val="24"/>
              </w:rPr>
              <w:t>2.91%</w:t>
            </w:r>
          </w:p>
        </w:tc>
        <w:tc>
          <w:tcPr>
            <w:tcW w:w="1285" w:type="dxa"/>
            <w:vAlign w:val="center"/>
          </w:tcPr>
          <w:p w:rsidR="00A46313" w:rsidRDefault="00125795">
            <w:pPr>
              <w:jc w:val="center"/>
            </w:pPr>
            <w:r>
              <w:rPr>
                <w:color w:val="000000"/>
                <w:sz w:val="24"/>
              </w:rPr>
              <w:t>0.02%</w:t>
            </w:r>
          </w:p>
        </w:tc>
      </w:tr>
      <w:tr w:rsidR="00A46313">
        <w:tc>
          <w:tcPr>
            <w:tcW w:w="1286" w:type="dxa"/>
            <w:vAlign w:val="center"/>
          </w:tcPr>
          <w:p w:rsidR="00A46313" w:rsidRDefault="00125795">
            <w:pPr>
              <w:jc w:val="left"/>
            </w:pPr>
            <w:r>
              <w:rPr>
                <w:color w:val="000000"/>
                <w:sz w:val="24"/>
              </w:rPr>
              <w:t>过去一年</w:t>
            </w:r>
          </w:p>
        </w:tc>
        <w:tc>
          <w:tcPr>
            <w:tcW w:w="1286" w:type="dxa"/>
            <w:vAlign w:val="center"/>
          </w:tcPr>
          <w:p w:rsidR="00A46313" w:rsidRDefault="00125795">
            <w:pPr>
              <w:jc w:val="center"/>
            </w:pPr>
            <w:r>
              <w:rPr>
                <w:color w:val="000000"/>
                <w:sz w:val="24"/>
              </w:rPr>
              <w:t>-2.13%</w:t>
            </w:r>
          </w:p>
        </w:tc>
        <w:tc>
          <w:tcPr>
            <w:tcW w:w="1286" w:type="dxa"/>
            <w:vAlign w:val="center"/>
          </w:tcPr>
          <w:p w:rsidR="00A46313" w:rsidRDefault="00125795">
            <w:pPr>
              <w:jc w:val="center"/>
            </w:pPr>
            <w:r>
              <w:rPr>
                <w:color w:val="000000"/>
                <w:sz w:val="24"/>
              </w:rPr>
              <w:t>0.12%</w:t>
            </w:r>
          </w:p>
        </w:tc>
        <w:tc>
          <w:tcPr>
            <w:tcW w:w="1285" w:type="dxa"/>
            <w:vAlign w:val="center"/>
          </w:tcPr>
          <w:p w:rsidR="00A46313" w:rsidRDefault="00125795">
            <w:pPr>
              <w:jc w:val="center"/>
            </w:pPr>
            <w:r>
              <w:rPr>
                <w:color w:val="000000"/>
                <w:sz w:val="24"/>
              </w:rPr>
              <w:t>-7.89%</w:t>
            </w:r>
          </w:p>
        </w:tc>
        <w:tc>
          <w:tcPr>
            <w:tcW w:w="1285" w:type="dxa"/>
            <w:vAlign w:val="center"/>
          </w:tcPr>
          <w:p w:rsidR="00A46313" w:rsidRDefault="00125795">
            <w:pPr>
              <w:jc w:val="center"/>
            </w:pPr>
            <w:r>
              <w:rPr>
                <w:color w:val="000000"/>
                <w:sz w:val="24"/>
              </w:rPr>
              <w:t>0.11%</w:t>
            </w:r>
          </w:p>
        </w:tc>
        <w:tc>
          <w:tcPr>
            <w:tcW w:w="1285" w:type="dxa"/>
            <w:vAlign w:val="center"/>
          </w:tcPr>
          <w:p w:rsidR="00A46313" w:rsidRDefault="00125795">
            <w:pPr>
              <w:jc w:val="center"/>
            </w:pPr>
            <w:r>
              <w:rPr>
                <w:color w:val="000000"/>
                <w:sz w:val="24"/>
              </w:rPr>
              <w:t>5.76%</w:t>
            </w:r>
          </w:p>
        </w:tc>
        <w:tc>
          <w:tcPr>
            <w:tcW w:w="1285" w:type="dxa"/>
            <w:vAlign w:val="center"/>
          </w:tcPr>
          <w:p w:rsidR="00A46313" w:rsidRDefault="00125795">
            <w:pPr>
              <w:jc w:val="center"/>
            </w:pPr>
            <w:r>
              <w:rPr>
                <w:color w:val="000000"/>
                <w:sz w:val="24"/>
              </w:rPr>
              <w:t>0.01%</w:t>
            </w:r>
          </w:p>
        </w:tc>
      </w:tr>
      <w:tr w:rsidR="00A46313">
        <w:tc>
          <w:tcPr>
            <w:tcW w:w="1286" w:type="dxa"/>
            <w:vAlign w:val="center"/>
          </w:tcPr>
          <w:p w:rsidR="00A46313" w:rsidRDefault="00125795">
            <w:pPr>
              <w:jc w:val="left"/>
            </w:pPr>
            <w:r>
              <w:rPr>
                <w:color w:val="000000"/>
                <w:sz w:val="24"/>
              </w:rPr>
              <w:t>过去三年</w:t>
            </w:r>
          </w:p>
        </w:tc>
        <w:tc>
          <w:tcPr>
            <w:tcW w:w="1286" w:type="dxa"/>
            <w:vAlign w:val="center"/>
          </w:tcPr>
          <w:p w:rsidR="00A46313" w:rsidRDefault="00125795">
            <w:pPr>
              <w:jc w:val="center"/>
            </w:pPr>
            <w:r>
              <w:rPr>
                <w:color w:val="000000"/>
                <w:sz w:val="24"/>
              </w:rPr>
              <w:t>27.46%</w:t>
            </w:r>
          </w:p>
        </w:tc>
        <w:tc>
          <w:tcPr>
            <w:tcW w:w="1286" w:type="dxa"/>
            <w:vAlign w:val="center"/>
          </w:tcPr>
          <w:p w:rsidR="00A46313" w:rsidRDefault="00125795">
            <w:pPr>
              <w:jc w:val="center"/>
            </w:pPr>
            <w:r>
              <w:rPr>
                <w:color w:val="000000"/>
                <w:sz w:val="24"/>
              </w:rPr>
              <w:t>0.20%</w:t>
            </w:r>
          </w:p>
        </w:tc>
        <w:tc>
          <w:tcPr>
            <w:tcW w:w="1285" w:type="dxa"/>
            <w:vAlign w:val="center"/>
          </w:tcPr>
          <w:p w:rsidR="00A46313" w:rsidRDefault="00125795">
            <w:pPr>
              <w:jc w:val="center"/>
            </w:pPr>
            <w:r>
              <w:rPr>
                <w:color w:val="000000"/>
                <w:sz w:val="24"/>
              </w:rPr>
              <w:t>-0.91%</w:t>
            </w:r>
          </w:p>
        </w:tc>
        <w:tc>
          <w:tcPr>
            <w:tcW w:w="1285" w:type="dxa"/>
            <w:vAlign w:val="center"/>
          </w:tcPr>
          <w:p w:rsidR="00A46313" w:rsidRDefault="00125795">
            <w:pPr>
              <w:jc w:val="center"/>
            </w:pPr>
            <w:r>
              <w:rPr>
                <w:color w:val="000000"/>
                <w:sz w:val="24"/>
              </w:rPr>
              <w:t>0.11%</w:t>
            </w:r>
          </w:p>
        </w:tc>
        <w:tc>
          <w:tcPr>
            <w:tcW w:w="1285" w:type="dxa"/>
            <w:vAlign w:val="center"/>
          </w:tcPr>
          <w:p w:rsidR="00A46313" w:rsidRDefault="00125795">
            <w:pPr>
              <w:jc w:val="center"/>
            </w:pPr>
            <w:r>
              <w:rPr>
                <w:color w:val="000000"/>
                <w:sz w:val="24"/>
              </w:rPr>
              <w:t>28.37%</w:t>
            </w:r>
          </w:p>
        </w:tc>
        <w:tc>
          <w:tcPr>
            <w:tcW w:w="1285" w:type="dxa"/>
            <w:vAlign w:val="center"/>
          </w:tcPr>
          <w:p w:rsidR="00A46313" w:rsidRDefault="00125795">
            <w:pPr>
              <w:jc w:val="center"/>
            </w:pPr>
            <w:r>
              <w:rPr>
                <w:color w:val="000000"/>
                <w:sz w:val="24"/>
              </w:rPr>
              <w:t>0.09%</w:t>
            </w:r>
          </w:p>
        </w:tc>
      </w:tr>
      <w:tr w:rsidR="00A46313">
        <w:tc>
          <w:tcPr>
            <w:tcW w:w="1286" w:type="dxa"/>
            <w:vAlign w:val="center"/>
          </w:tcPr>
          <w:p w:rsidR="00A46313" w:rsidRDefault="00125795">
            <w:pPr>
              <w:jc w:val="left"/>
            </w:pPr>
            <w:r>
              <w:rPr>
                <w:color w:val="000000"/>
                <w:sz w:val="24"/>
              </w:rPr>
              <w:t>过去五年</w:t>
            </w:r>
          </w:p>
        </w:tc>
        <w:tc>
          <w:tcPr>
            <w:tcW w:w="1286" w:type="dxa"/>
            <w:vAlign w:val="center"/>
          </w:tcPr>
          <w:p w:rsidR="00A46313" w:rsidRDefault="00125795">
            <w:pPr>
              <w:jc w:val="center"/>
            </w:pPr>
            <w:r>
              <w:rPr>
                <w:color w:val="000000"/>
                <w:sz w:val="24"/>
              </w:rPr>
              <w:t>40.23%</w:t>
            </w:r>
          </w:p>
        </w:tc>
        <w:tc>
          <w:tcPr>
            <w:tcW w:w="1286" w:type="dxa"/>
            <w:vAlign w:val="center"/>
          </w:tcPr>
          <w:p w:rsidR="00A46313" w:rsidRDefault="00125795">
            <w:pPr>
              <w:jc w:val="center"/>
            </w:pPr>
            <w:r>
              <w:rPr>
                <w:color w:val="000000"/>
                <w:sz w:val="24"/>
              </w:rPr>
              <w:t>0.23%</w:t>
            </w:r>
          </w:p>
        </w:tc>
        <w:tc>
          <w:tcPr>
            <w:tcW w:w="1285" w:type="dxa"/>
            <w:vAlign w:val="center"/>
          </w:tcPr>
          <w:p w:rsidR="00A46313" w:rsidRDefault="00125795">
            <w:pPr>
              <w:jc w:val="center"/>
            </w:pPr>
            <w:r>
              <w:rPr>
                <w:color w:val="000000"/>
                <w:sz w:val="24"/>
              </w:rPr>
              <w:t>-1.05%</w:t>
            </w:r>
          </w:p>
        </w:tc>
        <w:tc>
          <w:tcPr>
            <w:tcW w:w="1285" w:type="dxa"/>
            <w:vAlign w:val="center"/>
          </w:tcPr>
          <w:p w:rsidR="00A46313" w:rsidRDefault="00125795">
            <w:pPr>
              <w:jc w:val="center"/>
            </w:pPr>
            <w:r>
              <w:rPr>
                <w:color w:val="000000"/>
                <w:sz w:val="24"/>
              </w:rPr>
              <w:t>0.10%</w:t>
            </w:r>
          </w:p>
        </w:tc>
        <w:tc>
          <w:tcPr>
            <w:tcW w:w="1285" w:type="dxa"/>
            <w:vAlign w:val="center"/>
          </w:tcPr>
          <w:p w:rsidR="00A46313" w:rsidRDefault="00125795">
            <w:pPr>
              <w:jc w:val="center"/>
            </w:pPr>
            <w:r>
              <w:rPr>
                <w:color w:val="000000"/>
                <w:sz w:val="24"/>
              </w:rPr>
              <w:t>41.28%</w:t>
            </w:r>
          </w:p>
        </w:tc>
        <w:tc>
          <w:tcPr>
            <w:tcW w:w="1285" w:type="dxa"/>
            <w:vAlign w:val="center"/>
          </w:tcPr>
          <w:p w:rsidR="00A46313" w:rsidRDefault="00125795">
            <w:pPr>
              <w:jc w:val="center"/>
            </w:pPr>
            <w:r>
              <w:rPr>
                <w:color w:val="000000"/>
                <w:sz w:val="24"/>
              </w:rPr>
              <w:t>0.13%</w:t>
            </w:r>
          </w:p>
        </w:tc>
      </w:tr>
      <w:tr w:rsidR="00A46313">
        <w:tc>
          <w:tcPr>
            <w:tcW w:w="1286" w:type="dxa"/>
            <w:vAlign w:val="center"/>
          </w:tcPr>
          <w:p w:rsidR="00A46313" w:rsidRDefault="00125795">
            <w:pPr>
              <w:jc w:val="left"/>
            </w:pPr>
            <w:r>
              <w:rPr>
                <w:color w:val="000000"/>
                <w:sz w:val="24"/>
              </w:rPr>
              <w:t>自基金合同生效起至今</w:t>
            </w:r>
          </w:p>
        </w:tc>
        <w:tc>
          <w:tcPr>
            <w:tcW w:w="1286" w:type="dxa"/>
            <w:vAlign w:val="center"/>
          </w:tcPr>
          <w:p w:rsidR="00A46313" w:rsidRDefault="00125795">
            <w:pPr>
              <w:jc w:val="center"/>
            </w:pPr>
            <w:r>
              <w:rPr>
                <w:color w:val="000000"/>
                <w:sz w:val="24"/>
              </w:rPr>
              <w:t>65.99%</w:t>
            </w:r>
          </w:p>
        </w:tc>
        <w:tc>
          <w:tcPr>
            <w:tcW w:w="1286" w:type="dxa"/>
            <w:vAlign w:val="center"/>
          </w:tcPr>
          <w:p w:rsidR="00A46313" w:rsidRDefault="00125795">
            <w:pPr>
              <w:jc w:val="center"/>
            </w:pPr>
            <w:r>
              <w:rPr>
                <w:color w:val="000000"/>
                <w:sz w:val="24"/>
              </w:rPr>
              <w:t>0.28%</w:t>
            </w:r>
          </w:p>
        </w:tc>
        <w:tc>
          <w:tcPr>
            <w:tcW w:w="1285" w:type="dxa"/>
            <w:vAlign w:val="center"/>
          </w:tcPr>
          <w:p w:rsidR="00A46313" w:rsidRDefault="00125795">
            <w:pPr>
              <w:jc w:val="center"/>
            </w:pPr>
            <w:r>
              <w:rPr>
                <w:color w:val="000000"/>
                <w:sz w:val="24"/>
              </w:rPr>
              <w:t>4.66%</w:t>
            </w:r>
          </w:p>
        </w:tc>
        <w:tc>
          <w:tcPr>
            <w:tcW w:w="1285" w:type="dxa"/>
            <w:vAlign w:val="center"/>
          </w:tcPr>
          <w:p w:rsidR="00A46313" w:rsidRDefault="00125795">
            <w:pPr>
              <w:jc w:val="center"/>
            </w:pPr>
            <w:r>
              <w:rPr>
                <w:color w:val="000000"/>
                <w:sz w:val="24"/>
              </w:rPr>
              <w:t>0.13%</w:t>
            </w:r>
          </w:p>
        </w:tc>
        <w:tc>
          <w:tcPr>
            <w:tcW w:w="1285" w:type="dxa"/>
            <w:vAlign w:val="center"/>
          </w:tcPr>
          <w:p w:rsidR="00A46313" w:rsidRDefault="00125795">
            <w:pPr>
              <w:jc w:val="center"/>
            </w:pPr>
            <w:r>
              <w:rPr>
                <w:color w:val="000000"/>
                <w:sz w:val="24"/>
              </w:rPr>
              <w:t>61.33%</w:t>
            </w:r>
          </w:p>
        </w:tc>
        <w:tc>
          <w:tcPr>
            <w:tcW w:w="1285" w:type="dxa"/>
            <w:vAlign w:val="center"/>
          </w:tcPr>
          <w:p w:rsidR="00A46313" w:rsidRDefault="00125795">
            <w:pPr>
              <w:jc w:val="center"/>
            </w:pPr>
            <w:r>
              <w:rPr>
                <w:color w:val="000000"/>
                <w:sz w:val="24"/>
              </w:rPr>
              <w:t>0.15%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066F" w:rsidRDefault="002F066F"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B78782C" wp14:editId="77A6EA5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9796BA4" wp14:editId="2223509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FD86F4D" wp14:editId="6D32B5C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D73DD0B" wp14:editId="70F3DBB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4211FD" w:rsidRDefault="000B2C76" w:rsidP="004211FD">
      <w:pPr>
        <w:pStyle w:val="20"/>
        <w:spacing w:before="29" w:after="0" w:line="288" w:lineRule="auto"/>
        <w:rPr>
          <w:b w:val="0"/>
          <w:kern w:val="0"/>
        </w:rPr>
      </w:pPr>
      <w:bookmarkStart w:id="35" w:name="_Toc249760033"/>
      <w:bookmarkStart w:id="36" w:name="_Toc361324853"/>
      <w:bookmarkStart w:id="37" w:name="_Toc478236522"/>
      <w:r w:rsidRPr="004211FD">
        <w:rPr>
          <w:rFonts w:ascii="Times New Roman" w:hAnsi="Times New Roman"/>
          <w:kern w:val="0"/>
          <w:szCs w:val="24"/>
        </w:rPr>
        <w:lastRenderedPageBreak/>
        <w:t xml:space="preserve">3.3 </w:t>
      </w:r>
      <w:r w:rsidRPr="004211FD">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46313">
        <w:trPr>
          <w:jc w:val="center"/>
        </w:trPr>
        <w:tc>
          <w:tcPr>
            <w:tcW w:w="1157" w:type="dxa"/>
            <w:vAlign w:val="center"/>
          </w:tcPr>
          <w:p w:rsidR="00A46313" w:rsidRDefault="00125795">
            <w:pPr>
              <w:jc w:val="center"/>
            </w:pPr>
            <w:r>
              <w:rPr>
                <w:color w:val="000000"/>
                <w:sz w:val="24"/>
              </w:rPr>
              <w:t>2016</w:t>
            </w:r>
            <w:r>
              <w:rPr>
                <w:color w:val="000000"/>
                <w:sz w:val="24"/>
              </w:rPr>
              <w:t>年</w:t>
            </w:r>
          </w:p>
        </w:tc>
        <w:tc>
          <w:tcPr>
            <w:tcW w:w="1378" w:type="dxa"/>
            <w:vAlign w:val="center"/>
          </w:tcPr>
          <w:p w:rsidR="00A46313" w:rsidRDefault="00125795">
            <w:pPr>
              <w:jc w:val="right"/>
            </w:pPr>
            <w:r>
              <w:rPr>
                <w:color w:val="000000"/>
                <w:sz w:val="24"/>
              </w:rPr>
              <w:t>0.640</w:t>
            </w:r>
          </w:p>
        </w:tc>
        <w:tc>
          <w:tcPr>
            <w:tcW w:w="1839" w:type="dxa"/>
            <w:vAlign w:val="center"/>
          </w:tcPr>
          <w:p w:rsidR="00A46313" w:rsidRDefault="00125795">
            <w:pPr>
              <w:jc w:val="right"/>
            </w:pPr>
            <w:r>
              <w:rPr>
                <w:color w:val="000000"/>
                <w:sz w:val="24"/>
              </w:rPr>
              <w:t>49,751,302.75</w:t>
            </w:r>
          </w:p>
        </w:tc>
        <w:tc>
          <w:tcPr>
            <w:tcW w:w="1950" w:type="dxa"/>
            <w:vAlign w:val="center"/>
          </w:tcPr>
          <w:p w:rsidR="00A46313" w:rsidRDefault="00125795">
            <w:pPr>
              <w:jc w:val="right"/>
            </w:pPr>
            <w:r>
              <w:rPr>
                <w:color w:val="000000"/>
                <w:sz w:val="24"/>
              </w:rPr>
              <w:t>7,847,102.99</w:t>
            </w:r>
          </w:p>
        </w:tc>
        <w:tc>
          <w:tcPr>
            <w:tcW w:w="1894" w:type="dxa"/>
            <w:vAlign w:val="center"/>
          </w:tcPr>
          <w:p w:rsidR="00A46313" w:rsidRDefault="00125795">
            <w:pPr>
              <w:jc w:val="right"/>
            </w:pPr>
            <w:r>
              <w:rPr>
                <w:color w:val="000000"/>
                <w:sz w:val="24"/>
              </w:rPr>
              <w:t>57,598,405.74</w:t>
            </w:r>
          </w:p>
        </w:tc>
        <w:tc>
          <w:tcPr>
            <w:tcW w:w="1068" w:type="dxa"/>
            <w:vAlign w:val="center"/>
          </w:tcPr>
          <w:p w:rsidR="00A46313" w:rsidRDefault="00125795">
            <w:pPr>
              <w:jc w:val="left"/>
            </w:pPr>
            <w:r>
              <w:rPr>
                <w:color w:val="000000"/>
                <w:sz w:val="24"/>
              </w:rPr>
              <w:t>-</w:t>
            </w:r>
          </w:p>
        </w:tc>
      </w:tr>
      <w:tr w:rsidR="00A46313">
        <w:trPr>
          <w:jc w:val="center"/>
        </w:trPr>
        <w:tc>
          <w:tcPr>
            <w:tcW w:w="1157" w:type="dxa"/>
            <w:vAlign w:val="center"/>
          </w:tcPr>
          <w:p w:rsidR="00A46313" w:rsidRDefault="00125795">
            <w:pPr>
              <w:jc w:val="center"/>
            </w:pPr>
            <w:r>
              <w:rPr>
                <w:color w:val="000000"/>
                <w:sz w:val="24"/>
              </w:rPr>
              <w:t>2015</w:t>
            </w:r>
            <w:r>
              <w:rPr>
                <w:color w:val="000000"/>
                <w:sz w:val="24"/>
              </w:rPr>
              <w:t>年</w:t>
            </w:r>
          </w:p>
        </w:tc>
        <w:tc>
          <w:tcPr>
            <w:tcW w:w="1378" w:type="dxa"/>
            <w:vAlign w:val="center"/>
          </w:tcPr>
          <w:p w:rsidR="00A46313" w:rsidRDefault="00125795">
            <w:pPr>
              <w:jc w:val="right"/>
            </w:pPr>
            <w:r>
              <w:rPr>
                <w:color w:val="000000"/>
                <w:sz w:val="24"/>
              </w:rPr>
              <w:t>1.300</w:t>
            </w:r>
          </w:p>
        </w:tc>
        <w:tc>
          <w:tcPr>
            <w:tcW w:w="1839" w:type="dxa"/>
            <w:vAlign w:val="center"/>
          </w:tcPr>
          <w:p w:rsidR="00A46313" w:rsidRDefault="00125795">
            <w:pPr>
              <w:jc w:val="right"/>
            </w:pPr>
            <w:r>
              <w:rPr>
                <w:color w:val="000000"/>
                <w:sz w:val="24"/>
              </w:rPr>
              <w:t>111,251,137.55</w:t>
            </w:r>
          </w:p>
        </w:tc>
        <w:tc>
          <w:tcPr>
            <w:tcW w:w="1950" w:type="dxa"/>
            <w:vAlign w:val="center"/>
          </w:tcPr>
          <w:p w:rsidR="00A46313" w:rsidRDefault="00125795">
            <w:pPr>
              <w:jc w:val="right"/>
            </w:pPr>
            <w:r>
              <w:rPr>
                <w:color w:val="000000"/>
                <w:sz w:val="24"/>
              </w:rPr>
              <w:t>21,239,039.76</w:t>
            </w:r>
          </w:p>
        </w:tc>
        <w:tc>
          <w:tcPr>
            <w:tcW w:w="1894" w:type="dxa"/>
            <w:vAlign w:val="center"/>
          </w:tcPr>
          <w:p w:rsidR="00A46313" w:rsidRDefault="00125795">
            <w:pPr>
              <w:jc w:val="right"/>
            </w:pPr>
            <w:r>
              <w:rPr>
                <w:color w:val="000000"/>
                <w:sz w:val="24"/>
              </w:rPr>
              <w:t>132,490,177.31</w:t>
            </w:r>
          </w:p>
        </w:tc>
        <w:tc>
          <w:tcPr>
            <w:tcW w:w="1068" w:type="dxa"/>
            <w:vAlign w:val="center"/>
          </w:tcPr>
          <w:p w:rsidR="00A46313" w:rsidRDefault="00125795">
            <w:pPr>
              <w:jc w:val="left"/>
            </w:pPr>
            <w:r>
              <w:rPr>
                <w:color w:val="000000"/>
                <w:sz w:val="24"/>
              </w:rPr>
              <w:t>-</w:t>
            </w:r>
          </w:p>
        </w:tc>
      </w:tr>
      <w:tr w:rsidR="00A46313" w:rsidTr="007955F6">
        <w:trPr>
          <w:jc w:val="center"/>
        </w:trPr>
        <w:tc>
          <w:tcPr>
            <w:tcW w:w="1157" w:type="dxa"/>
            <w:tcBorders>
              <w:bottom w:val="single" w:sz="4" w:space="0" w:color="auto"/>
            </w:tcBorders>
            <w:vAlign w:val="center"/>
          </w:tcPr>
          <w:p w:rsidR="00A46313" w:rsidRDefault="00125795">
            <w:pPr>
              <w:jc w:val="center"/>
            </w:pPr>
            <w:r>
              <w:rPr>
                <w:color w:val="000000"/>
                <w:sz w:val="24"/>
              </w:rPr>
              <w:t>2014</w:t>
            </w:r>
            <w:r>
              <w:rPr>
                <w:color w:val="000000"/>
                <w:sz w:val="24"/>
              </w:rPr>
              <w:t>年</w:t>
            </w:r>
          </w:p>
        </w:tc>
        <w:tc>
          <w:tcPr>
            <w:tcW w:w="1378" w:type="dxa"/>
            <w:tcBorders>
              <w:bottom w:val="single" w:sz="4" w:space="0" w:color="auto"/>
            </w:tcBorders>
            <w:vAlign w:val="center"/>
          </w:tcPr>
          <w:p w:rsidR="00A46313" w:rsidRDefault="00125795">
            <w:pPr>
              <w:jc w:val="right"/>
            </w:pPr>
            <w:r>
              <w:rPr>
                <w:color w:val="000000"/>
                <w:sz w:val="24"/>
              </w:rPr>
              <w:t>0.720</w:t>
            </w:r>
          </w:p>
        </w:tc>
        <w:tc>
          <w:tcPr>
            <w:tcW w:w="1839" w:type="dxa"/>
            <w:tcBorders>
              <w:bottom w:val="single" w:sz="4" w:space="0" w:color="auto"/>
            </w:tcBorders>
            <w:vAlign w:val="center"/>
          </w:tcPr>
          <w:p w:rsidR="00A46313" w:rsidRDefault="00125795">
            <w:pPr>
              <w:jc w:val="right"/>
            </w:pPr>
            <w:r>
              <w:rPr>
                <w:color w:val="000000"/>
                <w:sz w:val="24"/>
              </w:rPr>
              <w:t>38,266,908.25</w:t>
            </w:r>
          </w:p>
        </w:tc>
        <w:tc>
          <w:tcPr>
            <w:tcW w:w="1950" w:type="dxa"/>
            <w:tcBorders>
              <w:bottom w:val="single" w:sz="4" w:space="0" w:color="auto"/>
            </w:tcBorders>
            <w:vAlign w:val="center"/>
          </w:tcPr>
          <w:p w:rsidR="00A46313" w:rsidRDefault="00125795">
            <w:pPr>
              <w:jc w:val="right"/>
            </w:pPr>
            <w:r>
              <w:rPr>
                <w:color w:val="000000"/>
                <w:sz w:val="24"/>
              </w:rPr>
              <w:t>14,251,488.30</w:t>
            </w:r>
          </w:p>
        </w:tc>
        <w:tc>
          <w:tcPr>
            <w:tcW w:w="1894" w:type="dxa"/>
            <w:tcBorders>
              <w:bottom w:val="single" w:sz="4" w:space="0" w:color="auto"/>
            </w:tcBorders>
            <w:vAlign w:val="center"/>
          </w:tcPr>
          <w:p w:rsidR="00A46313" w:rsidRDefault="00125795">
            <w:pPr>
              <w:jc w:val="right"/>
            </w:pPr>
            <w:r>
              <w:rPr>
                <w:color w:val="000000"/>
                <w:sz w:val="24"/>
              </w:rPr>
              <w:t>52,518,396.55</w:t>
            </w:r>
          </w:p>
        </w:tc>
        <w:tc>
          <w:tcPr>
            <w:tcW w:w="1068" w:type="dxa"/>
            <w:tcBorders>
              <w:bottom w:val="single" w:sz="4" w:space="0" w:color="auto"/>
            </w:tcBorders>
            <w:vAlign w:val="center"/>
          </w:tcPr>
          <w:p w:rsidR="00A46313" w:rsidRDefault="00125795">
            <w:pPr>
              <w:jc w:val="left"/>
            </w:pPr>
            <w:r>
              <w:rPr>
                <w:color w:val="000000"/>
                <w:sz w:val="24"/>
              </w:rPr>
              <w:t>-</w:t>
            </w:r>
          </w:p>
        </w:tc>
      </w:tr>
      <w:tr w:rsidR="006C3415" w:rsidRPr="00D564C7" w:rsidTr="007955F6">
        <w:trPr>
          <w:jc w:val="center"/>
        </w:trPr>
        <w:tc>
          <w:tcPr>
            <w:tcW w:w="1157" w:type="dxa"/>
            <w:tcBorders>
              <w:bottom w:val="single" w:sz="4" w:space="0" w:color="auto"/>
            </w:tcBorders>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tcBorders>
              <w:bottom w:val="single" w:sz="4" w:space="0" w:color="auto"/>
            </w:tcBorders>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2.660</w:t>
            </w:r>
          </w:p>
        </w:tc>
        <w:tc>
          <w:tcPr>
            <w:tcW w:w="1839" w:type="dxa"/>
            <w:tcBorders>
              <w:bottom w:val="single" w:sz="4" w:space="0" w:color="auto"/>
            </w:tcBorders>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199,269,348.55</w:t>
            </w:r>
          </w:p>
        </w:tc>
        <w:tc>
          <w:tcPr>
            <w:tcW w:w="1950" w:type="dxa"/>
            <w:tcBorders>
              <w:bottom w:val="single" w:sz="4" w:space="0" w:color="auto"/>
            </w:tcBorders>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43,337,631.05</w:t>
            </w:r>
          </w:p>
        </w:tc>
        <w:tc>
          <w:tcPr>
            <w:tcW w:w="1894" w:type="dxa"/>
            <w:tcBorders>
              <w:bottom w:val="single" w:sz="4" w:space="0" w:color="auto"/>
            </w:tcBorders>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242,606,979.60</w:t>
            </w:r>
          </w:p>
        </w:tc>
        <w:tc>
          <w:tcPr>
            <w:tcW w:w="1068" w:type="dxa"/>
            <w:tcBorders>
              <w:bottom w:val="single" w:sz="4" w:space="0" w:color="auto"/>
            </w:tcBorders>
            <w:vAlign w:val="center"/>
          </w:tcPr>
          <w:p w:rsidR="00651650" w:rsidRDefault="00B355C5" w:rsidP="004211FD">
            <w:pPr>
              <w:autoSpaceDE w:val="0"/>
              <w:autoSpaceDN w:val="0"/>
              <w:adjustRightInd w:val="0"/>
              <w:spacing w:before="29" w:line="288" w:lineRule="auto"/>
              <w:ind w:left="15"/>
              <w:jc w:val="left"/>
              <w:rPr>
                <w:b/>
                <w:bCs/>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46313">
        <w:trPr>
          <w:jc w:val="center"/>
        </w:trPr>
        <w:tc>
          <w:tcPr>
            <w:tcW w:w="1157" w:type="dxa"/>
            <w:vAlign w:val="center"/>
          </w:tcPr>
          <w:p w:rsidR="00A46313" w:rsidRDefault="00125795">
            <w:pPr>
              <w:jc w:val="center"/>
            </w:pPr>
            <w:r>
              <w:rPr>
                <w:color w:val="000000"/>
                <w:sz w:val="24"/>
              </w:rPr>
              <w:t>2016</w:t>
            </w:r>
            <w:r>
              <w:rPr>
                <w:color w:val="000000"/>
                <w:sz w:val="24"/>
              </w:rPr>
              <w:t>年</w:t>
            </w:r>
          </w:p>
        </w:tc>
        <w:tc>
          <w:tcPr>
            <w:tcW w:w="1378" w:type="dxa"/>
            <w:vAlign w:val="center"/>
          </w:tcPr>
          <w:p w:rsidR="00A46313" w:rsidRDefault="00125795">
            <w:pPr>
              <w:jc w:val="right"/>
            </w:pPr>
            <w:r>
              <w:rPr>
                <w:color w:val="000000"/>
                <w:sz w:val="24"/>
              </w:rPr>
              <w:t>0.590</w:t>
            </w:r>
          </w:p>
        </w:tc>
        <w:tc>
          <w:tcPr>
            <w:tcW w:w="1839" w:type="dxa"/>
            <w:vAlign w:val="center"/>
          </w:tcPr>
          <w:p w:rsidR="00A46313" w:rsidRDefault="00125795">
            <w:pPr>
              <w:jc w:val="right"/>
            </w:pPr>
            <w:r>
              <w:rPr>
                <w:color w:val="000000"/>
                <w:sz w:val="24"/>
              </w:rPr>
              <w:t>12,201,657.01</w:t>
            </w:r>
          </w:p>
        </w:tc>
        <w:tc>
          <w:tcPr>
            <w:tcW w:w="1950" w:type="dxa"/>
            <w:vAlign w:val="center"/>
          </w:tcPr>
          <w:p w:rsidR="00A46313" w:rsidRDefault="00125795">
            <w:pPr>
              <w:jc w:val="right"/>
            </w:pPr>
            <w:r>
              <w:rPr>
                <w:color w:val="000000"/>
                <w:sz w:val="24"/>
              </w:rPr>
              <w:t>3,757,238.67</w:t>
            </w:r>
          </w:p>
        </w:tc>
        <w:tc>
          <w:tcPr>
            <w:tcW w:w="1894" w:type="dxa"/>
            <w:vAlign w:val="center"/>
          </w:tcPr>
          <w:p w:rsidR="00A46313" w:rsidRDefault="00125795">
            <w:pPr>
              <w:jc w:val="right"/>
            </w:pPr>
            <w:r>
              <w:rPr>
                <w:color w:val="000000"/>
                <w:sz w:val="24"/>
              </w:rPr>
              <w:t>15,958,895.68</w:t>
            </w:r>
          </w:p>
        </w:tc>
        <w:tc>
          <w:tcPr>
            <w:tcW w:w="1068" w:type="dxa"/>
            <w:vAlign w:val="center"/>
          </w:tcPr>
          <w:p w:rsidR="00A46313" w:rsidRDefault="00125795">
            <w:pPr>
              <w:jc w:val="left"/>
            </w:pPr>
            <w:r>
              <w:rPr>
                <w:color w:val="000000"/>
                <w:sz w:val="24"/>
              </w:rPr>
              <w:t>-</w:t>
            </w:r>
          </w:p>
        </w:tc>
      </w:tr>
      <w:tr w:rsidR="00A46313">
        <w:trPr>
          <w:jc w:val="center"/>
        </w:trPr>
        <w:tc>
          <w:tcPr>
            <w:tcW w:w="1157" w:type="dxa"/>
            <w:vAlign w:val="center"/>
          </w:tcPr>
          <w:p w:rsidR="00A46313" w:rsidRDefault="00125795">
            <w:pPr>
              <w:jc w:val="center"/>
            </w:pPr>
            <w:r>
              <w:rPr>
                <w:color w:val="000000"/>
                <w:sz w:val="24"/>
              </w:rPr>
              <w:t>2015</w:t>
            </w:r>
            <w:r>
              <w:rPr>
                <w:color w:val="000000"/>
                <w:sz w:val="24"/>
              </w:rPr>
              <w:t>年</w:t>
            </w:r>
          </w:p>
        </w:tc>
        <w:tc>
          <w:tcPr>
            <w:tcW w:w="1378" w:type="dxa"/>
            <w:vAlign w:val="center"/>
          </w:tcPr>
          <w:p w:rsidR="00A46313" w:rsidRDefault="00125795">
            <w:pPr>
              <w:jc w:val="right"/>
            </w:pPr>
            <w:r>
              <w:rPr>
                <w:color w:val="000000"/>
                <w:sz w:val="24"/>
              </w:rPr>
              <w:t>1.260</w:t>
            </w:r>
          </w:p>
        </w:tc>
        <w:tc>
          <w:tcPr>
            <w:tcW w:w="1839" w:type="dxa"/>
            <w:vAlign w:val="center"/>
          </w:tcPr>
          <w:p w:rsidR="00A46313" w:rsidRDefault="00125795">
            <w:pPr>
              <w:jc w:val="right"/>
            </w:pPr>
            <w:r>
              <w:rPr>
                <w:color w:val="000000"/>
                <w:sz w:val="24"/>
              </w:rPr>
              <w:t>12,762,746.26</w:t>
            </w:r>
          </w:p>
        </w:tc>
        <w:tc>
          <w:tcPr>
            <w:tcW w:w="1950" w:type="dxa"/>
            <w:vAlign w:val="center"/>
          </w:tcPr>
          <w:p w:rsidR="00A46313" w:rsidRDefault="00125795">
            <w:pPr>
              <w:jc w:val="right"/>
            </w:pPr>
            <w:r>
              <w:rPr>
                <w:color w:val="000000"/>
                <w:sz w:val="24"/>
              </w:rPr>
              <w:t>16,995,651.89</w:t>
            </w:r>
          </w:p>
        </w:tc>
        <w:tc>
          <w:tcPr>
            <w:tcW w:w="1894" w:type="dxa"/>
            <w:vAlign w:val="center"/>
          </w:tcPr>
          <w:p w:rsidR="00A46313" w:rsidRDefault="00125795">
            <w:pPr>
              <w:jc w:val="right"/>
            </w:pPr>
            <w:r>
              <w:rPr>
                <w:color w:val="000000"/>
                <w:sz w:val="24"/>
              </w:rPr>
              <w:t>29,758,398.15</w:t>
            </w:r>
          </w:p>
        </w:tc>
        <w:tc>
          <w:tcPr>
            <w:tcW w:w="1068" w:type="dxa"/>
            <w:vAlign w:val="center"/>
          </w:tcPr>
          <w:p w:rsidR="00A46313" w:rsidRDefault="00125795">
            <w:pPr>
              <w:jc w:val="left"/>
            </w:pPr>
            <w:r>
              <w:rPr>
                <w:color w:val="000000"/>
                <w:sz w:val="24"/>
              </w:rPr>
              <w:t>-</w:t>
            </w:r>
          </w:p>
        </w:tc>
      </w:tr>
      <w:tr w:rsidR="00A46313">
        <w:trPr>
          <w:jc w:val="center"/>
        </w:trPr>
        <w:tc>
          <w:tcPr>
            <w:tcW w:w="1157" w:type="dxa"/>
            <w:vAlign w:val="center"/>
          </w:tcPr>
          <w:p w:rsidR="00A46313" w:rsidRDefault="00125795">
            <w:pPr>
              <w:jc w:val="center"/>
            </w:pPr>
            <w:r>
              <w:rPr>
                <w:color w:val="000000"/>
                <w:sz w:val="24"/>
              </w:rPr>
              <w:t>2014</w:t>
            </w:r>
            <w:r>
              <w:rPr>
                <w:color w:val="000000"/>
                <w:sz w:val="24"/>
              </w:rPr>
              <w:t>年</w:t>
            </w:r>
          </w:p>
        </w:tc>
        <w:tc>
          <w:tcPr>
            <w:tcW w:w="1378" w:type="dxa"/>
            <w:vAlign w:val="center"/>
          </w:tcPr>
          <w:p w:rsidR="00A46313" w:rsidRDefault="00125795">
            <w:pPr>
              <w:jc w:val="right"/>
            </w:pPr>
            <w:r>
              <w:rPr>
                <w:color w:val="000000"/>
                <w:sz w:val="24"/>
              </w:rPr>
              <w:t>0.640</w:t>
            </w:r>
          </w:p>
        </w:tc>
        <w:tc>
          <w:tcPr>
            <w:tcW w:w="1839" w:type="dxa"/>
            <w:vAlign w:val="center"/>
          </w:tcPr>
          <w:p w:rsidR="00A46313" w:rsidRDefault="00125795">
            <w:pPr>
              <w:jc w:val="right"/>
            </w:pPr>
            <w:r>
              <w:rPr>
                <w:color w:val="000000"/>
                <w:sz w:val="24"/>
              </w:rPr>
              <w:t>10,579,577.14</w:t>
            </w:r>
          </w:p>
        </w:tc>
        <w:tc>
          <w:tcPr>
            <w:tcW w:w="1950" w:type="dxa"/>
            <w:vAlign w:val="center"/>
          </w:tcPr>
          <w:p w:rsidR="00A46313" w:rsidRDefault="00125795">
            <w:pPr>
              <w:jc w:val="right"/>
            </w:pPr>
            <w:r>
              <w:rPr>
                <w:color w:val="000000"/>
                <w:sz w:val="24"/>
              </w:rPr>
              <w:t>6,543,797.50</w:t>
            </w:r>
          </w:p>
        </w:tc>
        <w:tc>
          <w:tcPr>
            <w:tcW w:w="1894" w:type="dxa"/>
            <w:vAlign w:val="center"/>
          </w:tcPr>
          <w:p w:rsidR="00A46313" w:rsidRDefault="00125795">
            <w:pPr>
              <w:jc w:val="right"/>
            </w:pPr>
            <w:r>
              <w:rPr>
                <w:color w:val="000000"/>
                <w:sz w:val="24"/>
              </w:rPr>
              <w:t>17,123,374.64</w:t>
            </w:r>
          </w:p>
        </w:tc>
        <w:tc>
          <w:tcPr>
            <w:tcW w:w="1068" w:type="dxa"/>
            <w:vAlign w:val="center"/>
          </w:tcPr>
          <w:p w:rsidR="00A46313" w:rsidRDefault="00125795">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2.490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35,543,980.41</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27,296,688.06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62,840,668.47</w:t>
            </w:r>
          </w:p>
        </w:tc>
        <w:tc>
          <w:tcPr>
            <w:tcW w:w="1068" w:type="dxa"/>
            <w:vAlign w:val="center"/>
          </w:tcPr>
          <w:p w:rsidR="00651650" w:rsidRDefault="00B355C5" w:rsidP="004211FD">
            <w:pPr>
              <w:autoSpaceDE w:val="0"/>
              <w:autoSpaceDN w:val="0"/>
              <w:adjustRightInd w:val="0"/>
              <w:spacing w:before="29" w:line="288" w:lineRule="auto"/>
              <w:ind w:left="15"/>
              <w:jc w:val="left"/>
              <w:rPr>
                <w:b/>
                <w:bCs/>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23652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4211FD" w:rsidRDefault="001A59F9" w:rsidP="004211FD">
      <w:pPr>
        <w:pStyle w:val="20"/>
        <w:spacing w:before="29" w:after="0" w:line="288" w:lineRule="auto"/>
        <w:rPr>
          <w:b w:val="0"/>
          <w:kern w:val="0"/>
        </w:rPr>
      </w:pPr>
      <w:bookmarkStart w:id="41" w:name="_Toc361324855"/>
      <w:bookmarkStart w:id="42" w:name="_Toc478236524"/>
      <w:r w:rsidRPr="004211FD">
        <w:rPr>
          <w:rFonts w:ascii="Times New Roman" w:hAnsi="Times New Roman"/>
          <w:kern w:val="0"/>
          <w:szCs w:val="24"/>
        </w:rPr>
        <w:t xml:space="preserve">4.1 </w:t>
      </w:r>
      <w:r w:rsidRPr="004211FD">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A46313" w:rsidRDefault="0012579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46313">
        <w:tc>
          <w:tcPr>
            <w:tcW w:w="1276" w:type="dxa"/>
            <w:vAlign w:val="center"/>
          </w:tcPr>
          <w:p w:rsidR="00A46313" w:rsidRDefault="00125795">
            <w:pPr>
              <w:jc w:val="center"/>
            </w:pPr>
            <w:r>
              <w:rPr>
                <w:color w:val="000000"/>
                <w:sz w:val="24"/>
              </w:rPr>
              <w:t>孙超</w:t>
            </w:r>
          </w:p>
        </w:tc>
        <w:tc>
          <w:tcPr>
            <w:tcW w:w="1134" w:type="dxa"/>
            <w:vAlign w:val="center"/>
          </w:tcPr>
          <w:p w:rsidR="00A46313" w:rsidRDefault="00125795">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418" w:type="dxa"/>
            <w:vAlign w:val="center"/>
          </w:tcPr>
          <w:p w:rsidR="00A46313" w:rsidRDefault="00125795">
            <w:pPr>
              <w:jc w:val="center"/>
            </w:pPr>
            <w:r>
              <w:rPr>
                <w:color w:val="000000"/>
                <w:sz w:val="24"/>
              </w:rPr>
              <w:t>2015-07-18</w:t>
            </w:r>
          </w:p>
        </w:tc>
        <w:tc>
          <w:tcPr>
            <w:tcW w:w="1275" w:type="dxa"/>
            <w:vAlign w:val="center"/>
          </w:tcPr>
          <w:p w:rsidR="00A46313" w:rsidRDefault="00125795">
            <w:pPr>
              <w:jc w:val="center"/>
            </w:pPr>
            <w:r>
              <w:rPr>
                <w:color w:val="000000"/>
                <w:sz w:val="24"/>
              </w:rPr>
              <w:t>-</w:t>
            </w:r>
          </w:p>
        </w:tc>
        <w:tc>
          <w:tcPr>
            <w:tcW w:w="993" w:type="dxa"/>
            <w:vAlign w:val="center"/>
          </w:tcPr>
          <w:p w:rsidR="00A46313" w:rsidRDefault="00125795">
            <w:pPr>
              <w:jc w:val="center"/>
            </w:pPr>
            <w:r>
              <w:rPr>
                <w:color w:val="000000"/>
                <w:sz w:val="24"/>
              </w:rPr>
              <w:t>5</w:t>
            </w:r>
            <w:r>
              <w:rPr>
                <w:color w:val="000000"/>
                <w:sz w:val="24"/>
              </w:rPr>
              <w:t>年</w:t>
            </w:r>
          </w:p>
        </w:tc>
        <w:tc>
          <w:tcPr>
            <w:tcW w:w="2902" w:type="dxa"/>
            <w:vAlign w:val="center"/>
          </w:tcPr>
          <w:p w:rsidR="00A46313" w:rsidRDefault="0012579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EA31C7">
              <w:rPr>
                <w:rFonts w:hint="eastAsia"/>
                <w:color w:val="000000"/>
                <w:sz w:val="24"/>
              </w:rPr>
              <w:t>的</w:t>
            </w:r>
            <w:r w:rsidR="00CE01C2">
              <w:rPr>
                <w:rFonts w:hint="eastAsia"/>
                <w:color w:val="000000"/>
                <w:sz w:val="24"/>
              </w:rPr>
              <w:t>基金</w:t>
            </w:r>
            <w:r w:rsidR="00CE01C2">
              <w:rPr>
                <w:color w:val="000000"/>
                <w:sz w:val="24"/>
              </w:rPr>
              <w:t>经理</w:t>
            </w:r>
            <w:r>
              <w:rPr>
                <w:color w:val="000000"/>
                <w:sz w:val="24"/>
              </w:rPr>
              <w:t>。</w:t>
            </w:r>
          </w:p>
        </w:tc>
      </w:tr>
    </w:tbl>
    <w:p w:rsidR="00A46313" w:rsidRDefault="0012579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46313" w:rsidRDefault="0012579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w:t>
      </w:r>
      <w:r>
        <w:rPr>
          <w:kern w:val="0"/>
          <w:sz w:val="24"/>
        </w:rPr>
        <w:lastRenderedPageBreak/>
        <w:t>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4211FD">
      <w:pPr>
        <w:pStyle w:val="20"/>
        <w:spacing w:before="29" w:after="0" w:line="288" w:lineRule="auto"/>
        <w:rPr>
          <w:rFonts w:eastAsiaTheme="minorEastAsia"/>
        </w:rPr>
      </w:pPr>
      <w:bookmarkStart w:id="43" w:name="_Toc225498256"/>
      <w:bookmarkStart w:id="44" w:name="_Toc361324856"/>
      <w:bookmarkStart w:id="45" w:name="_Toc478236525"/>
      <w:r w:rsidRPr="004211FD">
        <w:rPr>
          <w:rFonts w:ascii="Times New Roman" w:hAnsi="Times New Roman"/>
          <w:kern w:val="0"/>
          <w:szCs w:val="24"/>
        </w:rPr>
        <w:t xml:space="preserve">4.2 </w:t>
      </w:r>
      <w:r w:rsidRPr="004211FD">
        <w:rPr>
          <w:rFonts w:ascii="Times New Roman" w:hAnsi="Times New Roman" w:hint="eastAsia"/>
          <w:kern w:val="0"/>
          <w:szCs w:val="24"/>
        </w:rPr>
        <w:t>管理人对报告期内本基金运作遵规守信情况的说明</w:t>
      </w:r>
      <w:bookmarkEnd w:id="43"/>
      <w:bookmarkEnd w:id="44"/>
      <w:bookmarkEnd w:id="45"/>
    </w:p>
    <w:p w:rsidR="00A46313" w:rsidRDefault="0012579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46" w:name="_Toc225498257"/>
      <w:bookmarkStart w:id="47" w:name="_Toc361324857"/>
      <w:bookmarkStart w:id="48" w:name="_Toc478236526"/>
      <w:r w:rsidRPr="004211FD">
        <w:rPr>
          <w:rFonts w:ascii="Times New Roman" w:hAnsi="Times New Roman"/>
          <w:kern w:val="0"/>
          <w:szCs w:val="24"/>
        </w:rPr>
        <w:t xml:space="preserve">4.3 </w:t>
      </w:r>
      <w:r w:rsidRPr="004211FD">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A46313" w:rsidRDefault="0012579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46313" w:rsidRDefault="001257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46313" w:rsidRDefault="001257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46313" w:rsidRDefault="001257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46313" w:rsidRDefault="0012579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49" w:name="_Toc225498258"/>
      <w:bookmarkStart w:id="50" w:name="_Toc361324858"/>
      <w:bookmarkStart w:id="51" w:name="_Toc478236527"/>
      <w:r w:rsidRPr="004211FD">
        <w:rPr>
          <w:rFonts w:ascii="Times New Roman" w:hAnsi="Times New Roman"/>
          <w:kern w:val="0"/>
          <w:szCs w:val="24"/>
        </w:rPr>
        <w:t xml:space="preserve">4.4 </w:t>
      </w:r>
      <w:r w:rsidRPr="004211FD">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46313" w:rsidRDefault="00125795">
      <w:pPr>
        <w:spacing w:before="29" w:line="288" w:lineRule="auto"/>
        <w:ind w:firstLineChars="200" w:firstLine="480"/>
        <w:rPr>
          <w:kern w:val="0"/>
          <w:sz w:val="24"/>
        </w:rPr>
      </w:pPr>
      <w:r>
        <w:rPr>
          <w:kern w:val="0"/>
          <w:sz w:val="24"/>
        </w:rPr>
        <w:t>2016</w:t>
      </w:r>
      <w:r>
        <w:rPr>
          <w:kern w:val="0"/>
          <w:sz w:val="24"/>
        </w:rPr>
        <w:t>年前三季度债市呈现窄幅震荡。</w:t>
      </w:r>
      <w:r>
        <w:rPr>
          <w:kern w:val="0"/>
          <w:sz w:val="24"/>
        </w:rPr>
        <w:t>1</w:t>
      </w:r>
      <w:r>
        <w:rPr>
          <w:kern w:val="0"/>
          <w:sz w:val="24"/>
        </w:rPr>
        <w:t>月份由于汇率端承压较大，央行在资金紧缺时采取</w:t>
      </w:r>
      <w:r>
        <w:rPr>
          <w:kern w:val="0"/>
          <w:sz w:val="24"/>
        </w:rPr>
        <w:t>SLO</w:t>
      </w:r>
      <w:r>
        <w:rPr>
          <w:kern w:val="0"/>
          <w:sz w:val="24"/>
        </w:rPr>
        <w:t>、</w:t>
      </w:r>
      <w:r>
        <w:rPr>
          <w:kern w:val="0"/>
          <w:sz w:val="24"/>
        </w:rPr>
        <w:t>MLF</w:t>
      </w:r>
      <w:r>
        <w:rPr>
          <w:kern w:val="0"/>
          <w:sz w:val="24"/>
        </w:rPr>
        <w:t>、逆回购等方式而非降息方式向市场投放流动性，长债收益率经历了短暂下行后快速回升，之后一直在高位波动。</w:t>
      </w:r>
      <w:r>
        <w:rPr>
          <w:kern w:val="0"/>
          <w:sz w:val="24"/>
        </w:rPr>
        <w:t>2</w:t>
      </w:r>
      <w:r>
        <w:rPr>
          <w:kern w:val="0"/>
          <w:sz w:val="24"/>
        </w:rPr>
        <w:t>月份、</w:t>
      </w:r>
      <w:r>
        <w:rPr>
          <w:kern w:val="0"/>
          <w:sz w:val="24"/>
        </w:rPr>
        <w:t>3</w:t>
      </w:r>
      <w:r>
        <w:rPr>
          <w:kern w:val="0"/>
          <w:sz w:val="24"/>
        </w:rPr>
        <w:t>月份美联储加息预期、猪肉价格上涨、黄金与大宗商品的反弹、房地产市场的快速回暖以及经济数据的好转，构成制约央行继续释放流动性的阻碍，</w:t>
      </w:r>
      <w:r>
        <w:rPr>
          <w:kern w:val="0"/>
          <w:sz w:val="24"/>
        </w:rPr>
        <w:t>MPA</w:t>
      </w:r>
      <w:r>
        <w:rPr>
          <w:kern w:val="0"/>
          <w:sz w:val="24"/>
        </w:rPr>
        <w:t>突击考核令非银机构在季末感受到巨大流动性压力。</w:t>
      </w:r>
      <w:r>
        <w:rPr>
          <w:kern w:val="0"/>
          <w:sz w:val="24"/>
        </w:rPr>
        <w:t>3</w:t>
      </w:r>
      <w:r>
        <w:rPr>
          <w:kern w:val="0"/>
          <w:sz w:val="24"/>
        </w:rPr>
        <w:t>月份信用债市场违约日益频发，高评级信用利差收窄，低评级信用利差走阔。二季度经济增长动能呈现出较为疲弱的态势，但对债券市场而言，事件冲击不断。</w:t>
      </w:r>
      <w:r>
        <w:rPr>
          <w:kern w:val="0"/>
          <w:sz w:val="24"/>
        </w:rPr>
        <w:t>2016</w:t>
      </w:r>
      <w:r>
        <w:rPr>
          <w:kern w:val="0"/>
          <w:sz w:val="24"/>
        </w:rPr>
        <w:t>年</w:t>
      </w:r>
      <w:r>
        <w:rPr>
          <w:kern w:val="0"/>
          <w:sz w:val="24"/>
        </w:rPr>
        <w:t>4</w:t>
      </w:r>
      <w:r>
        <w:rPr>
          <w:kern w:val="0"/>
          <w:sz w:val="24"/>
        </w:rPr>
        <w:t>月份以来，随着中铁物资信用事件爆发，市场情绪非常脆弱，再叠加营改增可能会对金融同业产生的影响，主力国开债利率大幅上行，信用债尤其是中低等级的信用利差扩大明显。国债</w:t>
      </w:r>
      <w:r>
        <w:rPr>
          <w:kern w:val="0"/>
          <w:sz w:val="24"/>
        </w:rPr>
        <w:t>10</w:t>
      </w:r>
      <w:r>
        <w:rPr>
          <w:kern w:val="0"/>
          <w:sz w:val="24"/>
        </w:rPr>
        <w:t>年和</w:t>
      </w:r>
      <w:r>
        <w:rPr>
          <w:kern w:val="0"/>
          <w:sz w:val="24"/>
        </w:rPr>
        <w:t>7</w:t>
      </w:r>
      <w:r>
        <w:rPr>
          <w:kern w:val="0"/>
          <w:sz w:val="24"/>
        </w:rPr>
        <w:t>年曲线一度倒挂</w:t>
      </w:r>
      <w:r>
        <w:rPr>
          <w:kern w:val="0"/>
          <w:sz w:val="24"/>
        </w:rPr>
        <w:t>12BP</w:t>
      </w:r>
      <w:r>
        <w:rPr>
          <w:kern w:val="0"/>
          <w:sz w:val="24"/>
        </w:rPr>
        <w:t>，创下近十年的最大负利差。进入</w:t>
      </w:r>
      <w:r>
        <w:rPr>
          <w:kern w:val="0"/>
          <w:sz w:val="24"/>
        </w:rPr>
        <w:t>5</w:t>
      </w:r>
      <w:r>
        <w:rPr>
          <w:kern w:val="0"/>
          <w:sz w:val="24"/>
        </w:rPr>
        <w:t>月份后，</w:t>
      </w:r>
      <w:r>
        <w:rPr>
          <w:kern w:val="0"/>
          <w:sz w:val="24"/>
        </w:rPr>
        <w:t>“</w:t>
      </w:r>
      <w:r>
        <w:rPr>
          <w:kern w:val="0"/>
          <w:sz w:val="24"/>
        </w:rPr>
        <w:t>权威人士</w:t>
      </w:r>
      <w:r>
        <w:rPr>
          <w:kern w:val="0"/>
          <w:sz w:val="24"/>
        </w:rPr>
        <w:t>”</w:t>
      </w:r>
      <w:r>
        <w:rPr>
          <w:kern w:val="0"/>
          <w:sz w:val="24"/>
        </w:rPr>
        <w:t>讲话确定经济</w:t>
      </w:r>
      <w:r>
        <w:rPr>
          <w:kern w:val="0"/>
          <w:sz w:val="24"/>
        </w:rPr>
        <w:t>“L</w:t>
      </w:r>
      <w:r>
        <w:rPr>
          <w:kern w:val="0"/>
          <w:sz w:val="24"/>
        </w:rPr>
        <w:t>型底</w:t>
      </w:r>
      <w:r>
        <w:rPr>
          <w:kern w:val="0"/>
          <w:sz w:val="24"/>
        </w:rPr>
        <w:t>”</w:t>
      </w:r>
      <w:r>
        <w:rPr>
          <w:kern w:val="0"/>
          <w:sz w:val="24"/>
        </w:rPr>
        <w:t>，加上经济和通胀再度放缓，以及美联储</w:t>
      </w:r>
      <w:r>
        <w:rPr>
          <w:kern w:val="0"/>
          <w:sz w:val="24"/>
        </w:rPr>
        <w:t>FOMC</w:t>
      </w:r>
      <w:r>
        <w:rPr>
          <w:kern w:val="0"/>
          <w:sz w:val="24"/>
        </w:rPr>
        <w:t>会议、英国退欧等事件的影响，长端利率债持续震荡下行，并与一级招标及国债期货互为反馈。</w:t>
      </w:r>
      <w:r>
        <w:rPr>
          <w:kern w:val="0"/>
          <w:sz w:val="24"/>
        </w:rPr>
        <w:t>8</w:t>
      </w:r>
      <w:r>
        <w:rPr>
          <w:kern w:val="0"/>
          <w:sz w:val="24"/>
        </w:rPr>
        <w:t>月中旬，央行重启</w:t>
      </w:r>
      <w:r>
        <w:rPr>
          <w:kern w:val="0"/>
          <w:sz w:val="24"/>
        </w:rPr>
        <w:t>14</w:t>
      </w:r>
      <w:r>
        <w:rPr>
          <w:kern w:val="0"/>
          <w:sz w:val="24"/>
        </w:rPr>
        <w:t>天逆回购后，</w:t>
      </w:r>
      <w:r>
        <w:rPr>
          <w:kern w:val="0"/>
          <w:sz w:val="24"/>
        </w:rPr>
        <w:t>10</w:t>
      </w:r>
      <w:r>
        <w:rPr>
          <w:kern w:val="0"/>
          <w:sz w:val="24"/>
        </w:rPr>
        <w:t>年国债收益率出现回调，</w:t>
      </w:r>
      <w:r>
        <w:rPr>
          <w:kern w:val="0"/>
          <w:sz w:val="24"/>
        </w:rPr>
        <w:t>9</w:t>
      </w:r>
      <w:r>
        <w:rPr>
          <w:kern w:val="0"/>
          <w:sz w:val="24"/>
        </w:rPr>
        <w:t>月中旬后市场情绪相对修复，一级招标收益率持续低于预期使得二级招标收益率再度温和下行，信用利差降至历史低位。四季度起，尽管</w:t>
      </w:r>
      <w:r>
        <w:rPr>
          <w:kern w:val="0"/>
          <w:sz w:val="24"/>
        </w:rPr>
        <w:t>10</w:t>
      </w:r>
      <w:r>
        <w:rPr>
          <w:kern w:val="0"/>
          <w:sz w:val="24"/>
        </w:rPr>
        <w:t>月初地产调控升级令市场对中期经济基本面偏悲观，随着大宗商品价格持续攀升，市场对经济预期升温，</w:t>
      </w:r>
      <w:r>
        <w:rPr>
          <w:kern w:val="0"/>
          <w:sz w:val="24"/>
        </w:rPr>
        <w:t>CPI</w:t>
      </w:r>
      <w:r>
        <w:rPr>
          <w:kern w:val="0"/>
          <w:sz w:val="24"/>
        </w:rPr>
        <w:t>同比小幅攀升，生产资料涨价延续，</w:t>
      </w:r>
      <w:r>
        <w:rPr>
          <w:kern w:val="0"/>
          <w:sz w:val="24"/>
        </w:rPr>
        <w:t>PPI</w:t>
      </w:r>
      <w:r>
        <w:rPr>
          <w:kern w:val="0"/>
          <w:sz w:val="24"/>
        </w:rPr>
        <w:t>同比快速突破</w:t>
      </w:r>
      <w:r>
        <w:rPr>
          <w:kern w:val="0"/>
          <w:sz w:val="24"/>
        </w:rPr>
        <w:t>3%</w:t>
      </w:r>
      <w:r>
        <w:rPr>
          <w:kern w:val="0"/>
          <w:sz w:val="24"/>
        </w:rPr>
        <w:t>。资金面于</w:t>
      </w:r>
      <w:r>
        <w:rPr>
          <w:kern w:val="0"/>
          <w:sz w:val="24"/>
        </w:rPr>
        <w:t>10</w:t>
      </w:r>
      <w:r>
        <w:rPr>
          <w:kern w:val="0"/>
          <w:sz w:val="24"/>
        </w:rPr>
        <w:t>月中下旬开始紧张，紧张程度在</w:t>
      </w:r>
      <w:r>
        <w:rPr>
          <w:kern w:val="0"/>
          <w:sz w:val="24"/>
        </w:rPr>
        <w:t>11</w:t>
      </w:r>
      <w:r>
        <w:rPr>
          <w:kern w:val="0"/>
          <w:sz w:val="24"/>
        </w:rPr>
        <w:t>月初稍缓，但随着特朗普当选带来美元指数的一路走强，资金面紧张节奏再次超出市场预期。全市场加权资金利率</w:t>
      </w:r>
      <w:r>
        <w:rPr>
          <w:kern w:val="0"/>
          <w:sz w:val="24"/>
        </w:rPr>
        <w:t>R007</w:t>
      </w:r>
      <w:r>
        <w:rPr>
          <w:kern w:val="0"/>
          <w:sz w:val="24"/>
        </w:rPr>
        <w:t>明显上行，并与</w:t>
      </w:r>
      <w:r>
        <w:rPr>
          <w:kern w:val="0"/>
          <w:sz w:val="24"/>
        </w:rPr>
        <w:t>DR007</w:t>
      </w:r>
      <w:r>
        <w:rPr>
          <w:kern w:val="0"/>
          <w:sz w:val="24"/>
        </w:rPr>
        <w:t>脱节。央行在</w:t>
      </w:r>
      <w:r>
        <w:rPr>
          <w:kern w:val="0"/>
          <w:sz w:val="24"/>
        </w:rPr>
        <w:t>11</w:t>
      </w:r>
      <w:r>
        <w:rPr>
          <w:kern w:val="0"/>
          <w:sz w:val="24"/>
        </w:rPr>
        <w:t>月初与中旬加量</w:t>
      </w:r>
      <w:r>
        <w:rPr>
          <w:kern w:val="0"/>
          <w:sz w:val="24"/>
        </w:rPr>
        <w:t>MLF</w:t>
      </w:r>
      <w:r>
        <w:rPr>
          <w:kern w:val="0"/>
          <w:sz w:val="24"/>
        </w:rPr>
        <w:t>投放，并适时进行逆回购放量操作，不过银行对非银层面拆借渠道受阻以及赎回恐慌事件令债券价格在</w:t>
      </w:r>
      <w:r>
        <w:rPr>
          <w:kern w:val="0"/>
          <w:sz w:val="24"/>
        </w:rPr>
        <w:t>12</w:t>
      </w:r>
      <w:r>
        <w:rPr>
          <w:kern w:val="0"/>
          <w:sz w:val="24"/>
        </w:rPr>
        <w:t>月经历一轮恐慌式下跌。</w:t>
      </w:r>
      <w:r>
        <w:rPr>
          <w:kern w:val="0"/>
          <w:sz w:val="24"/>
        </w:rPr>
        <w:t>12</w:t>
      </w:r>
      <w:r>
        <w:rPr>
          <w:kern w:val="0"/>
          <w:sz w:val="24"/>
        </w:rPr>
        <w:t>月中旬，央行进一步加量</w:t>
      </w:r>
      <w:r>
        <w:rPr>
          <w:kern w:val="0"/>
          <w:sz w:val="24"/>
        </w:rPr>
        <w:lastRenderedPageBreak/>
        <w:t>MLF</w:t>
      </w:r>
      <w:r>
        <w:rPr>
          <w:kern w:val="0"/>
          <w:sz w:val="24"/>
        </w:rPr>
        <w:t>操作，部分黑天鹅事件也暂告一段落，债市收益率出现阶段性下行，长久期金融债及短久期高等级信用债收益率调整幅度相对明显。</w:t>
      </w:r>
    </w:p>
    <w:p w:rsidR="001A59F9" w:rsidRPr="00A40DA7" w:rsidRDefault="001A59F9" w:rsidP="00A40DA7">
      <w:pPr>
        <w:spacing w:before="29" w:line="288" w:lineRule="auto"/>
        <w:ind w:firstLineChars="200" w:firstLine="480"/>
        <w:rPr>
          <w:kern w:val="0"/>
          <w:sz w:val="24"/>
        </w:rPr>
      </w:pPr>
      <w:r w:rsidRPr="00A40DA7">
        <w:rPr>
          <w:kern w:val="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A40DA7">
        <w:rPr>
          <w:kern w:val="0"/>
          <w:sz w:val="24"/>
        </w:rPr>
        <w:t>4</w:t>
      </w:r>
      <w:r w:rsidRPr="00A40DA7">
        <w:rPr>
          <w:kern w:val="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日，交银增利债券</w:t>
      </w:r>
      <w:r w:rsidRPr="00A40DA7">
        <w:rPr>
          <w:kern w:val="0"/>
          <w:sz w:val="24"/>
        </w:rPr>
        <w:t>A/B</w:t>
      </w:r>
      <w:r w:rsidRPr="00A40DA7">
        <w:rPr>
          <w:kern w:val="0"/>
          <w:sz w:val="24"/>
        </w:rPr>
        <w:t>份额净值为</w:t>
      </w:r>
      <w:r w:rsidRPr="00A40DA7">
        <w:rPr>
          <w:kern w:val="0"/>
          <w:sz w:val="24"/>
        </w:rPr>
        <w:t>0.9679</w:t>
      </w:r>
      <w:r w:rsidRPr="00A40DA7">
        <w:rPr>
          <w:kern w:val="0"/>
          <w:sz w:val="24"/>
        </w:rPr>
        <w:t>元，本报告期份额净值增长率为</w:t>
      </w:r>
      <w:r w:rsidRPr="00A40DA7">
        <w:rPr>
          <w:kern w:val="0"/>
          <w:sz w:val="24"/>
        </w:rPr>
        <w:t>-1.72%</w:t>
      </w:r>
      <w:r w:rsidRPr="00A40DA7">
        <w:rPr>
          <w:kern w:val="0"/>
          <w:sz w:val="24"/>
        </w:rPr>
        <w:t>，同期业绩比较基准增长率为</w:t>
      </w:r>
      <w:r w:rsidRPr="00A40DA7">
        <w:rPr>
          <w:kern w:val="0"/>
          <w:sz w:val="24"/>
        </w:rPr>
        <w:t>-7.89%</w:t>
      </w:r>
      <w:r w:rsidRPr="00A40DA7">
        <w:rPr>
          <w:kern w:val="0"/>
          <w:sz w:val="24"/>
        </w:rPr>
        <w:t>；交银增利债券</w:t>
      </w:r>
      <w:r w:rsidRPr="00A40DA7">
        <w:rPr>
          <w:kern w:val="0"/>
          <w:sz w:val="24"/>
        </w:rPr>
        <w:t>C</w:t>
      </w:r>
      <w:r w:rsidRPr="00A40DA7">
        <w:rPr>
          <w:kern w:val="0"/>
          <w:sz w:val="24"/>
        </w:rPr>
        <w:t>份额净值为</w:t>
      </w:r>
      <w:r w:rsidRPr="00A40DA7">
        <w:rPr>
          <w:kern w:val="0"/>
          <w:sz w:val="24"/>
        </w:rPr>
        <w:t>0.9660</w:t>
      </w:r>
      <w:r w:rsidRPr="00A40DA7">
        <w:rPr>
          <w:kern w:val="0"/>
          <w:sz w:val="24"/>
        </w:rPr>
        <w:t>元，本报告期份额净值增长率为</w:t>
      </w:r>
      <w:r w:rsidRPr="00A40DA7">
        <w:rPr>
          <w:kern w:val="0"/>
          <w:sz w:val="24"/>
        </w:rPr>
        <w:t>-2.13%</w:t>
      </w:r>
      <w:r w:rsidRPr="00A40DA7">
        <w:rPr>
          <w:kern w:val="0"/>
          <w:sz w:val="24"/>
        </w:rPr>
        <w:t>，同期业绩比较基准增长率为</w:t>
      </w:r>
      <w:r w:rsidRPr="00A40DA7">
        <w:rPr>
          <w:kern w:val="0"/>
          <w:sz w:val="24"/>
        </w:rPr>
        <w:t>-7.89%</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52" w:name="_Toc225498259"/>
      <w:bookmarkStart w:id="53" w:name="_Toc361324859"/>
      <w:bookmarkStart w:id="54" w:name="_Toc478236528"/>
      <w:r w:rsidRPr="004211FD">
        <w:rPr>
          <w:rFonts w:ascii="Times New Roman" w:hAnsi="Times New Roman"/>
          <w:kern w:val="0"/>
          <w:szCs w:val="24"/>
        </w:rPr>
        <w:t xml:space="preserve">4.5 </w:t>
      </w:r>
      <w:r w:rsidRPr="004211FD">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2017</w:t>
      </w:r>
      <w:r w:rsidRPr="00A40DA7">
        <w:rPr>
          <w:kern w:val="0"/>
          <w:sz w:val="24"/>
        </w:rPr>
        <w:t>年大的宏观环境仍然为经济求稳，改革推进，谨防风险。在增长稳定的前提下，国企改革、供给侧改革等仍将被提在重要位置，与此同时，去杠杆、挤资产泡沫仍将是</w:t>
      </w:r>
      <w:r w:rsidRPr="00A40DA7">
        <w:rPr>
          <w:kern w:val="0"/>
          <w:sz w:val="24"/>
        </w:rPr>
        <w:t>2017</w:t>
      </w:r>
      <w:r w:rsidRPr="00A40DA7">
        <w:rPr>
          <w:kern w:val="0"/>
          <w:sz w:val="24"/>
        </w:rPr>
        <w:t>年主旋律。预计流动性难以再如过去两年宽松，并且应警惕特朗普财政刺激对于全球的示范效应。通胀方面，在经济难以超预期的情况下，我们预计</w:t>
      </w:r>
      <w:r w:rsidRPr="00A40DA7">
        <w:rPr>
          <w:kern w:val="0"/>
          <w:sz w:val="24"/>
        </w:rPr>
        <w:t>2017</w:t>
      </w:r>
      <w:r w:rsidRPr="00A40DA7">
        <w:rPr>
          <w:kern w:val="0"/>
          <w:sz w:val="24"/>
        </w:rPr>
        <w:t>年全年</w:t>
      </w:r>
      <w:r w:rsidRPr="00A40DA7">
        <w:rPr>
          <w:kern w:val="0"/>
          <w:sz w:val="24"/>
        </w:rPr>
        <w:t>CPI</w:t>
      </w:r>
      <w:r w:rsidRPr="00A40DA7">
        <w:rPr>
          <w:kern w:val="0"/>
          <w:sz w:val="24"/>
        </w:rPr>
        <w:t>在</w:t>
      </w:r>
      <w:r w:rsidRPr="00A40DA7">
        <w:rPr>
          <w:kern w:val="0"/>
          <w:sz w:val="24"/>
        </w:rPr>
        <w:t>3%</w:t>
      </w:r>
      <w:r w:rsidRPr="00A40DA7">
        <w:rPr>
          <w:kern w:val="0"/>
          <w:sz w:val="24"/>
        </w:rPr>
        <w:t>以内，不过需要谨防供给侧改革在提升部分行业微观盈利的同时带来供给曲线陡峭化，进而带来</w:t>
      </w:r>
      <w:r w:rsidRPr="00A40DA7">
        <w:rPr>
          <w:kern w:val="0"/>
          <w:sz w:val="24"/>
        </w:rPr>
        <w:t>CPI</w:t>
      </w:r>
      <w:r w:rsidRPr="00A40DA7">
        <w:rPr>
          <w:kern w:val="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A40DA7">
        <w:rPr>
          <w:kern w:val="0"/>
          <w:sz w:val="24"/>
        </w:rPr>
        <w:t>2017</w:t>
      </w:r>
      <w:r w:rsidRPr="00A40DA7">
        <w:rPr>
          <w:kern w:val="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A40DA7">
        <w:rPr>
          <w:kern w:val="0"/>
          <w:sz w:val="24"/>
        </w:rPr>
        <w:t>1</w:t>
      </w:r>
      <w:r w:rsidRPr="00A40DA7">
        <w:rPr>
          <w:kern w:val="0"/>
          <w:sz w:val="24"/>
        </w:rPr>
        <w:t>）信用本轮调整还不充分，且</w:t>
      </w:r>
      <w:r w:rsidRPr="00A40DA7">
        <w:rPr>
          <w:kern w:val="0"/>
          <w:sz w:val="24"/>
        </w:rPr>
        <w:t>2017</w:t>
      </w:r>
      <w:r w:rsidRPr="00A40DA7">
        <w:rPr>
          <w:kern w:val="0"/>
          <w:sz w:val="24"/>
        </w:rPr>
        <w:t>年信用风险事件可能会越来越多；（</w:t>
      </w:r>
      <w:r w:rsidRPr="00A40DA7">
        <w:rPr>
          <w:kern w:val="0"/>
          <w:sz w:val="24"/>
        </w:rPr>
        <w:t>2</w:t>
      </w:r>
      <w:r w:rsidRPr="00A40DA7">
        <w:rPr>
          <w:kern w:val="0"/>
          <w:sz w:val="24"/>
        </w:rPr>
        <w:t>）市场投资者对地方政府融资平台的定位仍然不够清晰，预期差蕴含的定价差仍是潜在风险点；（</w:t>
      </w:r>
      <w:r w:rsidRPr="00A40DA7">
        <w:rPr>
          <w:kern w:val="0"/>
          <w:sz w:val="24"/>
        </w:rPr>
        <w:t>3</w:t>
      </w:r>
      <w:r w:rsidRPr="00A40DA7">
        <w:rPr>
          <w:kern w:val="0"/>
          <w:sz w:val="24"/>
        </w:rPr>
        <w:t>）即使央行货币政策边际上宽松，但是资金面很难恢复到</w:t>
      </w:r>
      <w:r w:rsidRPr="00A40DA7">
        <w:rPr>
          <w:kern w:val="0"/>
          <w:sz w:val="24"/>
        </w:rPr>
        <w:t>2016</w:t>
      </w:r>
      <w:r w:rsidRPr="00A40DA7">
        <w:rPr>
          <w:kern w:val="0"/>
          <w:sz w:val="24"/>
        </w:rPr>
        <w:t>年上半年的水平，信用债的杠杆套息价值减弱。在过去的</w:t>
      </w:r>
      <w:r w:rsidRPr="00A40DA7">
        <w:rPr>
          <w:kern w:val="0"/>
          <w:sz w:val="24"/>
        </w:rPr>
        <w:t>3</w:t>
      </w:r>
      <w:r w:rsidRPr="00A40DA7">
        <w:rPr>
          <w:kern w:val="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A40DA7">
        <w:rPr>
          <w:kern w:val="0"/>
          <w:sz w:val="24"/>
        </w:rPr>
        <w:t>2017</w:t>
      </w:r>
      <w:r w:rsidRPr="00A40DA7">
        <w:rPr>
          <w:kern w:val="0"/>
          <w:sz w:val="24"/>
        </w:rPr>
        <w:t>年投资中最值得关注的事情。</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55" w:name="_Toc247959456"/>
      <w:bookmarkStart w:id="56" w:name="_Toc245801806"/>
      <w:bookmarkStart w:id="57" w:name="_Toc361324860"/>
      <w:bookmarkStart w:id="58" w:name="_Toc478236529"/>
      <w:r w:rsidRPr="004211FD">
        <w:rPr>
          <w:rFonts w:ascii="Times New Roman" w:hAnsi="Times New Roman"/>
          <w:kern w:val="0"/>
          <w:szCs w:val="24"/>
        </w:rPr>
        <w:lastRenderedPageBreak/>
        <w:t xml:space="preserve">4.6 </w:t>
      </w:r>
      <w:r w:rsidRPr="004211FD">
        <w:rPr>
          <w:rFonts w:ascii="Times New Roman" w:hAnsi="Times New Roman" w:hint="eastAsia"/>
          <w:kern w:val="0"/>
          <w:szCs w:val="24"/>
        </w:rPr>
        <w:t>管理人内部有关本基金的监察稽核工作情况</w:t>
      </w:r>
      <w:bookmarkEnd w:id="55"/>
      <w:bookmarkEnd w:id="56"/>
      <w:bookmarkEnd w:id="57"/>
      <w:bookmarkEnd w:id="58"/>
    </w:p>
    <w:p w:rsidR="00A46313" w:rsidRDefault="00125795">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A46313" w:rsidRDefault="00125795">
      <w:pPr>
        <w:spacing w:before="29" w:line="288" w:lineRule="auto"/>
        <w:ind w:firstLineChars="200" w:firstLine="480"/>
        <w:rPr>
          <w:kern w:val="0"/>
          <w:sz w:val="24"/>
        </w:rPr>
      </w:pPr>
      <w:r>
        <w:rPr>
          <w:kern w:val="0"/>
          <w:sz w:val="24"/>
        </w:rPr>
        <w:t>本报告期内，本基金管理人为了确保公司业务的规范运作，主要做了以下工作：</w:t>
      </w:r>
    </w:p>
    <w:p w:rsidR="00A46313" w:rsidRDefault="00125795">
      <w:pPr>
        <w:spacing w:before="29" w:line="288" w:lineRule="auto"/>
        <w:ind w:firstLineChars="200" w:firstLine="480"/>
        <w:rPr>
          <w:kern w:val="0"/>
          <w:sz w:val="24"/>
        </w:rPr>
      </w:pPr>
      <w:r>
        <w:rPr>
          <w:kern w:val="0"/>
          <w:sz w:val="24"/>
        </w:rPr>
        <w:t>（一）持续完善公司内部控制制度和业务流程，推动制度流程的及时更新。</w:t>
      </w:r>
    </w:p>
    <w:p w:rsidR="00A46313" w:rsidRDefault="00125795">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A46313" w:rsidRDefault="00125795">
      <w:pPr>
        <w:spacing w:before="29" w:line="288" w:lineRule="auto"/>
        <w:ind w:firstLineChars="200" w:firstLine="480"/>
        <w:rPr>
          <w:kern w:val="0"/>
          <w:sz w:val="24"/>
        </w:rPr>
      </w:pPr>
      <w:r>
        <w:rPr>
          <w:kern w:val="0"/>
          <w:sz w:val="24"/>
        </w:rPr>
        <w:t>（二）全面开展内部监督检查，强化公司内部控制。</w:t>
      </w:r>
    </w:p>
    <w:p w:rsidR="00A46313" w:rsidRDefault="0012579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A46313" w:rsidRDefault="00125795">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59" w:name="_Toc247959457"/>
      <w:bookmarkStart w:id="60" w:name="_Toc225570083"/>
      <w:bookmarkStart w:id="61" w:name="_Toc361324861"/>
      <w:bookmarkStart w:id="62" w:name="_Toc478236530"/>
      <w:r w:rsidRPr="004211FD">
        <w:rPr>
          <w:rFonts w:ascii="Times New Roman" w:hAnsi="Times New Roman"/>
          <w:kern w:val="0"/>
          <w:szCs w:val="24"/>
        </w:rPr>
        <w:t xml:space="preserve">4.7 </w:t>
      </w:r>
      <w:r w:rsidRPr="004211FD">
        <w:rPr>
          <w:rFonts w:ascii="Times New Roman" w:hAnsi="Times New Roman" w:hint="eastAsia"/>
          <w:kern w:val="0"/>
          <w:szCs w:val="24"/>
        </w:rPr>
        <w:t>管理人对报告期内基金估值程序等事项的说明</w:t>
      </w:r>
      <w:bookmarkEnd w:id="59"/>
      <w:bookmarkEnd w:id="60"/>
      <w:bookmarkEnd w:id="61"/>
      <w:bookmarkEnd w:id="62"/>
    </w:p>
    <w:p w:rsidR="00A46313" w:rsidRDefault="0012579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A46313" w:rsidRDefault="0012579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A40DA7">
        <w:rPr>
          <w:kern w:val="0"/>
          <w:sz w:val="24"/>
        </w:rPr>
        <w:lastRenderedPageBreak/>
        <w:t>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4211FD" w:rsidRDefault="00BB731C" w:rsidP="004211FD">
      <w:pPr>
        <w:pStyle w:val="20"/>
        <w:spacing w:before="29" w:after="0" w:line="288" w:lineRule="auto"/>
        <w:rPr>
          <w:b w:val="0"/>
          <w:kern w:val="0"/>
        </w:rPr>
      </w:pPr>
      <w:bookmarkStart w:id="63" w:name="_Toc247959458"/>
      <w:bookmarkStart w:id="64" w:name="_Toc225570084"/>
      <w:bookmarkStart w:id="65" w:name="_Toc361324862"/>
      <w:bookmarkStart w:id="66" w:name="_Toc478236531"/>
      <w:r w:rsidRPr="004211FD">
        <w:rPr>
          <w:rFonts w:ascii="Times New Roman" w:hAnsi="Times New Roman"/>
          <w:kern w:val="0"/>
          <w:szCs w:val="24"/>
        </w:rPr>
        <w:t xml:space="preserve">4.8 </w:t>
      </w:r>
      <w:r w:rsidRPr="004211FD">
        <w:rPr>
          <w:rFonts w:ascii="Times New Roman" w:hAnsi="Times New Roman" w:hint="eastAsia"/>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根据相关法律法规和基金合同要求，本基金本报告期内对上一年度和本年度应分配的可分配利润分别进行了收益分配，具体情况参见</w:t>
      </w:r>
      <w:r w:rsidRPr="00BB731C">
        <w:rPr>
          <w:kern w:val="0"/>
          <w:sz w:val="24"/>
        </w:rPr>
        <w:t xml:space="preserve">7.4.11 </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4211FD" w:rsidRDefault="00BB731C" w:rsidP="004211FD">
      <w:pPr>
        <w:pStyle w:val="20"/>
        <w:spacing w:before="29" w:after="0" w:line="288" w:lineRule="auto"/>
        <w:rPr>
          <w:b w:val="0"/>
          <w:kern w:val="0"/>
        </w:rPr>
      </w:pPr>
      <w:bookmarkStart w:id="67" w:name="_Toc478236532"/>
      <w:r w:rsidRPr="004211FD">
        <w:rPr>
          <w:rFonts w:ascii="Times New Roman" w:hAnsi="Times New Roman"/>
          <w:kern w:val="0"/>
          <w:szCs w:val="24"/>
        </w:rPr>
        <w:t xml:space="preserve">4.9 </w:t>
      </w:r>
      <w:r w:rsidRPr="004211FD">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7823653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4211FD" w:rsidRDefault="001A59F9" w:rsidP="004211FD">
      <w:pPr>
        <w:pStyle w:val="20"/>
        <w:spacing w:before="29" w:after="0" w:line="288" w:lineRule="auto"/>
        <w:rPr>
          <w:b w:val="0"/>
          <w:kern w:val="0"/>
        </w:rPr>
      </w:pPr>
      <w:bookmarkStart w:id="71" w:name="_Toc225498264"/>
      <w:bookmarkStart w:id="72" w:name="_Toc361324865"/>
      <w:bookmarkStart w:id="73" w:name="_Toc478236534"/>
      <w:r w:rsidRPr="004211FD">
        <w:rPr>
          <w:rFonts w:ascii="Times New Roman" w:hAnsi="Times New Roman"/>
          <w:kern w:val="0"/>
          <w:szCs w:val="24"/>
        </w:rPr>
        <w:t xml:space="preserve">5.1 </w:t>
      </w:r>
      <w:r w:rsidRPr="004211FD">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74" w:name="_Toc225498265"/>
      <w:bookmarkStart w:id="75" w:name="_Toc361324866"/>
      <w:bookmarkStart w:id="76" w:name="_Toc478236535"/>
      <w:r w:rsidRPr="004211FD">
        <w:rPr>
          <w:rFonts w:ascii="Times New Roman" w:hAnsi="Times New Roman"/>
          <w:kern w:val="0"/>
          <w:szCs w:val="24"/>
        </w:rPr>
        <w:t xml:space="preserve">5.2 </w:t>
      </w:r>
      <w:r w:rsidRPr="004211FD">
        <w:rPr>
          <w:rFonts w:ascii="Times New Roman" w:hAnsi="Times New Roman" w:hint="eastAsia"/>
          <w:kern w:val="0"/>
          <w:szCs w:val="24"/>
        </w:rPr>
        <w:t>托管人对报告期内本基金投资运作遵规守信、净值计算、利润分配等情况的</w:t>
      </w:r>
      <w:bookmarkEnd w:id="74"/>
      <w:r w:rsidRPr="004211FD">
        <w:rPr>
          <w:rFonts w:ascii="Times New Roman" w:hAnsi="Times New Roman" w:hint="eastAsia"/>
          <w:kern w:val="0"/>
          <w:szCs w:val="24"/>
        </w:rPr>
        <w:t>说明</w:t>
      </w:r>
      <w:bookmarkEnd w:id="75"/>
      <w:bookmarkEnd w:id="76"/>
    </w:p>
    <w:p w:rsidR="00A46313" w:rsidRDefault="00125795">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报告期内，本基金实施利润分配的金额：交银增利债券</w:t>
      </w:r>
      <w:r w:rsidRPr="00A40DA7">
        <w:rPr>
          <w:kern w:val="0"/>
          <w:sz w:val="24"/>
        </w:rPr>
        <w:t xml:space="preserve">A/B </w:t>
      </w:r>
      <w:r w:rsidRPr="00A40DA7">
        <w:rPr>
          <w:kern w:val="0"/>
          <w:sz w:val="24"/>
        </w:rPr>
        <w:t>为</w:t>
      </w:r>
      <w:r w:rsidRPr="00A40DA7">
        <w:rPr>
          <w:kern w:val="0"/>
          <w:sz w:val="24"/>
        </w:rPr>
        <w:t>57,598,405.74</w:t>
      </w:r>
      <w:r w:rsidRPr="00A40DA7">
        <w:rPr>
          <w:kern w:val="0"/>
          <w:sz w:val="24"/>
        </w:rPr>
        <w:t>元，交银增利债券</w:t>
      </w:r>
      <w:r w:rsidRPr="00A40DA7">
        <w:rPr>
          <w:kern w:val="0"/>
          <w:sz w:val="24"/>
        </w:rPr>
        <w:t>C</w:t>
      </w:r>
      <w:r w:rsidRPr="00A40DA7">
        <w:rPr>
          <w:kern w:val="0"/>
          <w:sz w:val="24"/>
        </w:rPr>
        <w:t>为</w:t>
      </w:r>
      <w:r w:rsidRPr="00A40DA7">
        <w:rPr>
          <w:kern w:val="0"/>
          <w:sz w:val="24"/>
        </w:rPr>
        <w:t>15,958,895.68</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77" w:name="_Toc225498266"/>
      <w:bookmarkStart w:id="78" w:name="_Toc361324867"/>
      <w:bookmarkStart w:id="79" w:name="_Toc478236536"/>
      <w:r w:rsidRPr="004211FD">
        <w:rPr>
          <w:rFonts w:ascii="Times New Roman" w:hAnsi="Times New Roman"/>
          <w:kern w:val="0"/>
          <w:szCs w:val="24"/>
        </w:rPr>
        <w:t xml:space="preserve">5.3 </w:t>
      </w:r>
      <w:r w:rsidRPr="004211FD">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651650">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78236537"/>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DB6EA0" w:rsidRPr="00DB6EA0" w:rsidRDefault="00DB6EA0" w:rsidP="00DB6EA0"/>
    <w:p w:rsidR="00CB4736" w:rsidRPr="000C1A53" w:rsidRDefault="00CB4736" w:rsidP="00CB4736">
      <w:pPr>
        <w:spacing w:before="29" w:line="288" w:lineRule="auto"/>
        <w:jc w:val="right"/>
        <w:rPr>
          <w:color w:val="000000"/>
          <w:sz w:val="24"/>
        </w:rPr>
      </w:pPr>
      <w:r w:rsidRPr="000C1A53">
        <w:rPr>
          <w:color w:val="000000"/>
          <w:sz w:val="24"/>
        </w:rPr>
        <w:t>普华永道中天审字</w:t>
      </w:r>
      <w:r w:rsidRPr="000C1A53">
        <w:rPr>
          <w:color w:val="000000"/>
          <w:sz w:val="24"/>
        </w:rPr>
        <w:t>(2017)</w:t>
      </w:r>
      <w:r w:rsidRPr="000C1A53">
        <w:rPr>
          <w:color w:val="000000"/>
          <w:sz w:val="24"/>
        </w:rPr>
        <w:t>第</w:t>
      </w:r>
      <w:r w:rsidRPr="000C1A53">
        <w:rPr>
          <w:color w:val="000000"/>
          <w:sz w:val="24"/>
        </w:rPr>
        <w:t>20186</w:t>
      </w:r>
      <w:r w:rsidRPr="000C1A53">
        <w:rPr>
          <w:color w:val="000000"/>
          <w:sz w:val="24"/>
        </w:rPr>
        <w:t>号</w:t>
      </w:r>
    </w:p>
    <w:p w:rsidR="00CB4736" w:rsidRPr="000C1A53" w:rsidRDefault="00CB4736" w:rsidP="00CB4736">
      <w:pPr>
        <w:spacing w:before="29" w:line="288" w:lineRule="auto"/>
        <w:rPr>
          <w:color w:val="000000"/>
          <w:sz w:val="24"/>
        </w:rPr>
      </w:pPr>
      <w:r w:rsidRPr="000C1A53">
        <w:rPr>
          <w:color w:val="000000"/>
          <w:sz w:val="24"/>
        </w:rPr>
        <w:t>交银施罗德增利债券证券投资基金全体基金份额持有人</w:t>
      </w:r>
      <w:r w:rsidRPr="000C1A53">
        <w:rPr>
          <w:rFonts w:hint="eastAsia"/>
          <w:color w:val="000000"/>
          <w:sz w:val="24"/>
        </w:rPr>
        <w:t>：</w:t>
      </w:r>
    </w:p>
    <w:p w:rsidR="00651650" w:rsidRDefault="00CB4736" w:rsidP="004211FD">
      <w:pPr>
        <w:spacing w:before="29" w:line="288" w:lineRule="auto"/>
        <w:ind w:firstLineChars="200" w:firstLine="480"/>
        <w:rPr>
          <w:color w:val="000000"/>
          <w:sz w:val="24"/>
        </w:rPr>
      </w:pPr>
      <w:r w:rsidRPr="000C1A53">
        <w:rPr>
          <w:color w:val="000000"/>
          <w:sz w:val="24"/>
        </w:rPr>
        <w:t>我们审计了后附的交银施罗德增利债券证券投资基金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交银施罗德增利基</w:t>
      </w:r>
      <w:r w:rsidRPr="000C1A53">
        <w:rPr>
          <w:color w:val="000000"/>
          <w:sz w:val="24"/>
        </w:rPr>
        <w:lastRenderedPageBreak/>
        <w:t>金</w:t>
      </w:r>
      <w:r w:rsidRPr="000C1A53">
        <w:rPr>
          <w:color w:val="000000"/>
          <w:sz w:val="24"/>
        </w:rPr>
        <w:t>”)</w:t>
      </w:r>
      <w:r w:rsidRPr="000C1A53">
        <w:rPr>
          <w:color w:val="000000"/>
          <w:sz w:val="24"/>
        </w:rPr>
        <w:t>的财务报表，包括</w:t>
      </w:r>
      <w:r w:rsidRPr="000C1A53">
        <w:rPr>
          <w:color w:val="000000"/>
          <w:sz w:val="24"/>
        </w:rPr>
        <w:t>2016</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日的资产负债表、</w:t>
      </w:r>
      <w:r w:rsidRPr="000C1A53">
        <w:rPr>
          <w:color w:val="000000"/>
          <w:sz w:val="24"/>
        </w:rPr>
        <w:t xml:space="preserve">2016 </w:t>
      </w:r>
      <w:r w:rsidRPr="000C1A53">
        <w:rPr>
          <w:color w:val="000000"/>
          <w:sz w:val="24"/>
        </w:rPr>
        <w:t>年度的利润表和所有者权益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rsidR="00CB4736" w:rsidRPr="00D0372D" w:rsidRDefault="00CB4736" w:rsidP="00CB4736">
      <w:pPr>
        <w:adjustRightInd w:val="0"/>
        <w:snapToGrid w:val="0"/>
        <w:spacing w:line="360" w:lineRule="auto"/>
        <w:rPr>
          <w:rFonts w:ascii="宋体" w:hAnsi="宋体"/>
          <w:b/>
          <w:bCs/>
          <w:color w:val="000000"/>
          <w:szCs w:val="21"/>
        </w:rPr>
      </w:pPr>
    </w:p>
    <w:p w:rsidR="00CB4736" w:rsidRPr="007F57C2" w:rsidRDefault="00CB4736" w:rsidP="00CB4736">
      <w:pPr>
        <w:spacing w:before="29" w:line="288" w:lineRule="auto"/>
        <w:rPr>
          <w:rFonts w:eastAsiaTheme="minorEastAsia"/>
          <w:b/>
          <w:sz w:val="24"/>
        </w:rPr>
      </w:pPr>
      <w:bookmarkStart w:id="89" w:name="_Toc286996147"/>
      <w:bookmarkStart w:id="90" w:name="_Toc352255987"/>
      <w:bookmarkStart w:id="91" w:name="_Toc352256055"/>
      <w:bookmarkStart w:id="92" w:name="_Toc352331233"/>
      <w:bookmarkStart w:id="93" w:name="_Toc362424011"/>
      <w:bookmarkStart w:id="94" w:name="_Toc374459273"/>
      <w:r>
        <w:rPr>
          <w:rFonts w:eastAsiaTheme="minorEastAsia" w:hint="eastAsia"/>
          <w:b/>
          <w:sz w:val="24"/>
        </w:rPr>
        <w:t>一、</w:t>
      </w:r>
      <w:r w:rsidRPr="007F57C2">
        <w:rPr>
          <w:rFonts w:eastAsiaTheme="minorEastAsia" w:hint="eastAsia"/>
          <w:b/>
          <w:sz w:val="24"/>
        </w:rPr>
        <w:t>管理层对财务报表的责任</w:t>
      </w:r>
      <w:bookmarkEnd w:id="89"/>
      <w:bookmarkEnd w:id="90"/>
      <w:bookmarkEnd w:id="91"/>
      <w:bookmarkEnd w:id="92"/>
      <w:bookmarkEnd w:id="93"/>
      <w:bookmarkEnd w:id="94"/>
    </w:p>
    <w:p w:rsidR="00CB4736" w:rsidRDefault="00CB4736" w:rsidP="00CB4736">
      <w:pPr>
        <w:spacing w:before="29" w:line="288" w:lineRule="auto"/>
        <w:ind w:firstLineChars="200" w:firstLine="480"/>
        <w:rPr>
          <w:kern w:val="0"/>
          <w:sz w:val="24"/>
        </w:rPr>
      </w:pPr>
      <w:r>
        <w:rPr>
          <w:kern w:val="0"/>
          <w:sz w:val="24"/>
        </w:rPr>
        <w:t>编制和公允列报财务报表是交银施罗德增利基金的基金管理人交银施罗德基金管理有限公司管理层的责任。这种责任包括：</w:t>
      </w:r>
    </w:p>
    <w:p w:rsidR="00CB4736" w:rsidRDefault="00CB4736" w:rsidP="00CB4736">
      <w:pPr>
        <w:spacing w:before="29" w:line="288" w:lineRule="auto"/>
        <w:ind w:firstLineChars="200" w:firstLine="480"/>
        <w:rPr>
          <w:kern w:val="0"/>
          <w:sz w:val="24"/>
        </w:rPr>
      </w:pPr>
      <w:r>
        <w:rPr>
          <w:kern w:val="0"/>
          <w:sz w:val="24"/>
        </w:rPr>
        <w:t xml:space="preserve">(1) </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rsidR="00CB4736" w:rsidRPr="00B922C7" w:rsidRDefault="00CB4736" w:rsidP="00CB4736">
      <w:pPr>
        <w:spacing w:before="29" w:line="288" w:lineRule="auto"/>
        <w:ind w:firstLineChars="200" w:firstLine="480"/>
        <w:rPr>
          <w:kern w:val="0"/>
          <w:sz w:val="24"/>
        </w:rPr>
      </w:pPr>
      <w:r w:rsidRPr="00B922C7">
        <w:rPr>
          <w:kern w:val="0"/>
          <w:sz w:val="24"/>
        </w:rPr>
        <w:t xml:space="preserve">(2) </w:t>
      </w:r>
      <w:r w:rsidRPr="00B922C7">
        <w:rPr>
          <w:kern w:val="0"/>
          <w:sz w:val="24"/>
        </w:rPr>
        <w:t>设计、执行和维护必要的内部控制，以使财务报表不存在由于舞弊或错误导致的重大错报。</w:t>
      </w:r>
    </w:p>
    <w:p w:rsidR="00CB4736" w:rsidRPr="00D0372D" w:rsidRDefault="00CB4736" w:rsidP="00CB4736">
      <w:pPr>
        <w:adjustRightInd w:val="0"/>
        <w:snapToGrid w:val="0"/>
        <w:spacing w:line="360" w:lineRule="auto"/>
        <w:rPr>
          <w:rFonts w:ascii="宋体" w:hAnsi="宋体"/>
          <w:color w:val="000000"/>
          <w:szCs w:val="21"/>
        </w:rPr>
      </w:pPr>
    </w:p>
    <w:p w:rsidR="00CB4736" w:rsidRPr="007F57C2" w:rsidRDefault="00CB4736" w:rsidP="00CB4736">
      <w:pPr>
        <w:spacing w:before="29" w:line="288" w:lineRule="auto"/>
        <w:rPr>
          <w:rFonts w:eastAsiaTheme="minorEastAsia"/>
          <w:b/>
          <w:sz w:val="24"/>
        </w:rPr>
      </w:pPr>
      <w:bookmarkStart w:id="95" w:name="_Toc286996148"/>
      <w:bookmarkStart w:id="96" w:name="_Toc352255988"/>
      <w:bookmarkStart w:id="97" w:name="_Toc352256056"/>
      <w:bookmarkStart w:id="98" w:name="_Toc352331234"/>
      <w:bookmarkStart w:id="99" w:name="_Toc362424012"/>
      <w:bookmarkStart w:id="100" w:name="_Toc374459274"/>
      <w:r>
        <w:rPr>
          <w:rFonts w:eastAsiaTheme="minorEastAsia" w:hint="eastAsia"/>
          <w:b/>
          <w:sz w:val="24"/>
        </w:rPr>
        <w:t>二、</w:t>
      </w:r>
      <w:r w:rsidRPr="007F57C2">
        <w:rPr>
          <w:rFonts w:eastAsiaTheme="minorEastAsia" w:hint="eastAsia"/>
          <w:b/>
          <w:sz w:val="24"/>
        </w:rPr>
        <w:t>注册会计师的责任</w:t>
      </w:r>
      <w:bookmarkEnd w:id="95"/>
      <w:bookmarkEnd w:id="96"/>
      <w:bookmarkEnd w:id="97"/>
      <w:bookmarkEnd w:id="98"/>
      <w:bookmarkEnd w:id="99"/>
      <w:bookmarkEnd w:id="100"/>
    </w:p>
    <w:p w:rsidR="00CB4736" w:rsidRDefault="00CB4736" w:rsidP="00CB4736">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CB4736" w:rsidRDefault="00CB4736" w:rsidP="00CB4736">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CB4736" w:rsidRPr="00B922C7" w:rsidRDefault="00CB4736" w:rsidP="00CB4736">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CB4736" w:rsidRPr="00D0372D" w:rsidRDefault="00CB4736" w:rsidP="00CB4736">
      <w:pPr>
        <w:adjustRightInd w:val="0"/>
        <w:snapToGrid w:val="0"/>
        <w:spacing w:line="360" w:lineRule="auto"/>
        <w:rPr>
          <w:rFonts w:ascii="宋体" w:hAnsi="宋体"/>
          <w:color w:val="000000"/>
          <w:szCs w:val="21"/>
        </w:rPr>
      </w:pPr>
    </w:p>
    <w:p w:rsidR="00CB4736" w:rsidRPr="007F57C2" w:rsidRDefault="00CB4736" w:rsidP="00CB4736">
      <w:pPr>
        <w:spacing w:before="29" w:line="288" w:lineRule="auto"/>
        <w:rPr>
          <w:rFonts w:eastAsiaTheme="minorEastAsia"/>
          <w:b/>
          <w:sz w:val="24"/>
        </w:rPr>
      </w:pPr>
      <w:bookmarkStart w:id="101" w:name="_Toc286996149"/>
      <w:bookmarkStart w:id="102" w:name="_Toc352255989"/>
      <w:bookmarkStart w:id="103" w:name="_Toc352256057"/>
      <w:bookmarkStart w:id="104" w:name="_Toc352331235"/>
      <w:bookmarkStart w:id="105" w:name="_Toc362424013"/>
      <w:bookmarkStart w:id="106" w:name="_Toc374459275"/>
      <w:r>
        <w:rPr>
          <w:rFonts w:eastAsiaTheme="minorEastAsia" w:hint="eastAsia"/>
          <w:b/>
          <w:sz w:val="24"/>
        </w:rPr>
        <w:t>三、</w:t>
      </w:r>
      <w:r w:rsidRPr="007F57C2">
        <w:rPr>
          <w:rFonts w:eastAsiaTheme="minorEastAsia" w:hint="eastAsia"/>
          <w:b/>
          <w:sz w:val="24"/>
        </w:rPr>
        <w:t>审计意见</w:t>
      </w:r>
      <w:bookmarkEnd w:id="101"/>
      <w:bookmarkEnd w:id="102"/>
      <w:bookmarkEnd w:id="103"/>
      <w:bookmarkEnd w:id="104"/>
      <w:bookmarkEnd w:id="105"/>
      <w:bookmarkEnd w:id="106"/>
    </w:p>
    <w:p w:rsidR="00CB4736" w:rsidRPr="00D0372D" w:rsidRDefault="00CB4736" w:rsidP="00CB4736">
      <w:pPr>
        <w:spacing w:before="29" w:line="288" w:lineRule="auto"/>
        <w:ind w:firstLineChars="200" w:firstLine="480"/>
        <w:rPr>
          <w:rFonts w:ascii="宋体" w:hAnsi="宋体" w:cs="宋体"/>
          <w:kern w:val="0"/>
          <w:szCs w:val="21"/>
        </w:rPr>
      </w:pPr>
      <w:r w:rsidRPr="00B922C7">
        <w:rPr>
          <w:kern w:val="0"/>
          <w:sz w:val="24"/>
        </w:rPr>
        <w:t>我们认为，上述交银施罗德增利基金的财务报表在所有重大方面按照企业会计准则和在财务报表附注中所列示的中国证监会、中国基金业协会发布的有关规定及允许的基金行业实务操作编制，公允反映了交银施罗德增利基金</w:t>
      </w:r>
      <w:r w:rsidRPr="00B922C7">
        <w:rPr>
          <w:kern w:val="0"/>
          <w:sz w:val="24"/>
        </w:rPr>
        <w:t>2016</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2016</w:t>
      </w:r>
      <w:r w:rsidRPr="00B922C7">
        <w:rPr>
          <w:kern w:val="0"/>
          <w:sz w:val="24"/>
        </w:rPr>
        <w:t>年度的经营成果和基金净值变动情况。</w:t>
      </w:r>
    </w:p>
    <w:p w:rsidR="00CB4736" w:rsidRPr="00D0372D" w:rsidRDefault="00CB4736" w:rsidP="00CB4736">
      <w:pPr>
        <w:adjustRightInd w:val="0"/>
        <w:snapToGrid w:val="0"/>
        <w:spacing w:line="360" w:lineRule="auto"/>
        <w:rPr>
          <w:rFonts w:ascii="宋体" w:hAnsi="宋体"/>
          <w:color w:val="000000"/>
          <w:szCs w:val="21"/>
        </w:rPr>
      </w:pPr>
    </w:p>
    <w:p w:rsidR="00CB4736" w:rsidRPr="00821D08" w:rsidRDefault="00CB4736" w:rsidP="00CB4736">
      <w:pPr>
        <w:spacing w:before="29" w:line="288" w:lineRule="auto"/>
        <w:jc w:val="left"/>
        <w:rPr>
          <w:color w:val="000000"/>
          <w:sz w:val="24"/>
        </w:rPr>
      </w:pPr>
      <w:r w:rsidRPr="00821D08">
        <w:rPr>
          <w:color w:val="000000"/>
          <w:sz w:val="24"/>
        </w:rPr>
        <w:t>普华永道中天会计师事务所</w:t>
      </w:r>
      <w:r w:rsidRPr="00821D08">
        <w:rPr>
          <w:color w:val="000000"/>
          <w:sz w:val="24"/>
        </w:rPr>
        <w:t>(</w:t>
      </w:r>
      <w:r w:rsidRPr="00821D08">
        <w:rPr>
          <w:color w:val="000000"/>
          <w:sz w:val="24"/>
        </w:rPr>
        <w:t>特殊普通合伙</w:t>
      </w:r>
      <w:r w:rsidRPr="00821D08">
        <w:rPr>
          <w:color w:val="000000"/>
          <w:sz w:val="24"/>
        </w:rPr>
        <w:t>)</w:t>
      </w:r>
      <w:r w:rsidRPr="00821D08">
        <w:rPr>
          <w:rFonts w:hint="eastAsia"/>
          <w:color w:val="000000"/>
          <w:sz w:val="24"/>
        </w:rPr>
        <w:tab/>
      </w:r>
      <w:r w:rsidRPr="00821D08">
        <w:rPr>
          <w:rFonts w:hint="eastAsia"/>
          <w:color w:val="000000"/>
          <w:sz w:val="24"/>
        </w:rPr>
        <w:tab/>
      </w:r>
      <w:r w:rsidR="005851B5">
        <w:rPr>
          <w:color w:val="000000"/>
          <w:sz w:val="24"/>
        </w:rPr>
        <w:t xml:space="preserve">                   </w:t>
      </w:r>
      <w:r w:rsidRPr="00821D08">
        <w:rPr>
          <w:rFonts w:hint="eastAsia"/>
          <w:color w:val="000000"/>
          <w:sz w:val="24"/>
        </w:rPr>
        <w:t>中国注册会计师</w:t>
      </w:r>
    </w:p>
    <w:p w:rsidR="00CB4736" w:rsidRPr="00821D08" w:rsidRDefault="00CB4736" w:rsidP="00CB4736">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朱宏宇</w:t>
      </w:r>
    </w:p>
    <w:p w:rsidR="00CB4736" w:rsidRPr="00821D08" w:rsidRDefault="00CB4736" w:rsidP="00CB4736">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CB4736" w:rsidRDefault="00CB4736" w:rsidP="00CB4736">
      <w:pPr>
        <w:spacing w:before="29" w:line="288" w:lineRule="auto"/>
        <w:jc w:val="right"/>
        <w:rPr>
          <w:color w:val="000000"/>
          <w:sz w:val="24"/>
        </w:rPr>
      </w:pPr>
      <w:r w:rsidRPr="00821D08">
        <w:rPr>
          <w:color w:val="000000"/>
          <w:sz w:val="24"/>
        </w:rPr>
        <w:t>2017</w:t>
      </w:r>
      <w:r w:rsidRPr="00821D08">
        <w:rPr>
          <w:color w:val="000000"/>
          <w:sz w:val="24"/>
        </w:rPr>
        <w:t>年</w:t>
      </w:r>
      <w:r w:rsidRPr="00821D08">
        <w:rPr>
          <w:color w:val="000000"/>
          <w:sz w:val="24"/>
        </w:rPr>
        <w:t>3</w:t>
      </w:r>
      <w:r w:rsidRPr="00821D08">
        <w:rPr>
          <w:color w:val="000000"/>
          <w:sz w:val="24"/>
        </w:rPr>
        <w:t>月</w:t>
      </w:r>
      <w:r w:rsidRPr="00821D08">
        <w:rPr>
          <w:color w:val="000000"/>
          <w:sz w:val="24"/>
        </w:rPr>
        <w:t>24</w:t>
      </w:r>
      <w:r w:rsidRPr="00821D08">
        <w:rPr>
          <w:color w:val="000000"/>
          <w:sz w:val="24"/>
        </w:rPr>
        <w:t>日</w:t>
      </w:r>
    </w:p>
    <w:p w:rsidR="00C46E48" w:rsidRPr="00CB4736" w:rsidRDefault="00C46E48" w:rsidP="00821D08">
      <w:pPr>
        <w:spacing w:before="29" w:line="288" w:lineRule="auto"/>
        <w:jc w:val="right"/>
        <w:rPr>
          <w:color w:val="000000"/>
          <w:sz w:val="24"/>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07" w:name="_Toc478236538"/>
      <w:r w:rsidRPr="0079659B">
        <w:rPr>
          <w:rFonts w:hint="eastAsia"/>
          <w:b/>
          <w:bCs/>
          <w:szCs w:val="24"/>
          <w:lang w:val="en-US"/>
        </w:rPr>
        <w:lastRenderedPageBreak/>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7"/>
    </w:p>
    <w:p w:rsidR="00DB6EA0" w:rsidRPr="00DB6EA0" w:rsidRDefault="00DB6EA0" w:rsidP="00DB6EA0"/>
    <w:p w:rsidR="001A59F9" w:rsidRPr="004211FD" w:rsidRDefault="001A59F9" w:rsidP="004211FD">
      <w:pPr>
        <w:pStyle w:val="20"/>
        <w:spacing w:before="29" w:after="0" w:line="288" w:lineRule="auto"/>
        <w:rPr>
          <w:b w:val="0"/>
          <w:kern w:val="0"/>
        </w:rPr>
      </w:pPr>
      <w:bookmarkStart w:id="108" w:name="_Toc225498268"/>
      <w:bookmarkStart w:id="109" w:name="_Toc361324873"/>
      <w:bookmarkStart w:id="110" w:name="_Toc478236539"/>
      <w:r w:rsidRPr="004211FD">
        <w:rPr>
          <w:rFonts w:ascii="Times New Roman" w:hAnsi="Times New Roman"/>
          <w:kern w:val="0"/>
          <w:szCs w:val="24"/>
        </w:rPr>
        <w:t xml:space="preserve">7.1 </w:t>
      </w:r>
      <w:r w:rsidRPr="004211FD">
        <w:rPr>
          <w:rFonts w:ascii="Times New Roman" w:hAnsi="Times New Roman" w:hint="eastAsia"/>
          <w:kern w:val="0"/>
          <w:szCs w:val="24"/>
        </w:rPr>
        <w:t>资产负债表</w:t>
      </w:r>
      <w:bookmarkEnd w:id="108"/>
      <w:bookmarkEnd w:id="109"/>
      <w:bookmarkEnd w:id="110"/>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5851B5">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851B5">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55,830,714.66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98,638,804.86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3,394,066.30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2,820,047.93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6,104.48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36,958.40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579,613,168.19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1,788,283,705.91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504,885,699.70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1,671,243,705.91</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74,727,468.49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117,040,000.00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125,492,011.48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11,601,222.79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24,079,333.13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67,291.17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804,749.36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650,512,567.59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2,040,155,611.07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69,999,725.00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669,998,985.00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52,115,391.98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14,992,499.36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299,455.52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1,343,112.61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292,096.72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681,869.03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97,365.60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227,289.68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39,109.31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106,657.23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15,850.20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39,501.19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25,427.60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132,913.60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330,305.45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331,469.25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123,214,727.38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687,854,296.95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545,009,455.79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1,290,823,779.03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-17,711,615.58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61,477,535.09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527,297,840.21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1,352,301,314.12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650,512,567.59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2,040,155,611.07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0.9679</w:t>
      </w:r>
      <w:r w:rsidRPr="00400137">
        <w:rPr>
          <w:kern w:val="0"/>
          <w:sz w:val="24"/>
        </w:rPr>
        <w:t>元，</w:t>
      </w:r>
      <w:r w:rsidRPr="00400137">
        <w:rPr>
          <w:kern w:val="0"/>
          <w:sz w:val="24"/>
        </w:rPr>
        <w:t>C</w:t>
      </w:r>
      <w:r w:rsidRPr="00400137">
        <w:rPr>
          <w:kern w:val="0"/>
          <w:sz w:val="24"/>
        </w:rPr>
        <w:t>类基金份额净值</w:t>
      </w:r>
      <w:r w:rsidRPr="00400137">
        <w:rPr>
          <w:kern w:val="0"/>
          <w:sz w:val="24"/>
        </w:rPr>
        <w:t>0.9660</w:t>
      </w:r>
      <w:r w:rsidRPr="00400137">
        <w:rPr>
          <w:kern w:val="0"/>
          <w:sz w:val="24"/>
        </w:rPr>
        <w:t>元，基金份额总额</w:t>
      </w:r>
      <w:r w:rsidRPr="00400137">
        <w:rPr>
          <w:kern w:val="0"/>
          <w:sz w:val="24"/>
        </w:rPr>
        <w:t>545,009,455.79</w:t>
      </w:r>
      <w:r w:rsidRPr="00400137">
        <w:rPr>
          <w:kern w:val="0"/>
          <w:sz w:val="24"/>
        </w:rPr>
        <w:t>份，其中</w:t>
      </w:r>
      <w:r w:rsidRPr="00400137">
        <w:rPr>
          <w:kern w:val="0"/>
          <w:sz w:val="24"/>
        </w:rPr>
        <w:t>A/B</w:t>
      </w:r>
      <w:r w:rsidRPr="00400137">
        <w:rPr>
          <w:kern w:val="0"/>
          <w:sz w:val="24"/>
        </w:rPr>
        <w:t>类基金份额</w:t>
      </w:r>
      <w:r w:rsidRPr="00400137">
        <w:rPr>
          <w:kern w:val="0"/>
          <w:sz w:val="24"/>
        </w:rPr>
        <w:t>430,434,305.12</w:t>
      </w:r>
      <w:r w:rsidRPr="00400137">
        <w:rPr>
          <w:kern w:val="0"/>
          <w:sz w:val="24"/>
        </w:rPr>
        <w:t>份，</w:t>
      </w:r>
      <w:r w:rsidRPr="00400137">
        <w:rPr>
          <w:kern w:val="0"/>
          <w:sz w:val="24"/>
        </w:rPr>
        <w:t>C</w:t>
      </w:r>
      <w:r w:rsidRPr="00400137">
        <w:rPr>
          <w:kern w:val="0"/>
          <w:sz w:val="24"/>
        </w:rPr>
        <w:t>类基金份额</w:t>
      </w:r>
      <w:r w:rsidRPr="00400137">
        <w:rPr>
          <w:kern w:val="0"/>
          <w:sz w:val="24"/>
        </w:rPr>
        <w:t>114,575,150.67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211FD" w:rsidRDefault="001A59F9" w:rsidP="004211FD">
      <w:pPr>
        <w:pStyle w:val="20"/>
        <w:spacing w:before="29" w:after="0" w:line="288" w:lineRule="auto"/>
        <w:rPr>
          <w:b w:val="0"/>
          <w:kern w:val="0"/>
        </w:rPr>
      </w:pPr>
      <w:bookmarkStart w:id="111" w:name="_Toc225498269"/>
      <w:bookmarkStart w:id="112" w:name="_Toc361324874"/>
      <w:bookmarkStart w:id="113" w:name="_Toc478236540"/>
      <w:r w:rsidRPr="004211FD">
        <w:rPr>
          <w:rFonts w:ascii="Times New Roman" w:hAnsi="Times New Roman"/>
          <w:kern w:val="0"/>
          <w:szCs w:val="24"/>
        </w:rPr>
        <w:t xml:space="preserve">7.2 </w:t>
      </w:r>
      <w:r w:rsidRPr="004211FD">
        <w:rPr>
          <w:rFonts w:ascii="Times New Roman" w:hAnsi="Times New Roman" w:hint="eastAsia"/>
          <w:kern w:val="0"/>
          <w:szCs w:val="24"/>
        </w:rPr>
        <w:t>利润表</w:t>
      </w:r>
      <w:bookmarkEnd w:id="111"/>
      <w:bookmarkEnd w:id="112"/>
      <w:bookmarkEnd w:id="113"/>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9,224,055.17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148,066,949.46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49,373,162.35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95,334,530.51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562,323.97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721,387.10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45,266,165.80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93,009,210.91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3,305,503.49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1,200,495.88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239,169.09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403,436.62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-7,282,099.72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46,597,658.45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-581,831.57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-7,341,915.05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47,179,490.02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59,815.33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-33,052,852.92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5,734,208.84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185,845.46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400,551.66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18,296,399.59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31,044,918.84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6,107,634.57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8,721,657.68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2,035,878.20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2,907,219.22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814,307.09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1,329,389.42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55,567.95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121,571.15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8,873,532.75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17,543,122.29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8,873,532.75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17,543,122.29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409,479.03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421,959.08</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-9,072,344.42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117,022,030.62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-9,072,344.42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117,022,030.62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14" w:name="_Toc225498270"/>
      <w:bookmarkStart w:id="115" w:name="_Toc361324875"/>
      <w:bookmarkStart w:id="116" w:name="_Toc478236541"/>
      <w:r w:rsidRPr="004211FD">
        <w:rPr>
          <w:rFonts w:ascii="Times New Roman" w:hAnsi="Times New Roman"/>
          <w:kern w:val="0"/>
          <w:szCs w:val="24"/>
        </w:rPr>
        <w:t xml:space="preserve">7.3 </w:t>
      </w:r>
      <w:r w:rsidRPr="004211FD">
        <w:rPr>
          <w:rFonts w:ascii="Times New Roman" w:hAnsi="Times New Roman" w:hint="eastAsia"/>
          <w:kern w:val="0"/>
          <w:szCs w:val="24"/>
        </w:rPr>
        <w:t>所有者权益（基金净值）变动表</w:t>
      </w:r>
      <w:bookmarkEnd w:id="114"/>
      <w:bookmarkEnd w:id="115"/>
      <w:bookmarkEnd w:id="116"/>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4211FD">
        <w:tc>
          <w:tcPr>
            <w:tcW w:w="2410" w:type="dxa"/>
            <w:vMerge/>
            <w:tcBorders>
              <w:bottom w:val="single" w:sz="4" w:space="0" w:color="000000"/>
            </w:tcBorders>
            <w:vAlign w:val="center"/>
          </w:tcPr>
          <w:p w:rsidR="001A59F9" w:rsidRPr="001025F3" w:rsidRDefault="001A59F9" w:rsidP="001025F3">
            <w:pPr>
              <w:spacing w:before="29" w:line="288" w:lineRule="auto"/>
              <w:jc w:val="center"/>
              <w:rPr>
                <w:b/>
                <w:color w:val="000000"/>
                <w:sz w:val="24"/>
              </w:rPr>
            </w:pPr>
          </w:p>
        </w:tc>
        <w:tc>
          <w:tcPr>
            <w:tcW w:w="2196" w:type="dxa"/>
            <w:tcBorders>
              <w:bottom w:val="single" w:sz="4" w:space="0" w:color="000000"/>
            </w:tcBorders>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tcBorders>
              <w:bottom w:val="single" w:sz="4" w:space="0" w:color="000000"/>
            </w:tcBorders>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tcBorders>
              <w:bottom w:val="single" w:sz="4" w:space="0" w:color="000000"/>
            </w:tcBorders>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4211FD">
        <w:tc>
          <w:tcPr>
            <w:tcW w:w="2410" w:type="dxa"/>
            <w:tcBorders>
              <w:bottom w:val="single" w:sz="4" w:space="0" w:color="auto"/>
            </w:tcBorders>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一、期初所有者权益（基金净值）</w:t>
            </w:r>
          </w:p>
        </w:tc>
        <w:tc>
          <w:tcPr>
            <w:tcW w:w="2196" w:type="dxa"/>
            <w:tcBorders>
              <w:bottom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1,290,823,779.03</w:t>
            </w:r>
          </w:p>
        </w:tc>
        <w:tc>
          <w:tcPr>
            <w:tcW w:w="2197" w:type="dxa"/>
            <w:tcBorders>
              <w:bottom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61,477,535.09</w:t>
            </w:r>
          </w:p>
        </w:tc>
        <w:tc>
          <w:tcPr>
            <w:tcW w:w="2197" w:type="dxa"/>
            <w:tcBorders>
              <w:bottom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1,352,301,314.12</w:t>
            </w:r>
          </w:p>
        </w:tc>
      </w:tr>
      <w:tr w:rsidR="001A59F9" w:rsidRPr="00D564C7" w:rsidTr="004211FD">
        <w:tc>
          <w:tcPr>
            <w:tcW w:w="2410" w:type="dxa"/>
            <w:tcBorders>
              <w:top w:val="single" w:sz="4" w:space="0" w:color="auto"/>
            </w:tcBorders>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tcBorders>
              <w:top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tcBorders>
              <w:top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-9,072,344.42</w:t>
            </w:r>
          </w:p>
        </w:tc>
        <w:tc>
          <w:tcPr>
            <w:tcW w:w="2197" w:type="dxa"/>
            <w:tcBorders>
              <w:top w:val="single" w:sz="4" w:space="0" w:color="auto"/>
            </w:tcBorders>
            <w:vAlign w:val="center"/>
          </w:tcPr>
          <w:p w:rsidR="001A59F9" w:rsidRPr="00202C11" w:rsidRDefault="001A59F9" w:rsidP="00202C11">
            <w:pPr>
              <w:spacing w:before="29" w:line="288" w:lineRule="auto"/>
              <w:jc w:val="right"/>
              <w:rPr>
                <w:color w:val="000000"/>
                <w:sz w:val="24"/>
              </w:rPr>
            </w:pPr>
            <w:r w:rsidRPr="00202C11">
              <w:rPr>
                <w:color w:val="000000"/>
                <w:sz w:val="24"/>
              </w:rPr>
              <w:t>-9,072,344.42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-745,814,323.24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3,440,495.17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-742,373,828.07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811,931,967.23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13,663,545.66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825,595,512.89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-1,557,746,290.47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-10,223,050.49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-1,567,969,340.96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-73,557,301.42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-73,557,301.42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545,009,455.79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-17,711,615.58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527,297,840.21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1,223,944,926.66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101,740,929.25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1,325,685,855.91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117,022,030.62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117,022,030.62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66,878,852.37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4,963,150.68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71,842,003.05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3,288,539,012.37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94,994,227.83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3,383,533,240.20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-3,221,660,160.00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-90,031,077.15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-3,311,691,237.15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-162,248,575.46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-162,248,575.46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1,290,823,779.03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61,477,535.09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1,352,301,314.12</w:t>
            </w:r>
          </w:p>
        </w:tc>
      </w:tr>
    </w:tbl>
    <w:p w:rsidR="001F790F" w:rsidRPr="00E32675" w:rsidRDefault="001F790F" w:rsidP="00E32675">
      <w:pPr>
        <w:spacing w:before="29" w:line="288" w:lineRule="auto"/>
        <w:rPr>
          <w:sz w:val="24"/>
        </w:rPr>
      </w:pPr>
      <w:r w:rsidRPr="00E32675">
        <w:rPr>
          <w:rFonts w:hint="eastAsia"/>
          <w:sz w:val="24"/>
        </w:rPr>
        <w:lastRenderedPageBreak/>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17" w:name="_Toc225498271"/>
      <w:bookmarkStart w:id="118" w:name="_Toc361324876"/>
      <w:bookmarkStart w:id="119" w:name="_Toc478236542"/>
      <w:r w:rsidRPr="004211FD">
        <w:rPr>
          <w:rFonts w:ascii="Times New Roman" w:hAnsi="Times New Roman"/>
          <w:kern w:val="0"/>
          <w:szCs w:val="24"/>
        </w:rPr>
        <w:t xml:space="preserve">7.4 </w:t>
      </w:r>
      <w:r w:rsidRPr="004211FD">
        <w:rPr>
          <w:rFonts w:ascii="Times New Roman" w:hAnsi="Times New Roman" w:hint="eastAsia"/>
          <w:kern w:val="0"/>
          <w:szCs w:val="24"/>
        </w:rPr>
        <w:t>报表附注</w:t>
      </w:r>
      <w:bookmarkEnd w:id="117"/>
      <w:bookmarkEnd w:id="118"/>
      <w:bookmarkEnd w:id="11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A46313" w:rsidRDefault="00125795">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A46313" w:rsidRDefault="00125795">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A46313" w:rsidRDefault="00125795">
      <w:pPr>
        <w:spacing w:before="29" w:line="288" w:lineRule="auto"/>
        <w:ind w:firstLineChars="200" w:firstLine="480"/>
        <w:rPr>
          <w:kern w:val="0"/>
          <w:sz w:val="24"/>
        </w:rPr>
      </w:pPr>
      <w:r>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kern w:val="0"/>
          <w:sz w:val="24"/>
        </w:rPr>
        <w:t>(</w:t>
      </w:r>
      <w:r>
        <w:rPr>
          <w:kern w:val="0"/>
          <w:sz w:val="24"/>
        </w:rPr>
        <w:t>包括国债、金融债、央行票据、企业债、公司债、短期融资券、资产支持证券、次级债、可转换债券等</w:t>
      </w:r>
      <w:r>
        <w:rPr>
          <w:kern w:val="0"/>
          <w:sz w:val="24"/>
        </w:rPr>
        <w:t>)</w:t>
      </w:r>
      <w:r>
        <w:rPr>
          <w:kern w:val="0"/>
          <w:sz w:val="24"/>
        </w:rPr>
        <w:t>占基金资产的比例为</w:t>
      </w:r>
      <w:r>
        <w:rPr>
          <w:kern w:val="0"/>
          <w:sz w:val="24"/>
        </w:rPr>
        <w:t>80%-100%</w:t>
      </w:r>
      <w:r>
        <w:rPr>
          <w:kern w:val="0"/>
          <w:sz w:val="24"/>
        </w:rPr>
        <w:t>，其中次级债、资产支持证券</w:t>
      </w:r>
      <w:r>
        <w:rPr>
          <w:kern w:val="0"/>
          <w:sz w:val="24"/>
        </w:rPr>
        <w:t>(</w:t>
      </w:r>
      <w:r>
        <w:rPr>
          <w:kern w:val="0"/>
          <w:sz w:val="24"/>
        </w:rPr>
        <w:t>含资产收益计划</w:t>
      </w:r>
      <w:r>
        <w:rPr>
          <w:kern w:val="0"/>
          <w:sz w:val="24"/>
        </w:rPr>
        <w:t>)</w:t>
      </w:r>
      <w:r>
        <w:rPr>
          <w:kern w:val="0"/>
          <w:sz w:val="24"/>
        </w:rPr>
        <w:t>和可转换债券占基金资产的比例为</w:t>
      </w:r>
      <w:r>
        <w:rPr>
          <w:kern w:val="0"/>
          <w:sz w:val="24"/>
        </w:rPr>
        <w:t>0-40%</w:t>
      </w:r>
      <w:r>
        <w:rPr>
          <w:kern w:val="0"/>
          <w:sz w:val="24"/>
        </w:rPr>
        <w:t>，基金保留的现金以及投资于到期日在一年以内的政府债券的比例合计不低于基金资产净值的</w:t>
      </w:r>
      <w:r>
        <w:rPr>
          <w:kern w:val="0"/>
          <w:sz w:val="24"/>
        </w:rPr>
        <w:t>5%</w:t>
      </w:r>
      <w:r>
        <w:rPr>
          <w:kern w:val="0"/>
          <w:sz w:val="24"/>
        </w:rPr>
        <w:t>；股票、权证等资产占基金资产的比例为</w:t>
      </w:r>
      <w:r>
        <w:rPr>
          <w:kern w:val="0"/>
          <w:sz w:val="24"/>
        </w:rPr>
        <w:t>0-20%</w:t>
      </w:r>
      <w:r>
        <w:rPr>
          <w:kern w:val="0"/>
          <w:sz w:val="24"/>
        </w:rPr>
        <w:t>，其中权证资产占基金资产净值的比例为</w:t>
      </w:r>
      <w:r>
        <w:rPr>
          <w:kern w:val="0"/>
          <w:sz w:val="24"/>
        </w:rPr>
        <w:t>0-3%</w:t>
      </w:r>
      <w:r>
        <w:rPr>
          <w:kern w:val="0"/>
          <w:sz w:val="24"/>
        </w:rPr>
        <w:t>。本基金的业绩比较基准为：中债企业债总指数。</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本财务报表由本基金的基金管理人交银施罗德基金管理有限公司于</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2</w:t>
      </w:r>
      <w:r w:rsidR="0065694A">
        <w:rPr>
          <w:rFonts w:hint="eastAsia"/>
          <w:kern w:val="0"/>
          <w:sz w:val="24"/>
        </w:rPr>
        <w:t>4</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颁布的《证券投资基金会计核算业务指引》、《交银施罗德增利债券证券投资基金基金合同》和在财务报表附注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2016</w:t>
      </w:r>
      <w:r w:rsidRPr="004A3D9A">
        <w:rPr>
          <w:kern w:val="0"/>
          <w:sz w:val="24"/>
        </w:rPr>
        <w:t>年度财务报表符合企业会计准则的要求，真实、完整地反映了本基金</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2016</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46313" w:rsidRDefault="00125795">
      <w:pPr>
        <w:spacing w:before="29" w:line="288" w:lineRule="auto"/>
        <w:ind w:firstLineChars="200" w:firstLine="480"/>
        <w:rPr>
          <w:kern w:val="0"/>
          <w:sz w:val="24"/>
        </w:rPr>
      </w:pPr>
      <w:r>
        <w:rPr>
          <w:kern w:val="0"/>
          <w:sz w:val="24"/>
        </w:rPr>
        <w:t>(1)</w:t>
      </w:r>
      <w:r>
        <w:rPr>
          <w:kern w:val="0"/>
          <w:sz w:val="24"/>
        </w:rPr>
        <w:t>金融资产的分类</w:t>
      </w:r>
    </w:p>
    <w:p w:rsidR="00A46313" w:rsidRDefault="0012579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本基金持有的其他金融资产分类为应收款项，包括银行存款、买入返售金融资产和其他各类应收款项等。应收款项是指在活跃市场中没有报价、回收金额固定或可确定的非衍生金融资产。</w:t>
      </w:r>
    </w:p>
    <w:p w:rsidR="00A46313" w:rsidRDefault="00125795">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46313" w:rsidRDefault="0012579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46313" w:rsidRDefault="0012579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46313" w:rsidRDefault="00125795">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A46313" w:rsidRDefault="0012579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46313" w:rsidRDefault="00125795">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46313" w:rsidRDefault="00125795">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A46313" w:rsidRDefault="00125795">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A46313" w:rsidRDefault="00125795">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w:t>
      </w:r>
      <w:r w:rsidRPr="004A3D9A">
        <w:rPr>
          <w:kern w:val="0"/>
          <w:sz w:val="24"/>
        </w:rPr>
        <w:lastRenderedPageBreak/>
        <w:t>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46313" w:rsidRDefault="00125795">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46313" w:rsidRDefault="0012579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46313" w:rsidRDefault="00125795">
      <w:pPr>
        <w:spacing w:before="29" w:line="288" w:lineRule="auto"/>
        <w:ind w:firstLineChars="200" w:firstLine="480"/>
        <w:rPr>
          <w:kern w:val="0"/>
          <w:sz w:val="24"/>
        </w:rPr>
      </w:pPr>
      <w:r>
        <w:rPr>
          <w:kern w:val="0"/>
          <w:sz w:val="24"/>
        </w:rPr>
        <w:lastRenderedPageBreak/>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46313" w:rsidRDefault="00125795">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46313" w:rsidRDefault="0012579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67122D" w:rsidRDefault="0067122D" w:rsidP="0067122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67122D" w:rsidRPr="009D1125" w:rsidRDefault="0067122D" w:rsidP="0067122D">
      <w:pPr>
        <w:spacing w:before="29" w:line="288" w:lineRule="auto"/>
        <w:ind w:firstLineChars="200" w:firstLine="480"/>
        <w:rPr>
          <w:kern w:val="0"/>
          <w:sz w:val="24"/>
        </w:rPr>
      </w:pPr>
      <w:r w:rsidRPr="009D1125">
        <w:rPr>
          <w:rFonts w:hint="eastAsia"/>
          <w:kern w:val="0"/>
          <w:sz w:val="24"/>
        </w:rPr>
        <w:t xml:space="preserve">(1) </w:t>
      </w:r>
      <w:r w:rsidRPr="009D1125">
        <w:rPr>
          <w:rFonts w:hint="eastAsia"/>
          <w:kern w:val="0"/>
          <w:sz w:val="24"/>
        </w:rPr>
        <w:t>对于证券交易所上市的股票和债券，若出现重大事项停牌或交易不活跃</w:t>
      </w:r>
      <w:r w:rsidRPr="009D1125">
        <w:rPr>
          <w:rFonts w:hint="eastAsia"/>
          <w:kern w:val="0"/>
          <w:sz w:val="24"/>
        </w:rPr>
        <w:t>(</w:t>
      </w:r>
      <w:r w:rsidRPr="009D1125">
        <w:rPr>
          <w:rFonts w:hint="eastAsia"/>
          <w:kern w:val="0"/>
          <w:sz w:val="24"/>
        </w:rPr>
        <w:t>包括涨跌停时的交易不活跃</w:t>
      </w:r>
      <w:r w:rsidRPr="009D1125">
        <w:rPr>
          <w:rFonts w:hint="eastAsia"/>
          <w:kern w:val="0"/>
          <w:sz w:val="24"/>
        </w:rPr>
        <w:t>)</w:t>
      </w:r>
      <w:r w:rsidRPr="009D1125">
        <w:rPr>
          <w:rFonts w:hint="eastAsia"/>
          <w:kern w:val="0"/>
          <w:sz w:val="24"/>
        </w:rPr>
        <w:t>等情况，本基金根据中国证监会公告</w:t>
      </w:r>
      <w:r w:rsidRPr="009D1125">
        <w:rPr>
          <w:rFonts w:hint="eastAsia"/>
          <w:kern w:val="0"/>
          <w:sz w:val="24"/>
        </w:rPr>
        <w:t>[2008]38</w:t>
      </w:r>
      <w:r w:rsidRPr="009D1125">
        <w:rPr>
          <w:rFonts w:hint="eastAsia"/>
          <w:kern w:val="0"/>
          <w:sz w:val="24"/>
        </w:rPr>
        <w:t>号《关于进一步规范证券投资基金估值业务的指导意见》，根据具体情况采用《关于发布中基协</w:t>
      </w:r>
      <w:r w:rsidRPr="009D1125">
        <w:rPr>
          <w:rFonts w:hint="eastAsia"/>
          <w:kern w:val="0"/>
          <w:sz w:val="24"/>
        </w:rPr>
        <w:t>(AMAC)</w:t>
      </w:r>
      <w:r w:rsidRPr="009D1125">
        <w:rPr>
          <w:rFonts w:hint="eastAsia"/>
          <w:kern w:val="0"/>
          <w:sz w:val="24"/>
        </w:rPr>
        <w:t>基金行业股票估值指数的通知》提供的指数收益法、现金流量折现法等估值技术进行估值。</w:t>
      </w:r>
    </w:p>
    <w:p w:rsidR="0067122D" w:rsidRPr="009D1125" w:rsidRDefault="0067122D" w:rsidP="0067122D">
      <w:pPr>
        <w:spacing w:before="29" w:line="288" w:lineRule="auto"/>
        <w:ind w:firstLineChars="200" w:firstLine="480"/>
        <w:rPr>
          <w:kern w:val="0"/>
          <w:sz w:val="24"/>
        </w:rPr>
      </w:pPr>
      <w:r w:rsidRPr="009D1125">
        <w:rPr>
          <w:rFonts w:hint="eastAsia"/>
          <w:kern w:val="0"/>
          <w:sz w:val="24"/>
        </w:rPr>
        <w:t xml:space="preserve">(2) </w:t>
      </w:r>
      <w:r w:rsidRPr="009D1125">
        <w:rPr>
          <w:rFonts w:hint="eastAsia"/>
          <w:kern w:val="0"/>
          <w:sz w:val="24"/>
        </w:rPr>
        <w:t>对于在锁定期内的非公开发行股票，根据中国证监会证监会计字</w:t>
      </w:r>
      <w:r w:rsidRPr="009D1125">
        <w:rPr>
          <w:rFonts w:hint="eastAsia"/>
          <w:kern w:val="0"/>
          <w:sz w:val="24"/>
        </w:rPr>
        <w:t>[2007]21</w:t>
      </w:r>
      <w:r w:rsidRPr="009D1125">
        <w:rPr>
          <w:rFonts w:hint="eastAsia"/>
          <w:kern w:val="0"/>
          <w:sz w:val="24"/>
        </w:rPr>
        <w:t>号《关于证券投资基金执行</w:t>
      </w:r>
      <w:r w:rsidRPr="009D1125">
        <w:rPr>
          <w:rFonts w:hint="eastAsia"/>
          <w:kern w:val="0"/>
          <w:sz w:val="24"/>
        </w:rPr>
        <w:t>&lt;</w:t>
      </w:r>
      <w:r w:rsidRPr="009D1125">
        <w:rPr>
          <w:rFonts w:hint="eastAsia"/>
          <w:kern w:val="0"/>
          <w:sz w:val="24"/>
        </w:rPr>
        <w:t>企业会计准则</w:t>
      </w:r>
      <w:r w:rsidRPr="009D1125">
        <w:rPr>
          <w:rFonts w:hint="eastAsia"/>
          <w:kern w:val="0"/>
          <w:sz w:val="24"/>
        </w:rPr>
        <w:t>&gt;</w:t>
      </w:r>
      <w:r w:rsidRPr="009D1125">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w:t>
      </w:r>
      <w:r w:rsidRPr="009D1125">
        <w:rPr>
          <w:rFonts w:hint="eastAsia"/>
          <w:kern w:val="0"/>
          <w:sz w:val="24"/>
        </w:rPr>
        <w:lastRenderedPageBreak/>
        <w:t>数的比例将两者之间差价的一部分确认为估值增值。</w:t>
      </w:r>
    </w:p>
    <w:p w:rsidR="0067122D" w:rsidRPr="009D1125" w:rsidRDefault="0067122D" w:rsidP="0067122D">
      <w:pPr>
        <w:spacing w:before="29" w:line="288" w:lineRule="auto"/>
        <w:ind w:firstLineChars="200" w:firstLine="480"/>
        <w:rPr>
          <w:kern w:val="0"/>
          <w:sz w:val="24"/>
        </w:rPr>
      </w:pPr>
      <w:r w:rsidRPr="009D1125">
        <w:rPr>
          <w:rFonts w:hint="eastAsia"/>
          <w:kern w:val="0"/>
          <w:sz w:val="24"/>
        </w:rPr>
        <w:t xml:space="preserve">(3) </w:t>
      </w:r>
      <w:r w:rsidRPr="009D1125">
        <w:rPr>
          <w:rFonts w:hint="eastAsia"/>
          <w:kern w:val="0"/>
          <w:sz w:val="24"/>
        </w:rPr>
        <w:t>在银行间同业市场交易的债券品种，根据中国证监会证监会计字</w:t>
      </w:r>
      <w:r w:rsidRPr="009D1125">
        <w:rPr>
          <w:rFonts w:hint="eastAsia"/>
          <w:kern w:val="0"/>
          <w:sz w:val="24"/>
        </w:rPr>
        <w:t>[2007]21</w:t>
      </w:r>
      <w:r w:rsidRPr="009D1125">
        <w:rPr>
          <w:rFonts w:hint="eastAsia"/>
          <w:kern w:val="0"/>
          <w:sz w:val="24"/>
        </w:rPr>
        <w:t>号《关于证券投资基金执行</w:t>
      </w:r>
      <w:r w:rsidRPr="009D1125">
        <w:rPr>
          <w:rFonts w:hint="eastAsia"/>
          <w:kern w:val="0"/>
          <w:sz w:val="24"/>
        </w:rPr>
        <w:t>&lt;</w:t>
      </w:r>
      <w:r w:rsidRPr="009D1125">
        <w:rPr>
          <w:rFonts w:hint="eastAsia"/>
          <w:kern w:val="0"/>
          <w:sz w:val="24"/>
        </w:rPr>
        <w:t>企业会计准则</w:t>
      </w:r>
      <w:r w:rsidRPr="009D1125">
        <w:rPr>
          <w:rFonts w:hint="eastAsia"/>
          <w:kern w:val="0"/>
          <w:sz w:val="24"/>
        </w:rPr>
        <w:t>&gt;</w:t>
      </w:r>
      <w:r w:rsidRPr="009D1125">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651650" w:rsidRPr="004211FD" w:rsidRDefault="0067122D" w:rsidP="004211FD">
      <w:pPr>
        <w:spacing w:before="29" w:line="288" w:lineRule="auto"/>
        <w:ind w:firstLineChars="200" w:firstLine="480"/>
        <w:rPr>
          <w:kern w:val="0"/>
          <w:sz w:val="24"/>
        </w:rPr>
      </w:pPr>
      <w:r w:rsidRPr="009D1125">
        <w:rPr>
          <w:rFonts w:hint="eastAsia"/>
          <w:kern w:val="0"/>
          <w:sz w:val="24"/>
        </w:rPr>
        <w:t>(4)</w:t>
      </w:r>
      <w:r w:rsidRPr="009D1125">
        <w:rPr>
          <w:rFonts w:hint="eastAsia"/>
          <w:kern w:val="0"/>
          <w:sz w:val="24"/>
        </w:rPr>
        <w:t>对于在证券交易所上市或挂牌转让的固定收益品种</w:t>
      </w:r>
      <w:r w:rsidRPr="009D1125">
        <w:rPr>
          <w:rFonts w:hint="eastAsia"/>
          <w:kern w:val="0"/>
          <w:sz w:val="24"/>
        </w:rPr>
        <w:t>(</w:t>
      </w:r>
      <w:r w:rsidRPr="009D1125">
        <w:rPr>
          <w:rFonts w:hint="eastAsia"/>
          <w:kern w:val="0"/>
          <w:sz w:val="24"/>
        </w:rPr>
        <w:t>可转换债券、资产支持证券和私募债券除外</w:t>
      </w:r>
      <w:r w:rsidRPr="009D1125">
        <w:rPr>
          <w:rFonts w:hint="eastAsia"/>
          <w:kern w:val="0"/>
          <w:sz w:val="24"/>
        </w:rPr>
        <w:t>)</w:t>
      </w:r>
      <w:r w:rsidRPr="009D1125">
        <w:rPr>
          <w:rFonts w:hint="eastAsia"/>
          <w:kern w:val="0"/>
          <w:sz w:val="24"/>
        </w:rPr>
        <w:t>，按照中证指数有限公司《中国证券投资基金业协会估值核算工作小组关于</w:t>
      </w:r>
      <w:r w:rsidRPr="009D1125">
        <w:rPr>
          <w:rFonts w:hint="eastAsia"/>
          <w:kern w:val="0"/>
          <w:sz w:val="24"/>
        </w:rPr>
        <w:t>2015</w:t>
      </w:r>
      <w:r w:rsidRPr="009D1125">
        <w:rPr>
          <w:rFonts w:hint="eastAsia"/>
          <w:kern w:val="0"/>
          <w:sz w:val="24"/>
        </w:rPr>
        <w:t>年</w:t>
      </w:r>
      <w:r w:rsidRPr="009D1125">
        <w:rPr>
          <w:rFonts w:hint="eastAsia"/>
          <w:kern w:val="0"/>
          <w:sz w:val="24"/>
        </w:rPr>
        <w:t>1</w:t>
      </w:r>
      <w:r w:rsidRPr="009D1125">
        <w:rPr>
          <w:rFonts w:hint="eastAsia"/>
          <w:kern w:val="0"/>
          <w:sz w:val="24"/>
        </w:rPr>
        <w:t>季度固定收益品种的估值处理标准》所独立提供的债券估值结果确定公允价值。</w:t>
      </w:r>
    </w:p>
    <w:p w:rsidR="001A59F9" w:rsidRPr="0067122D"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A46313" w:rsidRDefault="00125795">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A46313" w:rsidRDefault="00125795">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A46313" w:rsidRDefault="00125795">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46313" w:rsidRDefault="00125795">
      <w:pPr>
        <w:spacing w:before="29" w:line="288" w:lineRule="auto"/>
        <w:ind w:firstLineChars="200" w:firstLine="480"/>
        <w:rPr>
          <w:kern w:val="0"/>
          <w:sz w:val="24"/>
        </w:rPr>
      </w:pPr>
      <w:r>
        <w:rPr>
          <w:kern w:val="0"/>
          <w:sz w:val="24"/>
        </w:rPr>
        <w:lastRenderedPageBreak/>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55,830,714.66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98,638,804.86</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55,830,714.66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98,638,804.86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177,035,943.54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176,522,699.70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-513,243.84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327,832,706.92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328,363,000.00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530,293.08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504,868,650.46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504,885,699.70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17,049.24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74,853,468.49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74,727,468.49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-126,000.00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579,722,118.95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579,613,168.19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-108,950.76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lastRenderedPageBreak/>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690,099,833.67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701,718,705.91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11,618,872.24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948,739,970.08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969,525,000.00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20,785,029.92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1,638,839,803.75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1,671,243,705.91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32,403,902.16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116,500,000.00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117,040,000.00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540,000.00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1,755,339,803.75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1,788,283,705.91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32,943,902.16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A46313">
        <w:trPr>
          <w:jc w:val="center"/>
        </w:trPr>
        <w:tc>
          <w:tcPr>
            <w:tcW w:w="2381" w:type="dxa"/>
            <w:vAlign w:val="center"/>
          </w:tcPr>
          <w:p w:rsidR="00A46313" w:rsidRDefault="00125795">
            <w:pPr>
              <w:jc w:val="left"/>
            </w:pPr>
            <w:r>
              <w:rPr>
                <w:sz w:val="24"/>
              </w:rPr>
              <w:t>交易所买入返售金融资产</w:t>
            </w:r>
          </w:p>
        </w:tc>
        <w:tc>
          <w:tcPr>
            <w:tcW w:w="3260" w:type="dxa"/>
            <w:vAlign w:val="center"/>
          </w:tcPr>
          <w:p w:rsidR="00A46313" w:rsidRDefault="00125795">
            <w:pPr>
              <w:jc w:val="right"/>
            </w:pPr>
            <w:r>
              <w:rPr>
                <w:sz w:val="24"/>
              </w:rPr>
              <w:t>-</w:t>
            </w:r>
          </w:p>
        </w:tc>
        <w:tc>
          <w:tcPr>
            <w:tcW w:w="3371" w:type="dxa"/>
            <w:vAlign w:val="center"/>
          </w:tcPr>
          <w:p w:rsidR="00A46313" w:rsidRDefault="00125795">
            <w:pPr>
              <w:jc w:val="right"/>
            </w:pPr>
            <w:r>
              <w:rPr>
                <w:sz w:val="24"/>
              </w:rPr>
              <w:t>-</w:t>
            </w:r>
          </w:p>
        </w:tc>
      </w:tr>
      <w:tr w:rsidR="00A46313">
        <w:trPr>
          <w:jc w:val="center"/>
        </w:trPr>
        <w:tc>
          <w:tcPr>
            <w:tcW w:w="2381" w:type="dxa"/>
            <w:vAlign w:val="center"/>
          </w:tcPr>
          <w:p w:rsidR="00A46313" w:rsidRDefault="00125795">
            <w:pPr>
              <w:jc w:val="left"/>
            </w:pPr>
            <w:r>
              <w:rPr>
                <w:sz w:val="24"/>
              </w:rPr>
              <w:t>银行间买入返售金融资产</w:t>
            </w:r>
          </w:p>
        </w:tc>
        <w:tc>
          <w:tcPr>
            <w:tcW w:w="3260" w:type="dxa"/>
            <w:vAlign w:val="center"/>
          </w:tcPr>
          <w:p w:rsidR="00A46313" w:rsidRDefault="00125795">
            <w:pPr>
              <w:jc w:val="right"/>
            </w:pPr>
            <w:r>
              <w:rPr>
                <w:sz w:val="24"/>
              </w:rPr>
              <w:t>-</w:t>
            </w:r>
          </w:p>
        </w:tc>
        <w:tc>
          <w:tcPr>
            <w:tcW w:w="3371" w:type="dxa"/>
            <w:vAlign w:val="center"/>
          </w:tcPr>
          <w:p w:rsidR="00A46313" w:rsidRDefault="00125795">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2015</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A46313">
        <w:trPr>
          <w:jc w:val="center"/>
        </w:trPr>
        <w:tc>
          <w:tcPr>
            <w:tcW w:w="2381" w:type="dxa"/>
            <w:vAlign w:val="center"/>
          </w:tcPr>
          <w:p w:rsidR="00A46313" w:rsidRDefault="00125795">
            <w:pPr>
              <w:jc w:val="left"/>
            </w:pPr>
            <w:r>
              <w:rPr>
                <w:sz w:val="24"/>
              </w:rPr>
              <w:t>交易所买入返售金融资产</w:t>
            </w:r>
          </w:p>
        </w:tc>
        <w:tc>
          <w:tcPr>
            <w:tcW w:w="3260" w:type="dxa"/>
            <w:vAlign w:val="center"/>
          </w:tcPr>
          <w:p w:rsidR="00A46313" w:rsidRDefault="00125795">
            <w:pPr>
              <w:jc w:val="right"/>
            </w:pPr>
            <w:r>
              <w:rPr>
                <w:sz w:val="24"/>
              </w:rPr>
              <w:t>-</w:t>
            </w:r>
          </w:p>
        </w:tc>
        <w:tc>
          <w:tcPr>
            <w:tcW w:w="3371" w:type="dxa"/>
            <w:vAlign w:val="center"/>
          </w:tcPr>
          <w:p w:rsidR="00A46313" w:rsidRDefault="00125795">
            <w:pPr>
              <w:jc w:val="right"/>
            </w:pPr>
            <w:r>
              <w:rPr>
                <w:sz w:val="24"/>
              </w:rPr>
              <w:t>-</w:t>
            </w:r>
          </w:p>
        </w:tc>
      </w:tr>
      <w:tr w:rsidR="00A46313" w:rsidTr="004211FD">
        <w:trPr>
          <w:jc w:val="center"/>
        </w:trPr>
        <w:tc>
          <w:tcPr>
            <w:tcW w:w="2381" w:type="dxa"/>
            <w:tcBorders>
              <w:bottom w:val="single" w:sz="4" w:space="0" w:color="000000"/>
            </w:tcBorders>
            <w:vAlign w:val="center"/>
          </w:tcPr>
          <w:p w:rsidR="00A46313" w:rsidRDefault="00125795">
            <w:pPr>
              <w:jc w:val="left"/>
            </w:pPr>
            <w:r>
              <w:rPr>
                <w:sz w:val="24"/>
              </w:rPr>
              <w:t>银行间买入返售金融资产</w:t>
            </w:r>
          </w:p>
        </w:tc>
        <w:tc>
          <w:tcPr>
            <w:tcW w:w="3260" w:type="dxa"/>
            <w:tcBorders>
              <w:bottom w:val="single" w:sz="4" w:space="0" w:color="000000"/>
            </w:tcBorders>
            <w:vAlign w:val="center"/>
          </w:tcPr>
          <w:p w:rsidR="00A46313" w:rsidRDefault="00125795">
            <w:pPr>
              <w:jc w:val="right"/>
            </w:pPr>
            <w:r>
              <w:rPr>
                <w:sz w:val="24"/>
              </w:rPr>
              <w:t>125,492,011.48</w:t>
            </w:r>
          </w:p>
        </w:tc>
        <w:tc>
          <w:tcPr>
            <w:tcW w:w="3371" w:type="dxa"/>
            <w:tcBorders>
              <w:bottom w:val="single" w:sz="4" w:space="0" w:color="000000"/>
            </w:tcBorders>
            <w:vAlign w:val="center"/>
          </w:tcPr>
          <w:p w:rsidR="00A46313" w:rsidRDefault="00125795">
            <w:pPr>
              <w:jc w:val="right"/>
            </w:pPr>
            <w:r>
              <w:rPr>
                <w:sz w:val="24"/>
              </w:rPr>
              <w:t>65,491,801.48</w:t>
            </w:r>
          </w:p>
        </w:tc>
      </w:tr>
      <w:tr w:rsidR="00C3004E" w:rsidRPr="00D564C7" w:rsidTr="004211FD">
        <w:trPr>
          <w:trHeight w:val="257"/>
          <w:jc w:val="center"/>
        </w:trPr>
        <w:tc>
          <w:tcPr>
            <w:tcW w:w="2381" w:type="dxa"/>
            <w:tcBorders>
              <w:bottom w:val="single" w:sz="4" w:space="0" w:color="auto"/>
            </w:tcBorders>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lastRenderedPageBreak/>
              <w:t>合计</w:t>
            </w:r>
          </w:p>
        </w:tc>
        <w:tc>
          <w:tcPr>
            <w:tcW w:w="3260" w:type="dxa"/>
            <w:tcBorders>
              <w:bottom w:val="single" w:sz="4" w:space="0" w:color="auto"/>
            </w:tcBorders>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125,492,011.48</w:t>
            </w:r>
          </w:p>
        </w:tc>
        <w:tc>
          <w:tcPr>
            <w:tcW w:w="3371" w:type="dxa"/>
            <w:tcBorders>
              <w:bottom w:val="single" w:sz="4" w:space="0" w:color="auto"/>
            </w:tcBorders>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65,491,801.48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E43350" w:rsidRPr="00D564C7" w:rsidTr="00400137">
        <w:tc>
          <w:tcPr>
            <w:tcW w:w="842" w:type="dxa"/>
            <w:vMerge w:val="restart"/>
            <w:vAlign w:val="center"/>
          </w:tcPr>
          <w:p w:rsidR="00E43350" w:rsidRPr="00FA5074" w:rsidRDefault="00E43350" w:rsidP="00FA5074">
            <w:pPr>
              <w:spacing w:before="29" w:line="288" w:lineRule="auto"/>
              <w:jc w:val="center"/>
              <w:rPr>
                <w:sz w:val="24"/>
              </w:rPr>
            </w:pPr>
            <w:r w:rsidRPr="00FA5074">
              <w:rPr>
                <w:rFonts w:hint="eastAsia"/>
                <w:sz w:val="24"/>
              </w:rPr>
              <w:t>项目</w:t>
            </w:r>
          </w:p>
        </w:tc>
        <w:tc>
          <w:tcPr>
            <w:tcW w:w="8429" w:type="dxa"/>
            <w:gridSpan w:val="7"/>
            <w:vAlign w:val="center"/>
          </w:tcPr>
          <w:p w:rsidR="00E43350" w:rsidRPr="00FA5074" w:rsidRDefault="00E43350" w:rsidP="00FA5074">
            <w:pPr>
              <w:spacing w:line="288" w:lineRule="auto"/>
              <w:jc w:val="center"/>
              <w:rPr>
                <w:sz w:val="24"/>
              </w:rPr>
            </w:pPr>
            <w:r w:rsidRPr="00FA5074">
              <w:rPr>
                <w:rFonts w:hint="eastAsia"/>
                <w:sz w:val="24"/>
              </w:rPr>
              <w:t>本期末</w:t>
            </w:r>
          </w:p>
          <w:p w:rsidR="00E43350" w:rsidRPr="00FA5074" w:rsidRDefault="00E43350" w:rsidP="00FA5074">
            <w:pPr>
              <w:spacing w:before="29" w:line="288" w:lineRule="auto"/>
              <w:jc w:val="center"/>
              <w:rPr>
                <w:sz w:val="24"/>
              </w:rPr>
            </w:pPr>
            <w:r w:rsidRPr="00FA5074">
              <w:rPr>
                <w:rFonts w:hint="eastAsia"/>
                <w:sz w:val="24"/>
              </w:rPr>
              <w:t>2016</w:t>
            </w:r>
            <w:r w:rsidRPr="00FA5074">
              <w:rPr>
                <w:rFonts w:hint="eastAsia"/>
                <w:sz w:val="24"/>
              </w:rPr>
              <w:t>年</w:t>
            </w:r>
            <w:r w:rsidRPr="00FA5074">
              <w:rPr>
                <w:rFonts w:hint="eastAsia"/>
                <w:sz w:val="24"/>
              </w:rPr>
              <w:t>12</w:t>
            </w:r>
            <w:r w:rsidRPr="00FA5074">
              <w:rPr>
                <w:rFonts w:hint="eastAsia"/>
                <w:sz w:val="24"/>
              </w:rPr>
              <w:t>月</w:t>
            </w:r>
            <w:r w:rsidRPr="00FA5074">
              <w:rPr>
                <w:rFonts w:hint="eastAsia"/>
                <w:sz w:val="24"/>
              </w:rPr>
              <w:t>31</w:t>
            </w:r>
            <w:r w:rsidRPr="00FA5074">
              <w:rPr>
                <w:rFonts w:hint="eastAsia"/>
                <w:sz w:val="24"/>
              </w:rPr>
              <w:t>日</w:t>
            </w:r>
          </w:p>
        </w:tc>
      </w:tr>
      <w:tr w:rsidR="00E43350" w:rsidRPr="00D564C7" w:rsidTr="00400137">
        <w:tc>
          <w:tcPr>
            <w:tcW w:w="842" w:type="dxa"/>
            <w:vMerge/>
          </w:tcPr>
          <w:p w:rsidR="00E43350" w:rsidRPr="00FA5074" w:rsidRDefault="00E43350" w:rsidP="00FA5074">
            <w:pPr>
              <w:spacing w:before="29" w:line="288" w:lineRule="auto"/>
              <w:jc w:val="center"/>
              <w:rPr>
                <w:sz w:val="24"/>
              </w:rPr>
            </w:pPr>
          </w:p>
        </w:tc>
        <w:tc>
          <w:tcPr>
            <w:tcW w:w="952"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代码</w:t>
            </w:r>
          </w:p>
        </w:tc>
        <w:tc>
          <w:tcPr>
            <w:tcW w:w="993"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名称</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约定</w:t>
            </w:r>
          </w:p>
          <w:p w:rsidR="00E43350" w:rsidRPr="00FA5074" w:rsidRDefault="00E43350" w:rsidP="00FA5074">
            <w:pPr>
              <w:spacing w:line="288" w:lineRule="auto"/>
              <w:jc w:val="center"/>
              <w:rPr>
                <w:sz w:val="24"/>
              </w:rPr>
            </w:pPr>
            <w:r w:rsidRPr="00FA5074">
              <w:rPr>
                <w:rFonts w:hint="eastAsia"/>
                <w:sz w:val="24"/>
              </w:rPr>
              <w:t>返售日</w:t>
            </w:r>
          </w:p>
        </w:tc>
        <w:tc>
          <w:tcPr>
            <w:tcW w:w="1559" w:type="dxa"/>
            <w:vAlign w:val="center"/>
          </w:tcPr>
          <w:p w:rsidR="00E43350" w:rsidRPr="00FA5074" w:rsidRDefault="00E43350" w:rsidP="00FA5074">
            <w:pPr>
              <w:spacing w:line="288" w:lineRule="auto"/>
              <w:jc w:val="center"/>
              <w:rPr>
                <w:sz w:val="24"/>
              </w:rPr>
            </w:pPr>
            <w:r w:rsidRPr="00FA5074">
              <w:rPr>
                <w:rFonts w:hint="eastAsia"/>
                <w:sz w:val="24"/>
              </w:rPr>
              <w:t>估值单价</w:t>
            </w:r>
          </w:p>
        </w:tc>
        <w:tc>
          <w:tcPr>
            <w:tcW w:w="1417" w:type="dxa"/>
            <w:vAlign w:val="center"/>
          </w:tcPr>
          <w:p w:rsidR="00E43350" w:rsidRPr="00FA5074" w:rsidRDefault="00E43350" w:rsidP="00FA5074">
            <w:pPr>
              <w:spacing w:line="288" w:lineRule="auto"/>
              <w:jc w:val="center"/>
              <w:rPr>
                <w:sz w:val="24"/>
              </w:rPr>
            </w:pPr>
            <w:r w:rsidRPr="00FA5074">
              <w:rPr>
                <w:rFonts w:hint="eastAsia"/>
                <w:sz w:val="24"/>
              </w:rPr>
              <w:t>数量（张）</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估值</w:t>
            </w:r>
          </w:p>
          <w:p w:rsidR="00E43350" w:rsidRPr="00FA5074" w:rsidRDefault="00E43350" w:rsidP="00FA5074">
            <w:pPr>
              <w:spacing w:line="288" w:lineRule="auto"/>
              <w:jc w:val="center"/>
              <w:rPr>
                <w:sz w:val="24"/>
              </w:rPr>
            </w:pPr>
            <w:r w:rsidRPr="00FA5074">
              <w:rPr>
                <w:rFonts w:hint="eastAsia"/>
                <w:sz w:val="24"/>
              </w:rPr>
              <w:t>总额</w:t>
            </w:r>
          </w:p>
        </w:tc>
        <w:tc>
          <w:tcPr>
            <w:tcW w:w="1240" w:type="dxa"/>
            <w:vAlign w:val="center"/>
          </w:tcPr>
          <w:p w:rsidR="00E43350" w:rsidRPr="00FA5074" w:rsidRDefault="00E43350" w:rsidP="00FA5074">
            <w:pPr>
              <w:spacing w:line="288" w:lineRule="auto"/>
              <w:jc w:val="center"/>
              <w:rPr>
                <w:sz w:val="24"/>
              </w:rPr>
            </w:pPr>
            <w:r w:rsidRPr="00FA5074">
              <w:rPr>
                <w:rFonts w:hint="eastAsia"/>
                <w:sz w:val="24"/>
              </w:rPr>
              <w:t>其中：已出售或再质押总额</w:t>
            </w:r>
          </w:p>
        </w:tc>
      </w:tr>
      <w:tr w:rsidR="00E43350" w:rsidRPr="00D564C7" w:rsidTr="00F25D75">
        <w:tc>
          <w:tcPr>
            <w:tcW w:w="842" w:type="dxa"/>
            <w:vAlign w:val="center"/>
          </w:tcPr>
          <w:p w:rsidR="00E43350" w:rsidRPr="00D564C7" w:rsidRDefault="00E43350" w:rsidP="00F25D75">
            <w:pPr>
              <w:spacing w:before="29" w:line="288" w:lineRule="auto"/>
              <w:jc w:val="center"/>
              <w:rPr>
                <w:rFonts w:asciiTheme="minorEastAsia" w:eastAsiaTheme="minorEastAsia" w:hAnsiTheme="minorEastAsia"/>
                <w:szCs w:val="21"/>
              </w:rPr>
            </w:pPr>
            <w:r w:rsidRPr="00F25D75">
              <w:rPr>
                <w:rFonts w:hint="eastAsia"/>
                <w:sz w:val="24"/>
              </w:rPr>
              <w:t>合计</w:t>
            </w:r>
          </w:p>
        </w:tc>
        <w:tc>
          <w:tcPr>
            <w:tcW w:w="952"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417"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134"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240"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r w:rsidR="00E43350" w:rsidRPr="00D564C7" w:rsidTr="00400137">
        <w:tc>
          <w:tcPr>
            <w:tcW w:w="842" w:type="dxa"/>
            <w:vMerge w:val="restart"/>
            <w:vAlign w:val="center"/>
          </w:tcPr>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项目</w:t>
            </w:r>
          </w:p>
        </w:tc>
        <w:tc>
          <w:tcPr>
            <w:tcW w:w="8429" w:type="dxa"/>
            <w:gridSpan w:val="7"/>
            <w:vAlign w:val="center"/>
          </w:tcPr>
          <w:p w:rsidR="00E43350" w:rsidRPr="00554AF3" w:rsidRDefault="00E43350" w:rsidP="00554AF3">
            <w:pPr>
              <w:spacing w:line="288" w:lineRule="auto"/>
              <w:jc w:val="center"/>
              <w:rPr>
                <w:kern w:val="0"/>
                <w:sz w:val="24"/>
              </w:rPr>
            </w:pPr>
            <w:r w:rsidRPr="00554AF3">
              <w:rPr>
                <w:rFonts w:hint="eastAsia"/>
                <w:kern w:val="0"/>
                <w:sz w:val="24"/>
              </w:rPr>
              <w:t>上年度末</w:t>
            </w:r>
          </w:p>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2015</w:t>
            </w:r>
            <w:r w:rsidRPr="00554AF3">
              <w:rPr>
                <w:rFonts w:hint="eastAsia"/>
                <w:kern w:val="0"/>
                <w:sz w:val="24"/>
              </w:rPr>
              <w:t>年</w:t>
            </w:r>
            <w:r w:rsidRPr="00554AF3">
              <w:rPr>
                <w:rFonts w:hint="eastAsia"/>
                <w:kern w:val="0"/>
                <w:sz w:val="24"/>
              </w:rPr>
              <w:t>12</w:t>
            </w:r>
            <w:r w:rsidRPr="00554AF3">
              <w:rPr>
                <w:rFonts w:hint="eastAsia"/>
                <w:kern w:val="0"/>
                <w:sz w:val="24"/>
              </w:rPr>
              <w:t>月</w:t>
            </w:r>
            <w:r w:rsidRPr="00554AF3">
              <w:rPr>
                <w:rFonts w:hint="eastAsia"/>
                <w:kern w:val="0"/>
                <w:sz w:val="24"/>
              </w:rPr>
              <w:t>31</w:t>
            </w:r>
            <w:r w:rsidRPr="00554AF3">
              <w:rPr>
                <w:rFonts w:hint="eastAsia"/>
                <w:kern w:val="0"/>
                <w:sz w:val="24"/>
              </w:rPr>
              <w:t>日</w:t>
            </w:r>
          </w:p>
        </w:tc>
      </w:tr>
      <w:tr w:rsidR="00E43350" w:rsidRPr="00D564C7" w:rsidTr="00400137">
        <w:tc>
          <w:tcPr>
            <w:tcW w:w="842" w:type="dxa"/>
            <w:vMerge/>
          </w:tcPr>
          <w:p w:rsidR="00E43350" w:rsidRPr="00554AF3" w:rsidRDefault="00E43350" w:rsidP="00554AF3">
            <w:pPr>
              <w:autoSpaceDE w:val="0"/>
              <w:autoSpaceDN w:val="0"/>
              <w:adjustRightInd w:val="0"/>
              <w:spacing w:before="29" w:line="288" w:lineRule="auto"/>
              <w:jc w:val="center"/>
              <w:rPr>
                <w:kern w:val="0"/>
                <w:sz w:val="24"/>
              </w:rPr>
            </w:pPr>
          </w:p>
        </w:tc>
        <w:tc>
          <w:tcPr>
            <w:tcW w:w="952"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代码</w:t>
            </w:r>
          </w:p>
        </w:tc>
        <w:tc>
          <w:tcPr>
            <w:tcW w:w="993"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名称</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约定</w:t>
            </w:r>
          </w:p>
          <w:p w:rsidR="00E43350" w:rsidRPr="00554AF3" w:rsidRDefault="00E43350" w:rsidP="00554AF3">
            <w:pPr>
              <w:spacing w:line="288" w:lineRule="auto"/>
              <w:jc w:val="center"/>
              <w:rPr>
                <w:kern w:val="0"/>
                <w:sz w:val="24"/>
              </w:rPr>
            </w:pPr>
            <w:r w:rsidRPr="00554AF3">
              <w:rPr>
                <w:rFonts w:hint="eastAsia"/>
                <w:kern w:val="0"/>
                <w:sz w:val="24"/>
              </w:rPr>
              <w:t>返售日</w:t>
            </w:r>
          </w:p>
        </w:tc>
        <w:tc>
          <w:tcPr>
            <w:tcW w:w="1559"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估值单价</w:t>
            </w:r>
          </w:p>
        </w:tc>
        <w:tc>
          <w:tcPr>
            <w:tcW w:w="1417" w:type="dxa"/>
            <w:vAlign w:val="center"/>
          </w:tcPr>
          <w:p w:rsidR="00E43350" w:rsidRPr="00554AF3" w:rsidRDefault="00E43350" w:rsidP="00554AF3">
            <w:pPr>
              <w:spacing w:line="288" w:lineRule="auto"/>
              <w:jc w:val="center"/>
              <w:rPr>
                <w:kern w:val="0"/>
                <w:sz w:val="24"/>
              </w:rPr>
            </w:pPr>
            <w:r w:rsidRPr="00554AF3">
              <w:rPr>
                <w:rFonts w:hint="eastAsia"/>
                <w:kern w:val="0"/>
                <w:sz w:val="24"/>
              </w:rPr>
              <w:t>数量（张）</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w:t>
            </w:r>
          </w:p>
          <w:p w:rsidR="00E43350" w:rsidRPr="00554AF3" w:rsidRDefault="00E43350" w:rsidP="00554AF3">
            <w:pPr>
              <w:spacing w:line="288" w:lineRule="auto"/>
              <w:jc w:val="center"/>
              <w:rPr>
                <w:kern w:val="0"/>
                <w:sz w:val="24"/>
              </w:rPr>
            </w:pPr>
            <w:r w:rsidRPr="00554AF3">
              <w:rPr>
                <w:rFonts w:hint="eastAsia"/>
                <w:kern w:val="0"/>
                <w:sz w:val="24"/>
              </w:rPr>
              <w:t>总额</w:t>
            </w:r>
          </w:p>
        </w:tc>
        <w:tc>
          <w:tcPr>
            <w:tcW w:w="1240" w:type="dxa"/>
            <w:vAlign w:val="center"/>
          </w:tcPr>
          <w:p w:rsidR="00E43350" w:rsidRPr="00554AF3" w:rsidRDefault="00E43350" w:rsidP="00554AF3">
            <w:pPr>
              <w:spacing w:line="288" w:lineRule="auto"/>
              <w:jc w:val="center"/>
              <w:rPr>
                <w:kern w:val="0"/>
                <w:sz w:val="24"/>
              </w:rPr>
            </w:pPr>
            <w:r w:rsidRPr="00554AF3">
              <w:rPr>
                <w:rFonts w:hint="eastAsia"/>
                <w:kern w:val="0"/>
                <w:sz w:val="24"/>
              </w:rPr>
              <w:t>其中：已出售或再质押总额</w:t>
            </w:r>
          </w:p>
        </w:tc>
      </w:tr>
      <w:tr w:rsidR="00A46313">
        <w:tc>
          <w:tcPr>
            <w:tcW w:w="842" w:type="dxa"/>
            <w:vAlign w:val="center"/>
          </w:tcPr>
          <w:p w:rsidR="00A46313" w:rsidRDefault="00125795">
            <w:pPr>
              <w:jc w:val="center"/>
            </w:pPr>
            <w:r>
              <w:rPr>
                <w:rFonts w:hint="eastAsia"/>
                <w:sz w:val="24"/>
              </w:rPr>
              <w:t>1</w:t>
            </w:r>
          </w:p>
        </w:tc>
        <w:tc>
          <w:tcPr>
            <w:tcW w:w="952" w:type="dxa"/>
            <w:vAlign w:val="center"/>
          </w:tcPr>
          <w:p w:rsidR="00A46313" w:rsidRDefault="00125795">
            <w:pPr>
              <w:jc w:val="center"/>
            </w:pPr>
            <w:r>
              <w:rPr>
                <w:rFonts w:hint="eastAsia"/>
                <w:sz w:val="24"/>
              </w:rPr>
              <w:t>1380101</w:t>
            </w:r>
          </w:p>
        </w:tc>
        <w:tc>
          <w:tcPr>
            <w:tcW w:w="993" w:type="dxa"/>
            <w:vAlign w:val="center"/>
          </w:tcPr>
          <w:p w:rsidR="00A46313" w:rsidRDefault="00125795">
            <w:pPr>
              <w:jc w:val="center"/>
            </w:pPr>
            <w:r>
              <w:rPr>
                <w:rFonts w:hint="eastAsia"/>
                <w:sz w:val="24"/>
              </w:rPr>
              <w:t>13</w:t>
            </w:r>
            <w:r>
              <w:rPr>
                <w:rFonts w:hint="eastAsia"/>
                <w:sz w:val="24"/>
              </w:rPr>
              <w:t>大理旅游债</w:t>
            </w:r>
          </w:p>
        </w:tc>
        <w:tc>
          <w:tcPr>
            <w:tcW w:w="1134" w:type="dxa"/>
            <w:vAlign w:val="center"/>
          </w:tcPr>
          <w:p w:rsidR="00A46313" w:rsidRDefault="00125795">
            <w:pPr>
              <w:jc w:val="center"/>
            </w:pPr>
            <w:r>
              <w:rPr>
                <w:rFonts w:hint="eastAsia"/>
                <w:sz w:val="24"/>
              </w:rPr>
              <w:t>2016-01-04</w:t>
            </w:r>
          </w:p>
        </w:tc>
        <w:tc>
          <w:tcPr>
            <w:tcW w:w="1559" w:type="dxa"/>
            <w:vAlign w:val="center"/>
          </w:tcPr>
          <w:p w:rsidR="00A46313" w:rsidRDefault="00125795">
            <w:pPr>
              <w:jc w:val="center"/>
            </w:pPr>
            <w:r>
              <w:rPr>
                <w:rFonts w:hint="eastAsia"/>
                <w:sz w:val="24"/>
              </w:rPr>
              <w:t>102.77</w:t>
            </w:r>
          </w:p>
        </w:tc>
        <w:tc>
          <w:tcPr>
            <w:tcW w:w="1417" w:type="dxa"/>
            <w:vAlign w:val="center"/>
          </w:tcPr>
          <w:p w:rsidR="00A46313" w:rsidRDefault="00125795">
            <w:pPr>
              <w:jc w:val="center"/>
            </w:pPr>
            <w:r>
              <w:rPr>
                <w:rFonts w:hint="eastAsia"/>
                <w:sz w:val="24"/>
              </w:rPr>
              <w:t>300,000.00</w:t>
            </w:r>
          </w:p>
        </w:tc>
        <w:tc>
          <w:tcPr>
            <w:tcW w:w="1134" w:type="dxa"/>
            <w:vAlign w:val="center"/>
          </w:tcPr>
          <w:p w:rsidR="00A46313" w:rsidRDefault="00125795">
            <w:pPr>
              <w:jc w:val="center"/>
            </w:pPr>
            <w:r>
              <w:rPr>
                <w:rFonts w:hint="eastAsia"/>
                <w:sz w:val="24"/>
              </w:rPr>
              <w:t>30,831,000.00</w:t>
            </w:r>
          </w:p>
        </w:tc>
        <w:tc>
          <w:tcPr>
            <w:tcW w:w="1240" w:type="dxa"/>
            <w:vAlign w:val="center"/>
          </w:tcPr>
          <w:p w:rsidR="00A46313" w:rsidRDefault="00125795">
            <w:pPr>
              <w:jc w:val="center"/>
            </w:pPr>
            <w:r>
              <w:rPr>
                <w:rFonts w:hint="eastAsia"/>
                <w:sz w:val="24"/>
              </w:rPr>
              <w:t>-</w:t>
            </w:r>
          </w:p>
        </w:tc>
      </w:tr>
      <w:tr w:rsidR="00A46313">
        <w:tc>
          <w:tcPr>
            <w:tcW w:w="842" w:type="dxa"/>
            <w:vAlign w:val="center"/>
          </w:tcPr>
          <w:p w:rsidR="00A46313" w:rsidRDefault="00125795">
            <w:pPr>
              <w:jc w:val="center"/>
            </w:pPr>
            <w:r>
              <w:rPr>
                <w:rFonts w:hint="eastAsia"/>
                <w:sz w:val="24"/>
              </w:rPr>
              <w:t>2</w:t>
            </w:r>
          </w:p>
        </w:tc>
        <w:tc>
          <w:tcPr>
            <w:tcW w:w="952" w:type="dxa"/>
            <w:vAlign w:val="center"/>
          </w:tcPr>
          <w:p w:rsidR="00A46313" w:rsidRDefault="00125795">
            <w:pPr>
              <w:jc w:val="center"/>
            </w:pPr>
            <w:r>
              <w:rPr>
                <w:rFonts w:hint="eastAsia"/>
                <w:sz w:val="24"/>
              </w:rPr>
              <w:t>1280157</w:t>
            </w:r>
          </w:p>
        </w:tc>
        <w:tc>
          <w:tcPr>
            <w:tcW w:w="993" w:type="dxa"/>
            <w:vAlign w:val="center"/>
          </w:tcPr>
          <w:p w:rsidR="00A46313" w:rsidRDefault="00125795">
            <w:pPr>
              <w:jc w:val="center"/>
            </w:pPr>
            <w:r>
              <w:rPr>
                <w:rFonts w:hint="eastAsia"/>
                <w:sz w:val="24"/>
              </w:rPr>
              <w:t>12</w:t>
            </w:r>
            <w:r>
              <w:rPr>
                <w:rFonts w:hint="eastAsia"/>
                <w:sz w:val="24"/>
              </w:rPr>
              <w:t>杨农债</w:t>
            </w:r>
          </w:p>
        </w:tc>
        <w:tc>
          <w:tcPr>
            <w:tcW w:w="1134" w:type="dxa"/>
            <w:vAlign w:val="center"/>
          </w:tcPr>
          <w:p w:rsidR="00A46313" w:rsidRDefault="00125795">
            <w:pPr>
              <w:jc w:val="center"/>
            </w:pPr>
            <w:r>
              <w:rPr>
                <w:rFonts w:hint="eastAsia"/>
                <w:sz w:val="24"/>
              </w:rPr>
              <w:t>2016-01-04</w:t>
            </w:r>
          </w:p>
        </w:tc>
        <w:tc>
          <w:tcPr>
            <w:tcW w:w="1559" w:type="dxa"/>
            <w:vAlign w:val="center"/>
          </w:tcPr>
          <w:p w:rsidR="00A46313" w:rsidRDefault="00125795">
            <w:pPr>
              <w:jc w:val="center"/>
            </w:pPr>
            <w:r>
              <w:rPr>
                <w:rFonts w:hint="eastAsia"/>
                <w:sz w:val="24"/>
              </w:rPr>
              <w:t>111.80</w:t>
            </w:r>
          </w:p>
        </w:tc>
        <w:tc>
          <w:tcPr>
            <w:tcW w:w="1417" w:type="dxa"/>
            <w:vAlign w:val="center"/>
          </w:tcPr>
          <w:p w:rsidR="00A46313" w:rsidRDefault="00125795">
            <w:pPr>
              <w:jc w:val="center"/>
            </w:pPr>
            <w:r>
              <w:rPr>
                <w:rFonts w:hint="eastAsia"/>
                <w:sz w:val="24"/>
              </w:rPr>
              <w:t>300,000.00</w:t>
            </w:r>
          </w:p>
        </w:tc>
        <w:tc>
          <w:tcPr>
            <w:tcW w:w="1134" w:type="dxa"/>
            <w:vAlign w:val="center"/>
          </w:tcPr>
          <w:p w:rsidR="00A46313" w:rsidRDefault="00125795">
            <w:pPr>
              <w:jc w:val="center"/>
            </w:pPr>
            <w:r>
              <w:rPr>
                <w:rFonts w:hint="eastAsia"/>
                <w:sz w:val="24"/>
              </w:rPr>
              <w:t>33,540,000.00</w:t>
            </w:r>
          </w:p>
        </w:tc>
        <w:tc>
          <w:tcPr>
            <w:tcW w:w="1240" w:type="dxa"/>
            <w:vAlign w:val="center"/>
          </w:tcPr>
          <w:p w:rsidR="00A46313" w:rsidRDefault="00125795">
            <w:pPr>
              <w:jc w:val="center"/>
            </w:pPr>
            <w:r>
              <w:rPr>
                <w:rFonts w:hint="eastAsia"/>
                <w:sz w:val="24"/>
              </w:rPr>
              <w:t>-</w:t>
            </w:r>
          </w:p>
        </w:tc>
      </w:tr>
      <w:tr w:rsidR="00E43350" w:rsidRPr="00D564C7" w:rsidTr="00554AF3">
        <w:tc>
          <w:tcPr>
            <w:tcW w:w="842" w:type="dxa"/>
            <w:vAlign w:val="center"/>
          </w:tcPr>
          <w:p w:rsidR="00E43350" w:rsidRPr="00D564C7" w:rsidRDefault="00E43350" w:rsidP="00554AF3">
            <w:pPr>
              <w:spacing w:before="29" w:line="288" w:lineRule="auto"/>
              <w:jc w:val="center"/>
              <w:rPr>
                <w:rFonts w:asciiTheme="minorEastAsia" w:eastAsiaTheme="minorEastAsia" w:hAnsiTheme="minorEastAsia"/>
                <w:szCs w:val="21"/>
              </w:rPr>
            </w:pPr>
            <w:r w:rsidRPr="00554AF3">
              <w:rPr>
                <w:rFonts w:hint="eastAsia"/>
                <w:sz w:val="24"/>
              </w:rPr>
              <w:t>合计</w:t>
            </w:r>
          </w:p>
        </w:tc>
        <w:tc>
          <w:tcPr>
            <w:tcW w:w="952"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417"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600,000.00</w:t>
            </w:r>
          </w:p>
        </w:tc>
        <w:tc>
          <w:tcPr>
            <w:tcW w:w="1134"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64,371,000.00</w:t>
            </w:r>
          </w:p>
        </w:tc>
        <w:tc>
          <w:tcPr>
            <w:tcW w:w="1240"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bl>
    <w:p w:rsidR="00447CBA" w:rsidRDefault="00447CBA"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C76545" w:rsidRDefault="003335BB" w:rsidP="004C1637">
            <w:pPr>
              <w:spacing w:before="29" w:line="288" w:lineRule="auto"/>
              <w:jc w:val="right"/>
              <w:rPr>
                <w:color w:val="000000"/>
                <w:kern w:val="0"/>
                <w:sz w:val="24"/>
              </w:rPr>
            </w:pPr>
            <w:r w:rsidRPr="004211FD">
              <w:rPr>
                <w:color w:val="000000"/>
                <w:kern w:val="0"/>
                <w:sz w:val="24"/>
              </w:rPr>
              <w:t>5,516.37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28,833.07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C76545" w:rsidRDefault="001A59F9" w:rsidP="004C1637">
            <w:pPr>
              <w:spacing w:before="29" w:line="288" w:lineRule="auto"/>
              <w:jc w:val="right"/>
              <w:rPr>
                <w:color w:val="000000"/>
                <w:kern w:val="0"/>
                <w:sz w:val="24"/>
              </w:rPr>
            </w:pPr>
            <w:r w:rsidRPr="00C76545">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C76545" w:rsidRDefault="001A59F9" w:rsidP="004C1637">
            <w:pPr>
              <w:spacing w:before="29" w:line="288" w:lineRule="auto"/>
              <w:jc w:val="right"/>
              <w:rPr>
                <w:color w:val="000000"/>
                <w:kern w:val="0"/>
                <w:sz w:val="24"/>
              </w:rPr>
            </w:pPr>
            <w:r w:rsidRPr="00C76545">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C76545" w:rsidRDefault="003335BB" w:rsidP="004C1637">
            <w:pPr>
              <w:spacing w:before="29" w:line="288" w:lineRule="auto"/>
              <w:jc w:val="right"/>
              <w:rPr>
                <w:color w:val="000000"/>
                <w:kern w:val="0"/>
                <w:sz w:val="24"/>
              </w:rPr>
            </w:pPr>
            <w:r w:rsidRPr="004211FD">
              <w:rPr>
                <w:color w:val="000000"/>
                <w:kern w:val="0"/>
                <w:sz w:val="24"/>
              </w:rPr>
              <w:t>779.03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1,395.90</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10,805,473.44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23,123,449.96</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75,889.36</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661.65</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lastRenderedPageBreak/>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789,453.92</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849,103.19</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11,601,222.79</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24,079,333.13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注：本报告期末其他项目列示金额为应收资产支持证券利息收入及权证保证金利息。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15,850.20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39,501.19</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15,850.20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39,501.19</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972.86</w:t>
            </w:r>
          </w:p>
        </w:tc>
      </w:tr>
      <w:tr w:rsidR="00A46313">
        <w:tc>
          <w:tcPr>
            <w:tcW w:w="2715" w:type="dxa"/>
            <w:vAlign w:val="center"/>
          </w:tcPr>
          <w:p w:rsidR="00A46313" w:rsidRDefault="00125795">
            <w:pPr>
              <w:jc w:val="left"/>
            </w:pPr>
            <w:r>
              <w:rPr>
                <w:sz w:val="24"/>
              </w:rPr>
              <w:t>预提信息披露费</w:t>
            </w:r>
          </w:p>
        </w:tc>
        <w:tc>
          <w:tcPr>
            <w:tcW w:w="3150" w:type="dxa"/>
            <w:vAlign w:val="center"/>
          </w:tcPr>
          <w:p w:rsidR="00A46313" w:rsidRDefault="00125795">
            <w:pPr>
              <w:jc w:val="right"/>
            </w:pPr>
            <w:r>
              <w:rPr>
                <w:sz w:val="24"/>
              </w:rPr>
              <w:t>240,000.00</w:t>
            </w:r>
          </w:p>
        </w:tc>
        <w:tc>
          <w:tcPr>
            <w:tcW w:w="3150" w:type="dxa"/>
            <w:vAlign w:val="center"/>
          </w:tcPr>
          <w:p w:rsidR="00A46313" w:rsidRDefault="00125795">
            <w:pPr>
              <w:jc w:val="right"/>
            </w:pPr>
            <w:r>
              <w:rPr>
                <w:sz w:val="24"/>
              </w:rPr>
              <w:t>240,000.00</w:t>
            </w:r>
          </w:p>
        </w:tc>
      </w:tr>
      <w:tr w:rsidR="00A46313">
        <w:tc>
          <w:tcPr>
            <w:tcW w:w="2715" w:type="dxa"/>
            <w:vAlign w:val="center"/>
          </w:tcPr>
          <w:p w:rsidR="00A46313" w:rsidRDefault="00125795">
            <w:pPr>
              <w:jc w:val="left"/>
            </w:pPr>
            <w:r>
              <w:rPr>
                <w:sz w:val="24"/>
              </w:rPr>
              <w:t>预提审计费</w:t>
            </w:r>
          </w:p>
        </w:tc>
        <w:tc>
          <w:tcPr>
            <w:tcW w:w="3150" w:type="dxa"/>
            <w:vAlign w:val="center"/>
          </w:tcPr>
          <w:p w:rsidR="00A46313" w:rsidRDefault="00125795">
            <w:pPr>
              <w:jc w:val="right"/>
            </w:pPr>
            <w:r>
              <w:rPr>
                <w:sz w:val="24"/>
              </w:rPr>
              <w:t>90,000.00</w:t>
            </w:r>
          </w:p>
        </w:tc>
        <w:tc>
          <w:tcPr>
            <w:tcW w:w="3150" w:type="dxa"/>
            <w:vAlign w:val="center"/>
          </w:tcPr>
          <w:p w:rsidR="00A46313" w:rsidRDefault="00125795">
            <w:pPr>
              <w:jc w:val="right"/>
            </w:pPr>
            <w:r>
              <w:rPr>
                <w:sz w:val="24"/>
              </w:rPr>
              <w:t>90,000.00</w:t>
            </w:r>
          </w:p>
        </w:tc>
      </w:tr>
      <w:tr w:rsidR="00A46313">
        <w:tc>
          <w:tcPr>
            <w:tcW w:w="2715" w:type="dxa"/>
            <w:vAlign w:val="center"/>
          </w:tcPr>
          <w:p w:rsidR="00A46313" w:rsidRDefault="00125795">
            <w:pPr>
              <w:jc w:val="left"/>
            </w:pPr>
            <w:r>
              <w:rPr>
                <w:sz w:val="24"/>
              </w:rPr>
              <w:t>其他</w:t>
            </w:r>
          </w:p>
        </w:tc>
        <w:tc>
          <w:tcPr>
            <w:tcW w:w="3150" w:type="dxa"/>
            <w:vAlign w:val="center"/>
          </w:tcPr>
          <w:p w:rsidR="00A46313" w:rsidRDefault="00125795">
            <w:pPr>
              <w:jc w:val="right"/>
            </w:pPr>
            <w:r>
              <w:rPr>
                <w:sz w:val="24"/>
              </w:rPr>
              <w:t>-</w:t>
            </w:r>
          </w:p>
        </w:tc>
        <w:tc>
          <w:tcPr>
            <w:tcW w:w="3150" w:type="dxa"/>
            <w:vAlign w:val="center"/>
          </w:tcPr>
          <w:p w:rsidR="00A46313" w:rsidRDefault="00125795">
            <w:pPr>
              <w:jc w:val="right"/>
            </w:pPr>
            <w:r>
              <w:rPr>
                <w:sz w:val="24"/>
              </w:rPr>
              <w:t>318.75</w:t>
            </w:r>
          </w:p>
        </w:tc>
      </w:tr>
      <w:tr w:rsidR="00A46313">
        <w:tc>
          <w:tcPr>
            <w:tcW w:w="2715" w:type="dxa"/>
            <w:vAlign w:val="center"/>
          </w:tcPr>
          <w:p w:rsidR="00A46313" w:rsidRDefault="00125795">
            <w:pPr>
              <w:jc w:val="left"/>
            </w:pPr>
            <w:r>
              <w:rPr>
                <w:sz w:val="24"/>
              </w:rPr>
              <w:t>应付后端申购费</w:t>
            </w:r>
          </w:p>
        </w:tc>
        <w:tc>
          <w:tcPr>
            <w:tcW w:w="3150" w:type="dxa"/>
            <w:vAlign w:val="center"/>
          </w:tcPr>
          <w:p w:rsidR="00A46313" w:rsidRDefault="00125795">
            <w:pPr>
              <w:jc w:val="right"/>
            </w:pPr>
            <w:r>
              <w:rPr>
                <w:sz w:val="24"/>
              </w:rPr>
              <w:t>-</w:t>
            </w:r>
          </w:p>
        </w:tc>
        <w:tc>
          <w:tcPr>
            <w:tcW w:w="3150" w:type="dxa"/>
            <w:vAlign w:val="center"/>
          </w:tcPr>
          <w:p w:rsidR="00A46313" w:rsidRDefault="00125795">
            <w:pPr>
              <w:jc w:val="right"/>
            </w:pPr>
            <w:r>
              <w:rPr>
                <w:sz w:val="24"/>
              </w:rPr>
              <w:t>177.64</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330,305.45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331,469.25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950,297,029.20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950,297,029.20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447,782,788.45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447,782,788.45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-967,645,512.53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-967,645,512.53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430,434,305.12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430,434,305.12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340,526,749.83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340,526,749.83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364,149,178.78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364,149,178.78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-590,100,777.94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-590,100,777.94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114,575,150.67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114,575,150.67</w:t>
            </w:r>
          </w:p>
        </w:tc>
      </w:tr>
    </w:tbl>
    <w:p w:rsidR="00A46313" w:rsidRDefault="0012579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60,896,751.36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-14,980,413.26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45,916,338.10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19,626,125.59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-26,449,525.85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-6,823,400.26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-18,401,176.01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23,096,017.90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4,694,841.89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20,705,329.99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-10,599,475.23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10,105,854.76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-39,106,506.00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33,695,493.13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-5,411,012.87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-57,598,405.74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-57,598,405.74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4,523,295.20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-18,333,921.21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-13,810,626.01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21,092,101.72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-5,530,904.73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15,561,196.99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4,354,382.91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-6,603,327.07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-2,248,944.16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w:t>
            </w:r>
            <w:r w:rsidRPr="00A23615">
              <w:rPr>
                <w:rFonts w:hint="eastAsia"/>
                <w:color w:val="000000"/>
                <w:sz w:val="24"/>
              </w:rPr>
              <w:lastRenderedPageBreak/>
              <w:t>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lastRenderedPageBreak/>
              <w:t>-8,460,509.43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7,206,162.71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-1,254,346.72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11,562,941.31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-8,005,250.41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3,557,690.90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-20,023,450.74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15,211,413.12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-4,812,037.62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-15,958,895.68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-15,958,895.68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1,027,079.52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-4,928,069.09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-3,900,989.57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426,532.52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379,514.34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127,103.63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272,454.23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8,687.82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69,418.53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562,323.97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721,387.10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27,564,515.95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28,146,347.52</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-581,831.57</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7B74F2" w:rsidP="00F47AFC">
            <w:pPr>
              <w:spacing w:before="29" w:line="288" w:lineRule="auto"/>
              <w:jc w:val="right"/>
              <w:rPr>
                <w:color w:val="000000"/>
                <w:kern w:val="0"/>
                <w:sz w:val="24"/>
              </w:rPr>
            </w:pPr>
            <w:r w:rsidRPr="007B74F2">
              <w:rPr>
                <w:color w:val="000000"/>
                <w:kern w:val="0"/>
                <w:sz w:val="24"/>
              </w:rPr>
              <w:t>4,950,896,766.63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6,111,243,570.50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lastRenderedPageBreak/>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4,896,435,898.65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5,993,525,626.22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7B74F2" w:rsidP="00F47AFC">
            <w:pPr>
              <w:spacing w:before="29" w:line="288" w:lineRule="auto"/>
              <w:jc w:val="right"/>
              <w:rPr>
                <w:color w:val="000000"/>
                <w:kern w:val="0"/>
                <w:sz w:val="24"/>
              </w:rPr>
            </w:pPr>
            <w:r w:rsidRPr="007B74F2">
              <w:rPr>
                <w:color w:val="000000"/>
                <w:kern w:val="0"/>
                <w:sz w:val="24"/>
              </w:rPr>
              <w:t>61,802,783.03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70,538,454.26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-7,341,915.05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47,179,490.02</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138,790,697.10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138,111,156.16</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619,725.61</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59,815.33</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125795" w:rsidRPr="00294E74" w:rsidRDefault="00125795"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-33,052,852.92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5,734,208.84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-32,386,852.92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5,194,208.84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-666,000.00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540,000.00</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lastRenderedPageBreak/>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-33,052,852.92</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5,734,208.84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175,500.27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293,114.66</w:t>
            </w:r>
          </w:p>
        </w:tc>
      </w:tr>
      <w:tr w:rsidR="00A46313">
        <w:tc>
          <w:tcPr>
            <w:tcW w:w="2732" w:type="dxa"/>
            <w:vAlign w:val="center"/>
          </w:tcPr>
          <w:p w:rsidR="00A46313" w:rsidRDefault="00125795">
            <w:pPr>
              <w:jc w:val="left"/>
            </w:pPr>
            <w:r>
              <w:rPr>
                <w:sz w:val="24"/>
              </w:rPr>
              <w:t>基金转换费收入</w:t>
            </w:r>
          </w:p>
        </w:tc>
        <w:tc>
          <w:tcPr>
            <w:tcW w:w="2977" w:type="dxa"/>
            <w:vAlign w:val="center"/>
          </w:tcPr>
          <w:p w:rsidR="00A46313" w:rsidRDefault="00125795">
            <w:pPr>
              <w:jc w:val="right"/>
            </w:pPr>
            <w:r>
              <w:rPr>
                <w:sz w:val="24"/>
              </w:rPr>
              <w:t>10,345.19</w:t>
            </w:r>
          </w:p>
        </w:tc>
        <w:tc>
          <w:tcPr>
            <w:tcW w:w="3289" w:type="dxa"/>
            <w:vAlign w:val="center"/>
          </w:tcPr>
          <w:p w:rsidR="00A46313" w:rsidRDefault="00125795">
            <w:pPr>
              <w:jc w:val="right"/>
            </w:pPr>
            <w:r>
              <w:rPr>
                <w:sz w:val="24"/>
              </w:rPr>
              <w:t>107,437.00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185,845.46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400,551.66</w:t>
            </w:r>
          </w:p>
        </w:tc>
      </w:tr>
    </w:tbl>
    <w:p w:rsidR="00A46313" w:rsidRDefault="0012579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651650" w:rsidRDefault="001A59F9" w:rsidP="004211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651650" w:rsidRDefault="00F64FAD" w:rsidP="004211FD">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651650" w:rsidRDefault="001A59F9" w:rsidP="004211F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651650" w:rsidRDefault="007F35DC" w:rsidP="004211FD">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6,967.95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65,946.15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48,600.00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55,625.00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55,567.95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121,571.15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A46313">
        <w:tc>
          <w:tcPr>
            <w:tcW w:w="2819" w:type="dxa"/>
            <w:vAlign w:val="center"/>
          </w:tcPr>
          <w:p w:rsidR="00A46313" w:rsidRDefault="00125795">
            <w:pPr>
              <w:jc w:val="left"/>
            </w:pPr>
            <w:r>
              <w:rPr>
                <w:sz w:val="24"/>
              </w:rPr>
              <w:t>银行汇划费</w:t>
            </w:r>
          </w:p>
        </w:tc>
        <w:tc>
          <w:tcPr>
            <w:tcW w:w="2856" w:type="dxa"/>
            <w:vAlign w:val="center"/>
          </w:tcPr>
          <w:p w:rsidR="00A46313" w:rsidRDefault="00125795">
            <w:pPr>
              <w:jc w:val="right"/>
            </w:pPr>
            <w:r>
              <w:rPr>
                <w:sz w:val="24"/>
              </w:rPr>
              <w:t>42,279.03</w:t>
            </w:r>
          </w:p>
        </w:tc>
        <w:tc>
          <w:tcPr>
            <w:tcW w:w="3323" w:type="dxa"/>
            <w:vAlign w:val="center"/>
          </w:tcPr>
          <w:p w:rsidR="00A46313" w:rsidRDefault="00125795">
            <w:pPr>
              <w:jc w:val="right"/>
            </w:pPr>
            <w:r>
              <w:rPr>
                <w:sz w:val="24"/>
              </w:rPr>
              <w:t>55,509.08</w:t>
            </w:r>
          </w:p>
        </w:tc>
      </w:tr>
      <w:tr w:rsidR="00A46313">
        <w:tc>
          <w:tcPr>
            <w:tcW w:w="2819" w:type="dxa"/>
            <w:vAlign w:val="center"/>
          </w:tcPr>
          <w:p w:rsidR="00A46313" w:rsidRDefault="00125795">
            <w:pPr>
              <w:jc w:val="left"/>
            </w:pPr>
            <w:r>
              <w:rPr>
                <w:sz w:val="24"/>
              </w:rPr>
              <w:lastRenderedPageBreak/>
              <w:t>债券帐户维护费</w:t>
            </w:r>
          </w:p>
        </w:tc>
        <w:tc>
          <w:tcPr>
            <w:tcW w:w="2856" w:type="dxa"/>
            <w:vAlign w:val="center"/>
          </w:tcPr>
          <w:p w:rsidR="00A46313" w:rsidRDefault="00125795">
            <w:pPr>
              <w:jc w:val="right"/>
            </w:pPr>
            <w:r>
              <w:rPr>
                <w:sz w:val="24"/>
              </w:rPr>
              <w:t>37,200.00</w:t>
            </w:r>
          </w:p>
        </w:tc>
        <w:tc>
          <w:tcPr>
            <w:tcW w:w="3323" w:type="dxa"/>
            <w:vAlign w:val="center"/>
          </w:tcPr>
          <w:p w:rsidR="00A46313" w:rsidRDefault="00125795">
            <w:pPr>
              <w:jc w:val="right"/>
            </w:pPr>
            <w:r>
              <w:rPr>
                <w:sz w:val="24"/>
              </w:rPr>
              <w:t>36,450.00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409,479.03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421,959.08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A46313" w:rsidRDefault="00125795">
      <w:pPr>
        <w:spacing w:before="29" w:line="288" w:lineRule="auto"/>
        <w:ind w:firstLineChars="200" w:firstLine="480"/>
        <w:rPr>
          <w:kern w:val="0"/>
          <w:sz w:val="24"/>
        </w:rPr>
      </w:pPr>
      <w:r>
        <w:rPr>
          <w:kern w:val="0"/>
          <w:sz w:val="24"/>
        </w:rPr>
        <w:t>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w:t>
      </w:r>
      <w:r>
        <w:rPr>
          <w:kern w:val="0"/>
          <w:sz w:val="24"/>
        </w:rPr>
        <w:t>(</w:t>
      </w:r>
      <w:r>
        <w:rPr>
          <w:kern w:val="0"/>
          <w:sz w:val="24"/>
        </w:rPr>
        <w:t>财税</w:t>
      </w:r>
      <w:r>
        <w:rPr>
          <w:kern w:val="0"/>
          <w:sz w:val="24"/>
        </w:rPr>
        <w:t>[2016]140</w:t>
      </w:r>
      <w:r>
        <w:rPr>
          <w:kern w:val="0"/>
          <w:sz w:val="24"/>
        </w:rPr>
        <w:t>号</w:t>
      </w:r>
      <w:r>
        <w:rPr>
          <w:kern w:val="0"/>
          <w:sz w:val="24"/>
        </w:rPr>
        <w:t>)</w:t>
      </w:r>
      <w:r>
        <w:rPr>
          <w:kern w:val="0"/>
          <w:sz w:val="24"/>
        </w:rPr>
        <w:t>，要求资管产品运营过程中发生的增值税应税行为，以资管产品管理人为增值税纳税人，自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日起执行。</w:t>
      </w:r>
    </w:p>
    <w:p w:rsidR="001A59F9" w:rsidRPr="00AB42A1" w:rsidRDefault="001A59F9" w:rsidP="00AB42A1">
      <w:pPr>
        <w:spacing w:before="29" w:line="288" w:lineRule="auto"/>
        <w:ind w:firstLineChars="200" w:firstLine="480"/>
        <w:rPr>
          <w:kern w:val="0"/>
          <w:sz w:val="24"/>
        </w:rPr>
      </w:pPr>
      <w:r w:rsidRPr="00AB42A1">
        <w:rPr>
          <w:kern w:val="0"/>
          <w:sz w:val="24"/>
        </w:rPr>
        <w:t>根据财政部、国家税务总局于</w:t>
      </w:r>
      <w:r w:rsidRPr="00AB42A1">
        <w:rPr>
          <w:kern w:val="0"/>
          <w:sz w:val="24"/>
        </w:rPr>
        <w:t>2017</w:t>
      </w:r>
      <w:r w:rsidRPr="00AB42A1">
        <w:rPr>
          <w:kern w:val="0"/>
          <w:sz w:val="24"/>
        </w:rPr>
        <w:t>年</w:t>
      </w:r>
      <w:r w:rsidRPr="00AB42A1">
        <w:rPr>
          <w:kern w:val="0"/>
          <w:sz w:val="24"/>
        </w:rPr>
        <w:t>1</w:t>
      </w:r>
      <w:r w:rsidRPr="00AB42A1">
        <w:rPr>
          <w:kern w:val="0"/>
          <w:sz w:val="24"/>
        </w:rPr>
        <w:t>月</w:t>
      </w:r>
      <w:r w:rsidRPr="00AB42A1">
        <w:rPr>
          <w:kern w:val="0"/>
          <w:sz w:val="24"/>
        </w:rPr>
        <w:t>6</w:t>
      </w:r>
      <w:r w:rsidRPr="00AB42A1">
        <w:rPr>
          <w:kern w:val="0"/>
          <w:sz w:val="24"/>
        </w:rPr>
        <w:t>日颁布的《关于资管产品增值税政策有关问题的补充通知》</w:t>
      </w:r>
      <w:r w:rsidRPr="00AB42A1">
        <w:rPr>
          <w:kern w:val="0"/>
          <w:sz w:val="24"/>
        </w:rPr>
        <w:t>(</w:t>
      </w:r>
      <w:r w:rsidRPr="00AB42A1">
        <w:rPr>
          <w:kern w:val="0"/>
          <w:sz w:val="24"/>
        </w:rPr>
        <w:t>财税</w:t>
      </w:r>
      <w:r w:rsidRPr="00AB42A1">
        <w:rPr>
          <w:kern w:val="0"/>
          <w:sz w:val="24"/>
        </w:rPr>
        <w:t>[2017]2</w:t>
      </w:r>
      <w:r w:rsidRPr="00AB42A1">
        <w:rPr>
          <w:kern w:val="0"/>
          <w:sz w:val="24"/>
        </w:rPr>
        <w:t>号</w:t>
      </w:r>
      <w:r w:rsidRPr="00AB42A1">
        <w:rPr>
          <w:kern w:val="0"/>
          <w:sz w:val="24"/>
        </w:rPr>
        <w:t>)</w:t>
      </w:r>
      <w:r w:rsidRPr="00AB42A1">
        <w:rPr>
          <w:kern w:val="0"/>
          <w:sz w:val="24"/>
        </w:rPr>
        <w:t>，</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w:t>
      </w:r>
      <w:r w:rsidRPr="00AB42A1">
        <w:rPr>
          <w:kern w:val="0"/>
          <w:sz w:val="24"/>
        </w:rPr>
        <w:t>(</w:t>
      </w:r>
      <w:r w:rsidRPr="00AB42A1">
        <w:rPr>
          <w:kern w:val="0"/>
          <w:sz w:val="24"/>
        </w:rPr>
        <w:t>含</w:t>
      </w:r>
      <w:r w:rsidRPr="00AB42A1">
        <w:rPr>
          <w:kern w:val="0"/>
          <w:sz w:val="24"/>
        </w:rPr>
        <w:t>)</w:t>
      </w:r>
      <w:r w:rsidRPr="00AB42A1">
        <w:rPr>
          <w:kern w:val="0"/>
          <w:sz w:val="24"/>
        </w:rPr>
        <w:t>以后，资管产品运营过程中发生的增值税应税行为，以资管产品管理人为增值税纳税人，按照现行规定缴纳增值税。对资管产品在</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A46313">
        <w:tc>
          <w:tcPr>
            <w:tcW w:w="5220" w:type="dxa"/>
            <w:vAlign w:val="center"/>
          </w:tcPr>
          <w:p w:rsidR="00A46313" w:rsidRDefault="00125795">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A46313" w:rsidRDefault="00125795">
            <w:pPr>
              <w:jc w:val="center"/>
            </w:pPr>
            <w:r>
              <w:rPr>
                <w:sz w:val="24"/>
              </w:rPr>
              <w:t>基金管理人、基金销售机构</w:t>
            </w:r>
          </w:p>
        </w:tc>
      </w:tr>
      <w:tr w:rsidR="00A46313">
        <w:tc>
          <w:tcPr>
            <w:tcW w:w="5220" w:type="dxa"/>
            <w:vAlign w:val="center"/>
          </w:tcPr>
          <w:p w:rsidR="00A46313" w:rsidRDefault="00125795">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A46313" w:rsidRDefault="00125795">
            <w:pPr>
              <w:jc w:val="center"/>
            </w:pPr>
            <w:r>
              <w:rPr>
                <w:sz w:val="24"/>
              </w:rPr>
              <w:t>基金托管人、基金销售机构</w:t>
            </w:r>
          </w:p>
        </w:tc>
      </w:tr>
      <w:tr w:rsidR="00A46313">
        <w:tc>
          <w:tcPr>
            <w:tcW w:w="5220" w:type="dxa"/>
            <w:vAlign w:val="center"/>
          </w:tcPr>
          <w:p w:rsidR="00A46313" w:rsidRDefault="00125795">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A46313" w:rsidRDefault="00125795">
            <w:pPr>
              <w:jc w:val="center"/>
            </w:pPr>
            <w:r>
              <w:rPr>
                <w:sz w:val="24"/>
              </w:rPr>
              <w:t>基金管理人的股东、基金销售机构</w:t>
            </w:r>
          </w:p>
        </w:tc>
      </w:tr>
      <w:tr w:rsidR="00A46313">
        <w:tc>
          <w:tcPr>
            <w:tcW w:w="5220" w:type="dxa"/>
            <w:vAlign w:val="center"/>
          </w:tcPr>
          <w:p w:rsidR="00A46313" w:rsidRDefault="00125795">
            <w:pPr>
              <w:jc w:val="left"/>
            </w:pPr>
            <w:r>
              <w:rPr>
                <w:sz w:val="24"/>
              </w:rPr>
              <w:t>施罗德投资管理有限公司</w:t>
            </w:r>
          </w:p>
        </w:tc>
        <w:tc>
          <w:tcPr>
            <w:tcW w:w="3780" w:type="dxa"/>
            <w:vAlign w:val="center"/>
          </w:tcPr>
          <w:p w:rsidR="00A46313" w:rsidRDefault="00125795">
            <w:pPr>
              <w:jc w:val="center"/>
            </w:pPr>
            <w:r>
              <w:rPr>
                <w:sz w:val="24"/>
              </w:rPr>
              <w:t>基金管理人的股东</w:t>
            </w:r>
          </w:p>
        </w:tc>
      </w:tr>
      <w:tr w:rsidR="00A46313">
        <w:tc>
          <w:tcPr>
            <w:tcW w:w="5220" w:type="dxa"/>
            <w:vAlign w:val="center"/>
          </w:tcPr>
          <w:p w:rsidR="00A46313" w:rsidRDefault="00125795">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A46313" w:rsidRDefault="00125795">
            <w:pPr>
              <w:jc w:val="center"/>
            </w:pPr>
            <w:r>
              <w:rPr>
                <w:sz w:val="24"/>
              </w:rPr>
              <w:t>基金管理人的股东</w:t>
            </w:r>
          </w:p>
        </w:tc>
      </w:tr>
      <w:tr w:rsidR="00A46313">
        <w:tc>
          <w:tcPr>
            <w:tcW w:w="5220" w:type="dxa"/>
            <w:vAlign w:val="center"/>
          </w:tcPr>
          <w:p w:rsidR="00A46313" w:rsidRDefault="00125795">
            <w:pPr>
              <w:jc w:val="left"/>
            </w:pPr>
            <w:r>
              <w:rPr>
                <w:sz w:val="24"/>
              </w:rPr>
              <w:t>交银施罗德资产管理有限公司</w:t>
            </w:r>
          </w:p>
        </w:tc>
        <w:tc>
          <w:tcPr>
            <w:tcW w:w="3780" w:type="dxa"/>
            <w:vAlign w:val="center"/>
          </w:tcPr>
          <w:p w:rsidR="00A46313" w:rsidRDefault="00125795">
            <w:pPr>
              <w:jc w:val="center"/>
            </w:pPr>
            <w:r>
              <w:rPr>
                <w:sz w:val="24"/>
              </w:rPr>
              <w:t>基金管理人的子公司</w:t>
            </w:r>
          </w:p>
        </w:tc>
      </w:tr>
      <w:tr w:rsidR="00A46313">
        <w:tc>
          <w:tcPr>
            <w:tcW w:w="5220" w:type="dxa"/>
            <w:vAlign w:val="center"/>
          </w:tcPr>
          <w:p w:rsidR="00A46313" w:rsidRDefault="00125795">
            <w:pPr>
              <w:jc w:val="left"/>
            </w:pPr>
            <w:r>
              <w:rPr>
                <w:sz w:val="24"/>
              </w:rPr>
              <w:t>上海直源投资管理有限公司</w:t>
            </w:r>
          </w:p>
        </w:tc>
        <w:tc>
          <w:tcPr>
            <w:tcW w:w="3780" w:type="dxa"/>
            <w:vAlign w:val="center"/>
          </w:tcPr>
          <w:p w:rsidR="00A46313" w:rsidRDefault="00125795">
            <w:pPr>
              <w:jc w:val="center"/>
            </w:pPr>
            <w:r>
              <w:rPr>
                <w:sz w:val="24"/>
              </w:rPr>
              <w:t>受基金管理人控制的公司</w:t>
            </w:r>
          </w:p>
        </w:tc>
      </w:tr>
      <w:tr w:rsidR="00A46313">
        <w:tc>
          <w:tcPr>
            <w:tcW w:w="5220" w:type="dxa"/>
            <w:vAlign w:val="center"/>
          </w:tcPr>
          <w:p w:rsidR="00A46313" w:rsidRDefault="00125795">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A46313" w:rsidRDefault="00125795">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211FD">
        <w:tc>
          <w:tcPr>
            <w:tcW w:w="3686" w:type="dxa"/>
            <w:tcBorders>
              <w:bottom w:val="single" w:sz="4" w:space="0" w:color="000000"/>
            </w:tcBorders>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tcBorders>
              <w:bottom w:val="single" w:sz="4" w:space="0" w:color="000000"/>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6,107,634.57</w:t>
            </w:r>
          </w:p>
        </w:tc>
        <w:tc>
          <w:tcPr>
            <w:tcW w:w="2657" w:type="dxa"/>
            <w:tcBorders>
              <w:bottom w:val="single" w:sz="4" w:space="0" w:color="000000"/>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8,721,657.68</w:t>
            </w:r>
          </w:p>
        </w:tc>
      </w:tr>
      <w:tr w:rsidR="001A59F9" w:rsidRPr="00D564C7" w:rsidTr="004211FD">
        <w:tc>
          <w:tcPr>
            <w:tcW w:w="3686" w:type="dxa"/>
            <w:tcBorders>
              <w:bottom w:val="single" w:sz="4" w:space="0" w:color="auto"/>
            </w:tcBorders>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490,317.31</w:t>
            </w:r>
          </w:p>
        </w:tc>
        <w:tc>
          <w:tcPr>
            <w:tcW w:w="2657"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713,479.30</w:t>
            </w:r>
          </w:p>
        </w:tc>
      </w:tr>
    </w:tbl>
    <w:p w:rsidR="00A46313" w:rsidRDefault="0012579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2,035,878.20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2,907,219.22</w:t>
            </w:r>
          </w:p>
        </w:tc>
      </w:tr>
    </w:tbl>
    <w:p w:rsidR="00A46313" w:rsidRDefault="0012579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46313">
        <w:tc>
          <w:tcPr>
            <w:tcW w:w="2045" w:type="dxa"/>
            <w:vAlign w:val="center"/>
          </w:tcPr>
          <w:p w:rsidR="00A46313" w:rsidRDefault="00125795">
            <w:pPr>
              <w:jc w:val="left"/>
            </w:pPr>
            <w:r>
              <w:rPr>
                <w:sz w:val="24"/>
              </w:rPr>
              <w:t>交通银行</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280,572.20</w:t>
            </w:r>
          </w:p>
        </w:tc>
        <w:tc>
          <w:tcPr>
            <w:tcW w:w="1889" w:type="dxa"/>
            <w:vAlign w:val="center"/>
          </w:tcPr>
          <w:p w:rsidR="00A46313" w:rsidRDefault="00125795" w:rsidP="00A8371F">
            <w:pPr>
              <w:jc w:val="right"/>
            </w:pPr>
            <w:r>
              <w:rPr>
                <w:sz w:val="24"/>
              </w:rPr>
              <w:t>280,572.20</w:t>
            </w:r>
          </w:p>
        </w:tc>
      </w:tr>
      <w:tr w:rsidR="00A46313">
        <w:tc>
          <w:tcPr>
            <w:tcW w:w="2045" w:type="dxa"/>
            <w:vAlign w:val="center"/>
          </w:tcPr>
          <w:p w:rsidR="00A46313" w:rsidRDefault="00125795">
            <w:pPr>
              <w:jc w:val="left"/>
            </w:pPr>
            <w:r>
              <w:rPr>
                <w:sz w:val="24"/>
              </w:rPr>
              <w:t>中国建设银行</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66,017.90</w:t>
            </w:r>
          </w:p>
        </w:tc>
        <w:tc>
          <w:tcPr>
            <w:tcW w:w="1889" w:type="dxa"/>
            <w:vAlign w:val="center"/>
          </w:tcPr>
          <w:p w:rsidR="00A46313" w:rsidRDefault="00125795" w:rsidP="00A8371F">
            <w:pPr>
              <w:jc w:val="right"/>
            </w:pPr>
            <w:r>
              <w:rPr>
                <w:sz w:val="24"/>
              </w:rPr>
              <w:t>66,017.90</w:t>
            </w:r>
          </w:p>
        </w:tc>
      </w:tr>
      <w:tr w:rsidR="00A46313">
        <w:tc>
          <w:tcPr>
            <w:tcW w:w="2045" w:type="dxa"/>
            <w:vAlign w:val="center"/>
          </w:tcPr>
          <w:p w:rsidR="00A46313" w:rsidRDefault="00125795">
            <w:pPr>
              <w:jc w:val="left"/>
            </w:pPr>
            <w:r>
              <w:rPr>
                <w:sz w:val="24"/>
              </w:rPr>
              <w:t>交银施罗德基金公司</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291,028.07</w:t>
            </w:r>
          </w:p>
        </w:tc>
        <w:tc>
          <w:tcPr>
            <w:tcW w:w="1889" w:type="dxa"/>
            <w:vAlign w:val="center"/>
          </w:tcPr>
          <w:p w:rsidR="00A46313" w:rsidRDefault="00125795" w:rsidP="00A8371F">
            <w:pPr>
              <w:jc w:val="right"/>
            </w:pPr>
            <w:r>
              <w:rPr>
                <w:sz w:val="24"/>
              </w:rPr>
              <w:t>291,028.07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w:t>
            </w:r>
          </w:p>
        </w:tc>
        <w:tc>
          <w:tcPr>
            <w:tcW w:w="2694"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637,618.17</w:t>
            </w:r>
          </w:p>
        </w:tc>
        <w:tc>
          <w:tcPr>
            <w:tcW w:w="1948"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637,618.17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w:t>
            </w:r>
            <w:r w:rsidRPr="00251201">
              <w:rPr>
                <w:color w:val="000000"/>
                <w:sz w:val="24"/>
              </w:rPr>
              <w:lastRenderedPageBreak/>
              <w:t>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46313">
        <w:tc>
          <w:tcPr>
            <w:tcW w:w="2045" w:type="dxa"/>
            <w:vAlign w:val="center"/>
          </w:tcPr>
          <w:p w:rsidR="00A46313" w:rsidRDefault="00125795">
            <w:pPr>
              <w:jc w:val="left"/>
            </w:pPr>
            <w:r>
              <w:rPr>
                <w:sz w:val="24"/>
              </w:rPr>
              <w:t>交通银行</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328,283.95</w:t>
            </w:r>
          </w:p>
        </w:tc>
        <w:tc>
          <w:tcPr>
            <w:tcW w:w="1889" w:type="dxa"/>
            <w:vAlign w:val="center"/>
          </w:tcPr>
          <w:p w:rsidR="00A46313" w:rsidRDefault="00125795" w:rsidP="00A8371F">
            <w:pPr>
              <w:jc w:val="right"/>
            </w:pPr>
            <w:r>
              <w:rPr>
                <w:sz w:val="24"/>
              </w:rPr>
              <w:t>328,283.95</w:t>
            </w:r>
          </w:p>
        </w:tc>
      </w:tr>
      <w:tr w:rsidR="00A46313">
        <w:tc>
          <w:tcPr>
            <w:tcW w:w="2045" w:type="dxa"/>
            <w:vAlign w:val="center"/>
          </w:tcPr>
          <w:p w:rsidR="00A46313" w:rsidRDefault="00125795">
            <w:pPr>
              <w:jc w:val="left"/>
            </w:pPr>
            <w:r>
              <w:rPr>
                <w:sz w:val="24"/>
              </w:rPr>
              <w:t>中国建设银行</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98,975.23</w:t>
            </w:r>
          </w:p>
        </w:tc>
        <w:tc>
          <w:tcPr>
            <w:tcW w:w="1889" w:type="dxa"/>
            <w:vAlign w:val="center"/>
          </w:tcPr>
          <w:p w:rsidR="00A46313" w:rsidRDefault="00125795" w:rsidP="00A8371F">
            <w:pPr>
              <w:jc w:val="right"/>
            </w:pPr>
            <w:r>
              <w:rPr>
                <w:sz w:val="24"/>
              </w:rPr>
              <w:t>98,975.23</w:t>
            </w:r>
          </w:p>
        </w:tc>
      </w:tr>
      <w:tr w:rsidR="00A46313">
        <w:tc>
          <w:tcPr>
            <w:tcW w:w="2045" w:type="dxa"/>
            <w:vAlign w:val="center"/>
          </w:tcPr>
          <w:p w:rsidR="00A46313" w:rsidRDefault="00125795">
            <w:pPr>
              <w:jc w:val="left"/>
            </w:pPr>
            <w:r>
              <w:rPr>
                <w:sz w:val="24"/>
              </w:rPr>
              <w:t>交银施罗德基金公司</w:t>
            </w:r>
          </w:p>
        </w:tc>
        <w:tc>
          <w:tcPr>
            <w:tcW w:w="2455" w:type="dxa"/>
            <w:vAlign w:val="center"/>
          </w:tcPr>
          <w:p w:rsidR="00A46313" w:rsidRDefault="00125795" w:rsidP="00A8371F">
            <w:pPr>
              <w:jc w:val="right"/>
            </w:pPr>
            <w:r>
              <w:rPr>
                <w:sz w:val="24"/>
              </w:rPr>
              <w:t>-</w:t>
            </w:r>
          </w:p>
        </w:tc>
        <w:tc>
          <w:tcPr>
            <w:tcW w:w="2609" w:type="dxa"/>
            <w:vAlign w:val="center"/>
          </w:tcPr>
          <w:p w:rsidR="00A46313" w:rsidRDefault="00125795" w:rsidP="00A8371F">
            <w:pPr>
              <w:jc w:val="right"/>
            </w:pPr>
            <w:r>
              <w:rPr>
                <w:sz w:val="24"/>
              </w:rPr>
              <w:t>707,448.14</w:t>
            </w:r>
          </w:p>
        </w:tc>
        <w:tc>
          <w:tcPr>
            <w:tcW w:w="1889" w:type="dxa"/>
            <w:vAlign w:val="center"/>
          </w:tcPr>
          <w:p w:rsidR="00A46313" w:rsidRDefault="00125795" w:rsidP="00A8371F">
            <w:pPr>
              <w:jc w:val="right"/>
            </w:pPr>
            <w:r>
              <w:rPr>
                <w:sz w:val="24"/>
              </w:rPr>
              <w:t>707,448.14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w:t>
            </w:r>
          </w:p>
        </w:tc>
        <w:tc>
          <w:tcPr>
            <w:tcW w:w="2694"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1,134,707.32</w:t>
            </w:r>
          </w:p>
        </w:tc>
        <w:tc>
          <w:tcPr>
            <w:tcW w:w="1948" w:type="dxa"/>
            <w:vAlign w:val="center"/>
          </w:tcPr>
          <w:p w:rsidR="00EF55B7" w:rsidRPr="00C2276D" w:rsidRDefault="00EF55B7" w:rsidP="00A8371F">
            <w:pPr>
              <w:spacing w:before="29" w:line="288" w:lineRule="auto"/>
              <w:jc w:val="right"/>
              <w:rPr>
                <w:color w:val="000000"/>
                <w:kern w:val="0"/>
                <w:sz w:val="24"/>
              </w:rPr>
            </w:pPr>
            <w:r w:rsidRPr="00C2276D">
              <w:rPr>
                <w:color w:val="000000"/>
                <w:kern w:val="0"/>
                <w:sz w:val="24"/>
              </w:rPr>
              <w:t>1,134,707.32</w:t>
            </w:r>
          </w:p>
        </w:tc>
      </w:tr>
    </w:tbl>
    <w:p w:rsidR="00A46313" w:rsidRDefault="0012579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A46313">
        <w:tc>
          <w:tcPr>
            <w:tcW w:w="1422" w:type="dxa"/>
            <w:vAlign w:val="center"/>
          </w:tcPr>
          <w:p w:rsidR="00A46313" w:rsidRDefault="00125795">
            <w:pPr>
              <w:jc w:val="left"/>
            </w:pPr>
            <w:r>
              <w:rPr>
                <w:bCs/>
                <w:color w:val="000000"/>
                <w:sz w:val="24"/>
              </w:rPr>
              <w:t>中国建设银行</w:t>
            </w:r>
          </w:p>
        </w:tc>
        <w:tc>
          <w:tcPr>
            <w:tcW w:w="1818" w:type="dxa"/>
            <w:vAlign w:val="center"/>
          </w:tcPr>
          <w:p w:rsidR="00A46313" w:rsidRDefault="00125795">
            <w:pPr>
              <w:jc w:val="right"/>
            </w:pPr>
            <w:r>
              <w:rPr>
                <w:bCs/>
                <w:color w:val="000000"/>
                <w:sz w:val="24"/>
              </w:rPr>
              <w:t>20,012,528.70</w:t>
            </w:r>
          </w:p>
        </w:tc>
        <w:tc>
          <w:tcPr>
            <w:tcW w:w="1260" w:type="dxa"/>
            <w:vAlign w:val="center"/>
          </w:tcPr>
          <w:p w:rsidR="00A46313" w:rsidRDefault="00125795">
            <w:pPr>
              <w:jc w:val="right"/>
            </w:pPr>
            <w:r>
              <w:rPr>
                <w:bCs/>
                <w:color w:val="000000"/>
                <w:sz w:val="24"/>
              </w:rPr>
              <w:t>-</w:t>
            </w:r>
          </w:p>
        </w:tc>
        <w:tc>
          <w:tcPr>
            <w:tcW w:w="1260" w:type="dxa"/>
            <w:vAlign w:val="center"/>
          </w:tcPr>
          <w:p w:rsidR="00A46313" w:rsidRDefault="00125795">
            <w:pPr>
              <w:jc w:val="right"/>
            </w:pPr>
            <w:r>
              <w:rPr>
                <w:bCs/>
                <w:color w:val="000000"/>
                <w:sz w:val="24"/>
              </w:rPr>
              <w:t>-</w:t>
            </w:r>
          </w:p>
        </w:tc>
        <w:tc>
          <w:tcPr>
            <w:tcW w:w="1080" w:type="dxa"/>
            <w:vAlign w:val="center"/>
          </w:tcPr>
          <w:p w:rsidR="00A46313" w:rsidRDefault="00125795">
            <w:pPr>
              <w:jc w:val="right"/>
            </w:pPr>
            <w:r>
              <w:rPr>
                <w:bCs/>
                <w:color w:val="000000"/>
                <w:sz w:val="24"/>
              </w:rPr>
              <w:t>-</w:t>
            </w:r>
          </w:p>
        </w:tc>
        <w:tc>
          <w:tcPr>
            <w:tcW w:w="1512" w:type="dxa"/>
            <w:vAlign w:val="center"/>
          </w:tcPr>
          <w:p w:rsidR="00A46313" w:rsidRDefault="00125795">
            <w:pPr>
              <w:jc w:val="right"/>
            </w:pPr>
            <w:r>
              <w:rPr>
                <w:bCs/>
                <w:color w:val="000000"/>
                <w:sz w:val="24"/>
              </w:rPr>
              <w:t>-</w:t>
            </w:r>
          </w:p>
        </w:tc>
        <w:tc>
          <w:tcPr>
            <w:tcW w:w="1083" w:type="dxa"/>
            <w:vAlign w:val="center"/>
          </w:tcPr>
          <w:p w:rsidR="00A46313" w:rsidRDefault="00125795">
            <w:pPr>
              <w:jc w:val="right"/>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A46313">
        <w:tc>
          <w:tcPr>
            <w:tcW w:w="1422" w:type="dxa"/>
            <w:vAlign w:val="center"/>
          </w:tcPr>
          <w:p w:rsidR="00A46313" w:rsidRDefault="00125795">
            <w:pPr>
              <w:jc w:val="left"/>
            </w:pPr>
            <w:r>
              <w:rPr>
                <w:bCs/>
                <w:color w:val="000000"/>
                <w:sz w:val="24"/>
              </w:rPr>
              <w:t>中国建设银行</w:t>
            </w:r>
          </w:p>
        </w:tc>
        <w:tc>
          <w:tcPr>
            <w:tcW w:w="1818" w:type="dxa"/>
            <w:vAlign w:val="center"/>
          </w:tcPr>
          <w:p w:rsidR="00A46313" w:rsidRDefault="00125795">
            <w:pPr>
              <w:jc w:val="right"/>
            </w:pPr>
            <w:r>
              <w:rPr>
                <w:bCs/>
                <w:color w:val="000000"/>
                <w:sz w:val="24"/>
              </w:rPr>
              <w:t>-</w:t>
            </w:r>
          </w:p>
        </w:tc>
        <w:tc>
          <w:tcPr>
            <w:tcW w:w="1260" w:type="dxa"/>
            <w:vAlign w:val="center"/>
          </w:tcPr>
          <w:p w:rsidR="00A46313" w:rsidRDefault="00125795">
            <w:pPr>
              <w:jc w:val="right"/>
            </w:pPr>
            <w:r>
              <w:rPr>
                <w:bCs/>
                <w:color w:val="000000"/>
                <w:sz w:val="24"/>
              </w:rPr>
              <w:t>121,522,319.84</w:t>
            </w:r>
          </w:p>
        </w:tc>
        <w:tc>
          <w:tcPr>
            <w:tcW w:w="1260" w:type="dxa"/>
            <w:vAlign w:val="center"/>
          </w:tcPr>
          <w:p w:rsidR="00A46313" w:rsidRDefault="00125795">
            <w:pPr>
              <w:jc w:val="right"/>
            </w:pPr>
            <w:r>
              <w:rPr>
                <w:bCs/>
                <w:color w:val="000000"/>
                <w:sz w:val="24"/>
              </w:rPr>
              <w:t>-</w:t>
            </w:r>
          </w:p>
        </w:tc>
        <w:tc>
          <w:tcPr>
            <w:tcW w:w="1080" w:type="dxa"/>
            <w:vAlign w:val="center"/>
          </w:tcPr>
          <w:p w:rsidR="00A46313" w:rsidRDefault="00125795">
            <w:pPr>
              <w:jc w:val="right"/>
            </w:pPr>
            <w:r>
              <w:rPr>
                <w:bCs/>
                <w:color w:val="000000"/>
                <w:sz w:val="24"/>
              </w:rPr>
              <w:t>-</w:t>
            </w:r>
          </w:p>
        </w:tc>
        <w:tc>
          <w:tcPr>
            <w:tcW w:w="1512" w:type="dxa"/>
            <w:vAlign w:val="center"/>
          </w:tcPr>
          <w:p w:rsidR="00A46313" w:rsidRDefault="00125795">
            <w:pPr>
              <w:jc w:val="right"/>
            </w:pPr>
            <w:r>
              <w:rPr>
                <w:bCs/>
                <w:color w:val="000000"/>
                <w:sz w:val="24"/>
              </w:rPr>
              <w:t>747,700,000.00</w:t>
            </w:r>
          </w:p>
        </w:tc>
        <w:tc>
          <w:tcPr>
            <w:tcW w:w="1083" w:type="dxa"/>
            <w:vAlign w:val="center"/>
          </w:tcPr>
          <w:p w:rsidR="00A46313" w:rsidRDefault="00125795">
            <w:pPr>
              <w:jc w:val="right"/>
            </w:pPr>
            <w:r>
              <w:rPr>
                <w:bCs/>
                <w:color w:val="000000"/>
                <w:sz w:val="24"/>
              </w:rPr>
              <w:t>203,665.20</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52133" w:rsidTr="00C915A6">
        <w:tc>
          <w:tcPr>
            <w:tcW w:w="2268" w:type="dxa"/>
            <w:vMerge w:val="restart"/>
            <w:vAlign w:val="center"/>
          </w:tcPr>
          <w:p w:rsidR="00360905" w:rsidRPr="004211FD" w:rsidRDefault="003335BB" w:rsidP="000C342B">
            <w:pPr>
              <w:widowControl/>
              <w:autoSpaceDE w:val="0"/>
              <w:autoSpaceDN w:val="0"/>
              <w:spacing w:before="29" w:line="288" w:lineRule="auto"/>
              <w:ind w:right="-15"/>
              <w:jc w:val="center"/>
              <w:textAlignment w:val="bottom"/>
              <w:rPr>
                <w:color w:val="000000"/>
                <w:sz w:val="24"/>
              </w:rPr>
            </w:pPr>
            <w:r w:rsidRPr="004211FD">
              <w:rPr>
                <w:rFonts w:hint="eastAsia"/>
                <w:color w:val="000000"/>
                <w:sz w:val="24"/>
              </w:rPr>
              <w:t>关联方名称</w:t>
            </w:r>
          </w:p>
        </w:tc>
        <w:tc>
          <w:tcPr>
            <w:tcW w:w="3366" w:type="dxa"/>
            <w:gridSpan w:val="2"/>
          </w:tcPr>
          <w:p w:rsidR="00360905" w:rsidRPr="004211FD" w:rsidRDefault="003335BB" w:rsidP="000C342B">
            <w:pPr>
              <w:widowControl/>
              <w:autoSpaceDE w:val="0"/>
              <w:autoSpaceDN w:val="0"/>
              <w:spacing w:before="29" w:line="288" w:lineRule="auto"/>
              <w:ind w:right="-15"/>
              <w:jc w:val="center"/>
              <w:textAlignment w:val="bottom"/>
              <w:rPr>
                <w:color w:val="000000"/>
                <w:sz w:val="24"/>
              </w:rPr>
            </w:pPr>
            <w:r w:rsidRPr="004211FD">
              <w:rPr>
                <w:rFonts w:hint="eastAsia"/>
                <w:color w:val="000000"/>
                <w:sz w:val="24"/>
              </w:rPr>
              <w:t>本期</w:t>
            </w:r>
          </w:p>
          <w:p w:rsidR="00360905" w:rsidRPr="004211FD" w:rsidRDefault="003335BB" w:rsidP="000C342B">
            <w:pPr>
              <w:widowControl/>
              <w:autoSpaceDE w:val="0"/>
              <w:autoSpaceDN w:val="0"/>
              <w:spacing w:before="29" w:line="288" w:lineRule="auto"/>
              <w:ind w:right="-15"/>
              <w:jc w:val="center"/>
              <w:textAlignment w:val="bottom"/>
              <w:rPr>
                <w:color w:val="000000"/>
                <w:sz w:val="24"/>
              </w:rPr>
            </w:pPr>
            <w:r w:rsidRPr="004211FD">
              <w:rPr>
                <w:color w:val="000000"/>
                <w:sz w:val="24"/>
              </w:rPr>
              <w:t>2016</w:t>
            </w:r>
            <w:r w:rsidRPr="004211FD">
              <w:rPr>
                <w:rFonts w:hint="eastAsia"/>
                <w:color w:val="000000"/>
                <w:sz w:val="24"/>
              </w:rPr>
              <w:t>年</w:t>
            </w:r>
            <w:r w:rsidRPr="004211FD">
              <w:rPr>
                <w:color w:val="000000"/>
                <w:sz w:val="24"/>
              </w:rPr>
              <w:t>1</w:t>
            </w:r>
            <w:r w:rsidRPr="004211FD">
              <w:rPr>
                <w:rFonts w:hint="eastAsia"/>
                <w:color w:val="000000"/>
                <w:sz w:val="24"/>
              </w:rPr>
              <w:t>月</w:t>
            </w:r>
            <w:r w:rsidRPr="004211FD">
              <w:rPr>
                <w:color w:val="000000"/>
                <w:sz w:val="24"/>
              </w:rPr>
              <w:t>1</w:t>
            </w:r>
            <w:r w:rsidRPr="004211FD">
              <w:rPr>
                <w:rFonts w:hint="eastAsia"/>
                <w:color w:val="000000"/>
                <w:sz w:val="24"/>
              </w:rPr>
              <w:t>日至</w:t>
            </w:r>
            <w:r w:rsidRPr="004211FD">
              <w:rPr>
                <w:color w:val="000000"/>
                <w:sz w:val="24"/>
              </w:rPr>
              <w:t>2016</w:t>
            </w:r>
            <w:r w:rsidRPr="004211FD">
              <w:rPr>
                <w:rFonts w:hint="eastAsia"/>
                <w:color w:val="000000"/>
                <w:sz w:val="24"/>
              </w:rPr>
              <w:t>年</w:t>
            </w:r>
            <w:r w:rsidRPr="004211FD">
              <w:rPr>
                <w:color w:val="000000"/>
                <w:sz w:val="24"/>
              </w:rPr>
              <w:t>12</w:t>
            </w:r>
            <w:r w:rsidRPr="004211FD">
              <w:rPr>
                <w:rFonts w:hint="eastAsia"/>
                <w:color w:val="000000"/>
                <w:sz w:val="24"/>
              </w:rPr>
              <w:t>月</w:t>
            </w:r>
            <w:r w:rsidRPr="004211FD">
              <w:rPr>
                <w:color w:val="000000"/>
                <w:sz w:val="24"/>
              </w:rPr>
              <w:t>31</w:t>
            </w:r>
            <w:r w:rsidRPr="004211FD">
              <w:rPr>
                <w:rFonts w:hint="eastAsia"/>
                <w:color w:val="000000"/>
                <w:sz w:val="24"/>
              </w:rPr>
              <w:t>日</w:t>
            </w:r>
          </w:p>
        </w:tc>
        <w:tc>
          <w:tcPr>
            <w:tcW w:w="3366" w:type="dxa"/>
            <w:gridSpan w:val="2"/>
          </w:tcPr>
          <w:p w:rsidR="00360905" w:rsidRPr="004211FD" w:rsidRDefault="003335BB" w:rsidP="000C342B">
            <w:pPr>
              <w:widowControl/>
              <w:autoSpaceDE w:val="0"/>
              <w:autoSpaceDN w:val="0"/>
              <w:spacing w:before="29" w:line="288" w:lineRule="auto"/>
              <w:ind w:right="-15"/>
              <w:jc w:val="center"/>
              <w:textAlignment w:val="bottom"/>
              <w:rPr>
                <w:color w:val="000000"/>
                <w:sz w:val="24"/>
              </w:rPr>
            </w:pPr>
            <w:r w:rsidRPr="004211FD">
              <w:rPr>
                <w:rFonts w:hint="eastAsia"/>
                <w:color w:val="000000"/>
                <w:sz w:val="24"/>
              </w:rPr>
              <w:t>上年度可比期间</w:t>
            </w:r>
          </w:p>
          <w:p w:rsidR="00360905" w:rsidRPr="004211FD" w:rsidRDefault="003335BB" w:rsidP="000C342B">
            <w:pPr>
              <w:widowControl/>
              <w:autoSpaceDE w:val="0"/>
              <w:autoSpaceDN w:val="0"/>
              <w:spacing w:before="29" w:line="288" w:lineRule="auto"/>
              <w:ind w:right="-15"/>
              <w:jc w:val="center"/>
              <w:textAlignment w:val="bottom"/>
              <w:rPr>
                <w:color w:val="000000"/>
                <w:sz w:val="24"/>
              </w:rPr>
            </w:pPr>
            <w:r w:rsidRPr="004211FD">
              <w:rPr>
                <w:color w:val="000000"/>
                <w:sz w:val="24"/>
              </w:rPr>
              <w:t>2015</w:t>
            </w:r>
            <w:r w:rsidRPr="004211FD">
              <w:rPr>
                <w:rFonts w:hint="eastAsia"/>
                <w:color w:val="000000"/>
                <w:sz w:val="24"/>
              </w:rPr>
              <w:t>年</w:t>
            </w:r>
            <w:r w:rsidRPr="004211FD">
              <w:rPr>
                <w:color w:val="000000"/>
                <w:sz w:val="24"/>
              </w:rPr>
              <w:t>1</w:t>
            </w:r>
            <w:r w:rsidRPr="004211FD">
              <w:rPr>
                <w:rFonts w:hint="eastAsia"/>
                <w:color w:val="000000"/>
                <w:sz w:val="24"/>
              </w:rPr>
              <w:t>月</w:t>
            </w:r>
            <w:r w:rsidRPr="004211FD">
              <w:rPr>
                <w:color w:val="000000"/>
                <w:sz w:val="24"/>
              </w:rPr>
              <w:t>1</w:t>
            </w:r>
            <w:r w:rsidRPr="004211FD">
              <w:rPr>
                <w:rFonts w:hint="eastAsia"/>
                <w:color w:val="000000"/>
                <w:sz w:val="24"/>
              </w:rPr>
              <w:t>日至</w:t>
            </w:r>
            <w:r w:rsidRPr="004211FD">
              <w:rPr>
                <w:color w:val="000000"/>
                <w:sz w:val="24"/>
              </w:rPr>
              <w:t>2015</w:t>
            </w:r>
            <w:r w:rsidRPr="004211FD">
              <w:rPr>
                <w:rFonts w:hint="eastAsia"/>
                <w:color w:val="000000"/>
                <w:sz w:val="24"/>
              </w:rPr>
              <w:t>年</w:t>
            </w:r>
            <w:r w:rsidRPr="004211FD">
              <w:rPr>
                <w:color w:val="000000"/>
                <w:sz w:val="24"/>
              </w:rPr>
              <w:t>12</w:t>
            </w:r>
            <w:r w:rsidRPr="004211FD">
              <w:rPr>
                <w:rFonts w:hint="eastAsia"/>
                <w:color w:val="000000"/>
                <w:sz w:val="24"/>
              </w:rPr>
              <w:t>月</w:t>
            </w:r>
            <w:r w:rsidRPr="004211FD">
              <w:rPr>
                <w:color w:val="000000"/>
                <w:sz w:val="24"/>
              </w:rPr>
              <w:t>31</w:t>
            </w:r>
            <w:r w:rsidRPr="004211FD">
              <w:rPr>
                <w:rFonts w:hint="eastAsia"/>
                <w:color w:val="000000"/>
                <w:sz w:val="24"/>
              </w:rPr>
              <w:t>日</w:t>
            </w:r>
          </w:p>
        </w:tc>
      </w:tr>
      <w:tr w:rsidR="00360905" w:rsidRPr="00152133" w:rsidTr="00C915A6">
        <w:tc>
          <w:tcPr>
            <w:tcW w:w="2268" w:type="dxa"/>
            <w:vMerge/>
            <w:vAlign w:val="center"/>
          </w:tcPr>
          <w:p w:rsidR="00360905" w:rsidRPr="004211FD" w:rsidRDefault="00360905" w:rsidP="000C342B">
            <w:pPr>
              <w:widowControl/>
              <w:autoSpaceDE w:val="0"/>
              <w:autoSpaceDN w:val="0"/>
              <w:spacing w:before="29" w:line="288" w:lineRule="auto"/>
              <w:ind w:right="-15"/>
              <w:jc w:val="center"/>
              <w:textAlignment w:val="bottom"/>
              <w:rPr>
                <w:color w:val="000000"/>
                <w:sz w:val="24"/>
              </w:rPr>
            </w:pPr>
          </w:p>
        </w:tc>
        <w:tc>
          <w:tcPr>
            <w:tcW w:w="1683" w:type="dxa"/>
            <w:vAlign w:val="center"/>
          </w:tcPr>
          <w:p w:rsidR="00360905" w:rsidRPr="004211FD" w:rsidRDefault="003335BB" w:rsidP="000C342B">
            <w:pPr>
              <w:autoSpaceDE w:val="0"/>
              <w:autoSpaceDN w:val="0"/>
              <w:spacing w:before="29" w:line="288" w:lineRule="auto"/>
              <w:ind w:right="-15"/>
              <w:jc w:val="center"/>
              <w:textAlignment w:val="bottom"/>
              <w:rPr>
                <w:color w:val="000000"/>
                <w:sz w:val="24"/>
              </w:rPr>
            </w:pPr>
            <w:r w:rsidRPr="004211FD">
              <w:rPr>
                <w:rFonts w:hint="eastAsia"/>
                <w:color w:val="000000"/>
                <w:sz w:val="24"/>
              </w:rPr>
              <w:t>期末余额</w:t>
            </w:r>
          </w:p>
        </w:tc>
        <w:tc>
          <w:tcPr>
            <w:tcW w:w="1683" w:type="dxa"/>
            <w:vAlign w:val="center"/>
          </w:tcPr>
          <w:p w:rsidR="00360905" w:rsidRPr="004211FD" w:rsidRDefault="003335BB" w:rsidP="000C342B">
            <w:pPr>
              <w:autoSpaceDE w:val="0"/>
              <w:autoSpaceDN w:val="0"/>
              <w:spacing w:before="29" w:line="288" w:lineRule="auto"/>
              <w:ind w:right="-15"/>
              <w:jc w:val="center"/>
              <w:textAlignment w:val="bottom"/>
              <w:rPr>
                <w:color w:val="000000"/>
                <w:sz w:val="24"/>
              </w:rPr>
            </w:pPr>
            <w:r w:rsidRPr="004211FD">
              <w:rPr>
                <w:rFonts w:hint="eastAsia"/>
                <w:color w:val="000000"/>
                <w:sz w:val="24"/>
              </w:rPr>
              <w:t>当期利息收入</w:t>
            </w:r>
          </w:p>
        </w:tc>
        <w:tc>
          <w:tcPr>
            <w:tcW w:w="1683" w:type="dxa"/>
            <w:vAlign w:val="center"/>
          </w:tcPr>
          <w:p w:rsidR="00360905" w:rsidRPr="004211FD" w:rsidRDefault="003335BB" w:rsidP="000C342B">
            <w:pPr>
              <w:autoSpaceDE w:val="0"/>
              <w:autoSpaceDN w:val="0"/>
              <w:spacing w:before="29" w:line="288" w:lineRule="auto"/>
              <w:ind w:right="-15"/>
              <w:jc w:val="center"/>
              <w:textAlignment w:val="bottom"/>
              <w:rPr>
                <w:color w:val="000000"/>
                <w:sz w:val="24"/>
              </w:rPr>
            </w:pPr>
            <w:r w:rsidRPr="004211FD">
              <w:rPr>
                <w:rFonts w:hint="eastAsia"/>
                <w:color w:val="000000"/>
                <w:sz w:val="24"/>
              </w:rPr>
              <w:t>期末余额</w:t>
            </w:r>
          </w:p>
        </w:tc>
        <w:tc>
          <w:tcPr>
            <w:tcW w:w="1683" w:type="dxa"/>
            <w:vAlign w:val="center"/>
          </w:tcPr>
          <w:p w:rsidR="00360905" w:rsidRPr="004211FD" w:rsidRDefault="003335BB" w:rsidP="000C342B">
            <w:pPr>
              <w:autoSpaceDE w:val="0"/>
              <w:autoSpaceDN w:val="0"/>
              <w:spacing w:before="29" w:line="288" w:lineRule="auto"/>
              <w:ind w:right="-15"/>
              <w:jc w:val="center"/>
              <w:textAlignment w:val="bottom"/>
              <w:rPr>
                <w:color w:val="000000"/>
                <w:sz w:val="24"/>
              </w:rPr>
            </w:pPr>
            <w:r w:rsidRPr="004211FD">
              <w:rPr>
                <w:rFonts w:hint="eastAsia"/>
                <w:color w:val="000000"/>
                <w:sz w:val="24"/>
              </w:rPr>
              <w:t>当期利息收入</w:t>
            </w:r>
          </w:p>
        </w:tc>
      </w:tr>
      <w:tr w:rsidR="00A46313" w:rsidRPr="00152133">
        <w:tc>
          <w:tcPr>
            <w:tcW w:w="2268" w:type="dxa"/>
            <w:vAlign w:val="center"/>
          </w:tcPr>
          <w:p w:rsidR="00A46313" w:rsidRPr="004211FD" w:rsidRDefault="003335BB">
            <w:pPr>
              <w:jc w:val="left"/>
              <w:rPr>
                <w:sz w:val="24"/>
              </w:rPr>
            </w:pPr>
            <w:r w:rsidRPr="004211FD">
              <w:rPr>
                <w:rFonts w:hint="eastAsia"/>
                <w:sz w:val="24"/>
              </w:rPr>
              <w:t>中国建设银行</w:t>
            </w:r>
          </w:p>
        </w:tc>
        <w:tc>
          <w:tcPr>
            <w:tcW w:w="1683" w:type="dxa"/>
            <w:vAlign w:val="center"/>
          </w:tcPr>
          <w:p w:rsidR="00A46313" w:rsidRPr="004211FD" w:rsidRDefault="003335BB">
            <w:pPr>
              <w:jc w:val="right"/>
              <w:rPr>
                <w:sz w:val="24"/>
              </w:rPr>
            </w:pPr>
            <w:r w:rsidRPr="004211FD">
              <w:rPr>
                <w:sz w:val="24"/>
              </w:rPr>
              <w:t>55,830,714.66</w:t>
            </w:r>
          </w:p>
        </w:tc>
        <w:tc>
          <w:tcPr>
            <w:tcW w:w="1683" w:type="dxa"/>
            <w:vAlign w:val="center"/>
          </w:tcPr>
          <w:p w:rsidR="00A46313" w:rsidRPr="004211FD" w:rsidRDefault="003335BB">
            <w:pPr>
              <w:jc w:val="right"/>
              <w:rPr>
                <w:sz w:val="24"/>
              </w:rPr>
            </w:pPr>
            <w:r w:rsidRPr="004211FD">
              <w:rPr>
                <w:sz w:val="24"/>
              </w:rPr>
              <w:t>426,532.52</w:t>
            </w:r>
          </w:p>
        </w:tc>
        <w:tc>
          <w:tcPr>
            <w:tcW w:w="1683" w:type="dxa"/>
            <w:vAlign w:val="center"/>
          </w:tcPr>
          <w:p w:rsidR="00A46313" w:rsidRPr="004211FD" w:rsidRDefault="003335BB">
            <w:pPr>
              <w:jc w:val="right"/>
              <w:rPr>
                <w:sz w:val="24"/>
              </w:rPr>
            </w:pPr>
            <w:r w:rsidRPr="004211FD">
              <w:rPr>
                <w:sz w:val="24"/>
              </w:rPr>
              <w:t>98,638,804.86</w:t>
            </w:r>
          </w:p>
        </w:tc>
        <w:tc>
          <w:tcPr>
            <w:tcW w:w="1683" w:type="dxa"/>
            <w:vAlign w:val="center"/>
          </w:tcPr>
          <w:p w:rsidR="00A46313" w:rsidRPr="004211FD" w:rsidRDefault="003335BB">
            <w:pPr>
              <w:jc w:val="right"/>
              <w:rPr>
                <w:sz w:val="24"/>
              </w:rPr>
            </w:pPr>
            <w:r w:rsidRPr="004211FD">
              <w:rPr>
                <w:sz w:val="24"/>
              </w:rPr>
              <w:t>379,514.34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5851B5">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125795" w:rsidTr="00125795">
        <w:trPr>
          <w:jc w:val="center"/>
        </w:trPr>
        <w:tc>
          <w:tcPr>
            <w:tcW w:w="853" w:type="dxa"/>
            <w:vAlign w:val="center"/>
          </w:tcPr>
          <w:p w:rsidR="00A46313" w:rsidRDefault="00125795">
            <w:pPr>
              <w:jc w:val="center"/>
            </w:pPr>
            <w:r>
              <w:rPr>
                <w:szCs w:val="21"/>
              </w:rPr>
              <w:t>1</w:t>
            </w:r>
          </w:p>
        </w:tc>
        <w:tc>
          <w:tcPr>
            <w:tcW w:w="1216" w:type="dxa"/>
            <w:vAlign w:val="center"/>
          </w:tcPr>
          <w:p w:rsidR="00A46313" w:rsidRDefault="00125795">
            <w:pPr>
              <w:jc w:val="center"/>
            </w:pPr>
            <w:r>
              <w:rPr>
                <w:szCs w:val="21"/>
              </w:rPr>
              <w:t>2016-01-13</w:t>
            </w:r>
          </w:p>
        </w:tc>
        <w:tc>
          <w:tcPr>
            <w:tcW w:w="1478" w:type="dxa"/>
            <w:vAlign w:val="center"/>
          </w:tcPr>
          <w:p w:rsidR="00A46313" w:rsidRDefault="00125795">
            <w:pPr>
              <w:jc w:val="center"/>
            </w:pPr>
            <w:r>
              <w:rPr>
                <w:szCs w:val="21"/>
              </w:rPr>
              <w:t>2016-01-13</w:t>
            </w:r>
          </w:p>
        </w:tc>
        <w:tc>
          <w:tcPr>
            <w:tcW w:w="1171" w:type="dxa"/>
            <w:vAlign w:val="center"/>
          </w:tcPr>
          <w:p w:rsidR="00A46313" w:rsidRDefault="00125795">
            <w:pPr>
              <w:jc w:val="right"/>
            </w:pPr>
            <w:r>
              <w:rPr>
                <w:szCs w:val="21"/>
              </w:rPr>
              <w:t>0.400</w:t>
            </w:r>
          </w:p>
        </w:tc>
        <w:tc>
          <w:tcPr>
            <w:tcW w:w="1325" w:type="dxa"/>
            <w:vAlign w:val="center"/>
          </w:tcPr>
          <w:p w:rsidR="00A46313" w:rsidRDefault="00125795">
            <w:pPr>
              <w:jc w:val="right"/>
            </w:pPr>
            <w:r>
              <w:rPr>
                <w:szCs w:val="21"/>
              </w:rPr>
              <w:t>37,091,063.51</w:t>
            </w:r>
          </w:p>
        </w:tc>
        <w:tc>
          <w:tcPr>
            <w:tcW w:w="1325" w:type="dxa"/>
            <w:vAlign w:val="center"/>
          </w:tcPr>
          <w:p w:rsidR="00A46313" w:rsidRDefault="00125795">
            <w:pPr>
              <w:jc w:val="right"/>
            </w:pPr>
            <w:r>
              <w:rPr>
                <w:szCs w:val="21"/>
              </w:rPr>
              <w:t>4,963,994.30</w:t>
            </w:r>
          </w:p>
        </w:tc>
        <w:tc>
          <w:tcPr>
            <w:tcW w:w="1325" w:type="dxa"/>
            <w:vAlign w:val="center"/>
          </w:tcPr>
          <w:p w:rsidR="00A46313" w:rsidRDefault="00125795">
            <w:pPr>
              <w:jc w:val="right"/>
            </w:pPr>
            <w:r>
              <w:rPr>
                <w:szCs w:val="21"/>
              </w:rPr>
              <w:t>42,055,057.81</w:t>
            </w:r>
          </w:p>
        </w:tc>
        <w:tc>
          <w:tcPr>
            <w:tcW w:w="948" w:type="dxa"/>
            <w:vAlign w:val="center"/>
          </w:tcPr>
          <w:p w:rsidR="00A46313" w:rsidRDefault="00125795">
            <w:pPr>
              <w:jc w:val="left"/>
            </w:pPr>
            <w:r>
              <w:rPr>
                <w:szCs w:val="21"/>
              </w:rPr>
              <w:t>-</w:t>
            </w:r>
          </w:p>
        </w:tc>
      </w:tr>
      <w:tr w:rsidR="00125795" w:rsidTr="00125795">
        <w:trPr>
          <w:jc w:val="center"/>
        </w:trPr>
        <w:tc>
          <w:tcPr>
            <w:tcW w:w="853" w:type="dxa"/>
            <w:vAlign w:val="center"/>
          </w:tcPr>
          <w:p w:rsidR="00A46313" w:rsidRDefault="00125795">
            <w:pPr>
              <w:jc w:val="center"/>
            </w:pPr>
            <w:r>
              <w:rPr>
                <w:szCs w:val="21"/>
              </w:rPr>
              <w:t>2</w:t>
            </w:r>
          </w:p>
        </w:tc>
        <w:tc>
          <w:tcPr>
            <w:tcW w:w="1216" w:type="dxa"/>
            <w:vAlign w:val="center"/>
          </w:tcPr>
          <w:p w:rsidR="00A46313" w:rsidRDefault="00125795">
            <w:pPr>
              <w:jc w:val="center"/>
            </w:pPr>
            <w:r>
              <w:rPr>
                <w:szCs w:val="21"/>
              </w:rPr>
              <w:t>2016-10-19</w:t>
            </w:r>
          </w:p>
        </w:tc>
        <w:tc>
          <w:tcPr>
            <w:tcW w:w="1478" w:type="dxa"/>
            <w:vAlign w:val="center"/>
          </w:tcPr>
          <w:p w:rsidR="00A46313" w:rsidRDefault="00125795">
            <w:pPr>
              <w:jc w:val="center"/>
            </w:pPr>
            <w:r>
              <w:rPr>
                <w:szCs w:val="21"/>
              </w:rPr>
              <w:t>2016-10-19</w:t>
            </w:r>
          </w:p>
        </w:tc>
        <w:tc>
          <w:tcPr>
            <w:tcW w:w="1171" w:type="dxa"/>
            <w:vAlign w:val="center"/>
          </w:tcPr>
          <w:p w:rsidR="00A46313" w:rsidRDefault="00125795">
            <w:pPr>
              <w:jc w:val="right"/>
            </w:pPr>
            <w:r>
              <w:rPr>
                <w:szCs w:val="21"/>
              </w:rPr>
              <w:t>0.240</w:t>
            </w:r>
          </w:p>
        </w:tc>
        <w:tc>
          <w:tcPr>
            <w:tcW w:w="1325" w:type="dxa"/>
            <w:vAlign w:val="center"/>
          </w:tcPr>
          <w:p w:rsidR="00A46313" w:rsidRDefault="00125795">
            <w:pPr>
              <w:jc w:val="right"/>
            </w:pPr>
            <w:r>
              <w:rPr>
                <w:szCs w:val="21"/>
              </w:rPr>
              <w:t>12,660,239.24</w:t>
            </w:r>
          </w:p>
        </w:tc>
        <w:tc>
          <w:tcPr>
            <w:tcW w:w="1325" w:type="dxa"/>
            <w:vAlign w:val="center"/>
          </w:tcPr>
          <w:p w:rsidR="00A46313" w:rsidRDefault="00125795">
            <w:pPr>
              <w:jc w:val="right"/>
            </w:pPr>
            <w:r>
              <w:rPr>
                <w:szCs w:val="21"/>
              </w:rPr>
              <w:t>2,883,108.69</w:t>
            </w:r>
          </w:p>
        </w:tc>
        <w:tc>
          <w:tcPr>
            <w:tcW w:w="1325" w:type="dxa"/>
            <w:vAlign w:val="center"/>
          </w:tcPr>
          <w:p w:rsidR="00A46313" w:rsidRDefault="00125795">
            <w:pPr>
              <w:jc w:val="right"/>
            </w:pPr>
            <w:r>
              <w:rPr>
                <w:szCs w:val="21"/>
              </w:rPr>
              <w:t>15,543,347.93</w:t>
            </w:r>
          </w:p>
        </w:tc>
        <w:tc>
          <w:tcPr>
            <w:tcW w:w="948" w:type="dxa"/>
            <w:vAlign w:val="center"/>
          </w:tcPr>
          <w:p w:rsidR="00A46313" w:rsidRDefault="00125795">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0.640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49,751,302.75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7,847,102.99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57,598,405.74</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5851B5">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125795" w:rsidTr="00125795">
        <w:trPr>
          <w:jc w:val="center"/>
        </w:trPr>
        <w:tc>
          <w:tcPr>
            <w:tcW w:w="853" w:type="dxa"/>
            <w:vAlign w:val="center"/>
          </w:tcPr>
          <w:p w:rsidR="00A46313" w:rsidRDefault="00125795">
            <w:pPr>
              <w:jc w:val="center"/>
            </w:pPr>
            <w:r>
              <w:rPr>
                <w:szCs w:val="21"/>
              </w:rPr>
              <w:t>1</w:t>
            </w:r>
          </w:p>
        </w:tc>
        <w:tc>
          <w:tcPr>
            <w:tcW w:w="1216" w:type="dxa"/>
            <w:vAlign w:val="center"/>
          </w:tcPr>
          <w:p w:rsidR="00A46313" w:rsidRDefault="00125795">
            <w:pPr>
              <w:jc w:val="center"/>
            </w:pPr>
            <w:r>
              <w:rPr>
                <w:szCs w:val="21"/>
              </w:rPr>
              <w:t>2016-01-13</w:t>
            </w:r>
          </w:p>
        </w:tc>
        <w:tc>
          <w:tcPr>
            <w:tcW w:w="1478" w:type="dxa"/>
            <w:vAlign w:val="center"/>
          </w:tcPr>
          <w:p w:rsidR="00A46313" w:rsidRDefault="00125795">
            <w:pPr>
              <w:jc w:val="center"/>
            </w:pPr>
            <w:r>
              <w:rPr>
                <w:szCs w:val="21"/>
              </w:rPr>
              <w:t>2016-01-13</w:t>
            </w:r>
          </w:p>
        </w:tc>
        <w:tc>
          <w:tcPr>
            <w:tcW w:w="1171" w:type="dxa"/>
            <w:vAlign w:val="center"/>
          </w:tcPr>
          <w:p w:rsidR="00A46313" w:rsidRDefault="00125795">
            <w:pPr>
              <w:jc w:val="right"/>
            </w:pPr>
            <w:r>
              <w:rPr>
                <w:szCs w:val="21"/>
              </w:rPr>
              <w:t>0.400</w:t>
            </w:r>
          </w:p>
        </w:tc>
        <w:tc>
          <w:tcPr>
            <w:tcW w:w="1325" w:type="dxa"/>
            <w:vAlign w:val="center"/>
          </w:tcPr>
          <w:p w:rsidR="00A46313" w:rsidRDefault="00125795">
            <w:pPr>
              <w:jc w:val="right"/>
            </w:pPr>
            <w:r>
              <w:rPr>
                <w:szCs w:val="21"/>
              </w:rPr>
              <w:t>10,871,767.9</w:t>
            </w:r>
            <w:r>
              <w:rPr>
                <w:szCs w:val="21"/>
              </w:rPr>
              <w:lastRenderedPageBreak/>
              <w:t>8</w:t>
            </w:r>
          </w:p>
        </w:tc>
        <w:tc>
          <w:tcPr>
            <w:tcW w:w="1325" w:type="dxa"/>
            <w:vAlign w:val="center"/>
          </w:tcPr>
          <w:p w:rsidR="00A46313" w:rsidRDefault="00125795">
            <w:pPr>
              <w:jc w:val="right"/>
            </w:pPr>
            <w:r>
              <w:rPr>
                <w:szCs w:val="21"/>
              </w:rPr>
              <w:lastRenderedPageBreak/>
              <w:t>2,729,907.91</w:t>
            </w:r>
          </w:p>
        </w:tc>
        <w:tc>
          <w:tcPr>
            <w:tcW w:w="1325" w:type="dxa"/>
            <w:vAlign w:val="center"/>
          </w:tcPr>
          <w:p w:rsidR="00A46313" w:rsidRDefault="00125795">
            <w:pPr>
              <w:jc w:val="right"/>
            </w:pPr>
            <w:r>
              <w:rPr>
                <w:szCs w:val="21"/>
              </w:rPr>
              <w:t>13,601,675.8</w:t>
            </w:r>
            <w:r>
              <w:rPr>
                <w:szCs w:val="21"/>
              </w:rPr>
              <w:lastRenderedPageBreak/>
              <w:t>9</w:t>
            </w:r>
          </w:p>
        </w:tc>
        <w:tc>
          <w:tcPr>
            <w:tcW w:w="948" w:type="dxa"/>
            <w:vAlign w:val="center"/>
          </w:tcPr>
          <w:p w:rsidR="00A46313" w:rsidRDefault="00125795">
            <w:pPr>
              <w:jc w:val="left"/>
            </w:pPr>
            <w:r>
              <w:rPr>
                <w:szCs w:val="21"/>
              </w:rPr>
              <w:lastRenderedPageBreak/>
              <w:t>-</w:t>
            </w:r>
          </w:p>
        </w:tc>
      </w:tr>
      <w:tr w:rsidR="00125795" w:rsidTr="00125795">
        <w:trPr>
          <w:jc w:val="center"/>
        </w:trPr>
        <w:tc>
          <w:tcPr>
            <w:tcW w:w="853" w:type="dxa"/>
            <w:vAlign w:val="center"/>
          </w:tcPr>
          <w:p w:rsidR="00A46313" w:rsidRDefault="00125795">
            <w:pPr>
              <w:jc w:val="center"/>
            </w:pPr>
            <w:r>
              <w:rPr>
                <w:szCs w:val="21"/>
              </w:rPr>
              <w:lastRenderedPageBreak/>
              <w:t>2</w:t>
            </w:r>
          </w:p>
        </w:tc>
        <w:tc>
          <w:tcPr>
            <w:tcW w:w="1216" w:type="dxa"/>
            <w:vAlign w:val="center"/>
          </w:tcPr>
          <w:p w:rsidR="00A46313" w:rsidRDefault="00125795">
            <w:pPr>
              <w:jc w:val="center"/>
            </w:pPr>
            <w:r>
              <w:rPr>
                <w:szCs w:val="21"/>
              </w:rPr>
              <w:t>2016-10-19</w:t>
            </w:r>
          </w:p>
        </w:tc>
        <w:tc>
          <w:tcPr>
            <w:tcW w:w="1478" w:type="dxa"/>
            <w:vAlign w:val="center"/>
          </w:tcPr>
          <w:p w:rsidR="00A46313" w:rsidRDefault="00125795">
            <w:pPr>
              <w:jc w:val="center"/>
            </w:pPr>
            <w:r>
              <w:rPr>
                <w:szCs w:val="21"/>
              </w:rPr>
              <w:t>2016-10-19</w:t>
            </w:r>
          </w:p>
        </w:tc>
        <w:tc>
          <w:tcPr>
            <w:tcW w:w="1171" w:type="dxa"/>
            <w:vAlign w:val="center"/>
          </w:tcPr>
          <w:p w:rsidR="00A46313" w:rsidRDefault="00125795">
            <w:pPr>
              <w:jc w:val="right"/>
            </w:pPr>
            <w:r>
              <w:rPr>
                <w:szCs w:val="21"/>
              </w:rPr>
              <w:t>0.190</w:t>
            </w:r>
          </w:p>
        </w:tc>
        <w:tc>
          <w:tcPr>
            <w:tcW w:w="1325" w:type="dxa"/>
            <w:vAlign w:val="center"/>
          </w:tcPr>
          <w:p w:rsidR="00A46313" w:rsidRDefault="00125795">
            <w:pPr>
              <w:jc w:val="right"/>
            </w:pPr>
            <w:r>
              <w:rPr>
                <w:szCs w:val="21"/>
              </w:rPr>
              <w:t>1,329,889.03</w:t>
            </w:r>
          </w:p>
        </w:tc>
        <w:tc>
          <w:tcPr>
            <w:tcW w:w="1325" w:type="dxa"/>
            <w:vAlign w:val="center"/>
          </w:tcPr>
          <w:p w:rsidR="00A46313" w:rsidRDefault="00125795">
            <w:pPr>
              <w:jc w:val="right"/>
            </w:pPr>
            <w:r>
              <w:rPr>
                <w:szCs w:val="21"/>
              </w:rPr>
              <w:t>1,027,330.76</w:t>
            </w:r>
          </w:p>
        </w:tc>
        <w:tc>
          <w:tcPr>
            <w:tcW w:w="1325" w:type="dxa"/>
            <w:vAlign w:val="center"/>
          </w:tcPr>
          <w:p w:rsidR="00A46313" w:rsidRDefault="00125795">
            <w:pPr>
              <w:jc w:val="right"/>
            </w:pPr>
            <w:r>
              <w:rPr>
                <w:szCs w:val="21"/>
              </w:rPr>
              <w:t>2,357,219.79</w:t>
            </w:r>
          </w:p>
        </w:tc>
        <w:tc>
          <w:tcPr>
            <w:tcW w:w="948" w:type="dxa"/>
            <w:vAlign w:val="center"/>
          </w:tcPr>
          <w:p w:rsidR="00A46313" w:rsidRDefault="00125795">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0.590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12,201,657.01</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3,757,238.67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15,958,895.68</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2016</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49,999,725.00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46313">
        <w:tc>
          <w:tcPr>
            <w:tcW w:w="1500" w:type="dxa"/>
            <w:vAlign w:val="center"/>
          </w:tcPr>
          <w:p w:rsidR="00A46313" w:rsidRDefault="00125795">
            <w:pPr>
              <w:jc w:val="center"/>
            </w:pPr>
            <w:r>
              <w:rPr>
                <w:sz w:val="24"/>
              </w:rPr>
              <w:t>1680089</w:t>
            </w:r>
          </w:p>
        </w:tc>
        <w:tc>
          <w:tcPr>
            <w:tcW w:w="1500" w:type="dxa"/>
            <w:vAlign w:val="center"/>
          </w:tcPr>
          <w:p w:rsidR="00A46313" w:rsidRDefault="00125795">
            <w:pPr>
              <w:jc w:val="center"/>
            </w:pPr>
            <w:r>
              <w:rPr>
                <w:sz w:val="24"/>
              </w:rPr>
              <w:t>16</w:t>
            </w:r>
            <w:r>
              <w:rPr>
                <w:sz w:val="24"/>
              </w:rPr>
              <w:t>下城债</w:t>
            </w:r>
          </w:p>
        </w:tc>
        <w:tc>
          <w:tcPr>
            <w:tcW w:w="1500" w:type="dxa"/>
            <w:vAlign w:val="center"/>
          </w:tcPr>
          <w:p w:rsidR="00A46313" w:rsidRDefault="00125795">
            <w:pPr>
              <w:jc w:val="center"/>
            </w:pPr>
            <w:r>
              <w:rPr>
                <w:sz w:val="24"/>
              </w:rPr>
              <w:t>2017-01-03</w:t>
            </w:r>
          </w:p>
        </w:tc>
        <w:tc>
          <w:tcPr>
            <w:tcW w:w="1260" w:type="dxa"/>
            <w:vAlign w:val="center"/>
          </w:tcPr>
          <w:p w:rsidR="00A46313" w:rsidRDefault="00125795">
            <w:pPr>
              <w:jc w:val="right"/>
            </w:pPr>
            <w:r>
              <w:rPr>
                <w:sz w:val="24"/>
              </w:rPr>
              <w:t>97.54</w:t>
            </w:r>
          </w:p>
        </w:tc>
        <w:tc>
          <w:tcPr>
            <w:tcW w:w="1440" w:type="dxa"/>
            <w:vAlign w:val="center"/>
          </w:tcPr>
          <w:p w:rsidR="00A46313" w:rsidRDefault="00125795">
            <w:pPr>
              <w:jc w:val="right"/>
            </w:pPr>
            <w:r>
              <w:rPr>
                <w:sz w:val="24"/>
              </w:rPr>
              <w:t>400,000</w:t>
            </w:r>
          </w:p>
        </w:tc>
        <w:tc>
          <w:tcPr>
            <w:tcW w:w="1836" w:type="dxa"/>
            <w:vAlign w:val="center"/>
          </w:tcPr>
          <w:p w:rsidR="00A46313" w:rsidRDefault="00125795">
            <w:pPr>
              <w:jc w:val="right"/>
            </w:pPr>
            <w:r>
              <w:rPr>
                <w:sz w:val="24"/>
              </w:rPr>
              <w:t>39,016,000.00</w:t>
            </w:r>
          </w:p>
        </w:tc>
      </w:tr>
      <w:tr w:rsidR="00A46313">
        <w:tc>
          <w:tcPr>
            <w:tcW w:w="1500" w:type="dxa"/>
            <w:vAlign w:val="center"/>
          </w:tcPr>
          <w:p w:rsidR="00A46313" w:rsidRDefault="00125795">
            <w:pPr>
              <w:jc w:val="center"/>
            </w:pPr>
            <w:r>
              <w:rPr>
                <w:sz w:val="24"/>
              </w:rPr>
              <w:t>1580136</w:t>
            </w:r>
          </w:p>
        </w:tc>
        <w:tc>
          <w:tcPr>
            <w:tcW w:w="1500" w:type="dxa"/>
            <w:vAlign w:val="center"/>
          </w:tcPr>
          <w:p w:rsidR="00A46313" w:rsidRDefault="00125795">
            <w:pPr>
              <w:jc w:val="center"/>
            </w:pPr>
            <w:r>
              <w:rPr>
                <w:sz w:val="24"/>
              </w:rPr>
              <w:t>15</w:t>
            </w:r>
            <w:r>
              <w:rPr>
                <w:sz w:val="24"/>
              </w:rPr>
              <w:t>济宁高新债</w:t>
            </w:r>
          </w:p>
        </w:tc>
        <w:tc>
          <w:tcPr>
            <w:tcW w:w="1500" w:type="dxa"/>
            <w:vAlign w:val="center"/>
          </w:tcPr>
          <w:p w:rsidR="00A46313" w:rsidRDefault="00125795">
            <w:pPr>
              <w:jc w:val="center"/>
            </w:pPr>
            <w:r>
              <w:rPr>
                <w:sz w:val="24"/>
              </w:rPr>
              <w:t>2017-01-03</w:t>
            </w:r>
          </w:p>
        </w:tc>
        <w:tc>
          <w:tcPr>
            <w:tcW w:w="1260" w:type="dxa"/>
            <w:vAlign w:val="center"/>
          </w:tcPr>
          <w:p w:rsidR="00A46313" w:rsidRDefault="00125795">
            <w:pPr>
              <w:jc w:val="right"/>
            </w:pPr>
            <w:r>
              <w:rPr>
                <w:sz w:val="24"/>
              </w:rPr>
              <w:t>104.72</w:t>
            </w:r>
          </w:p>
        </w:tc>
        <w:tc>
          <w:tcPr>
            <w:tcW w:w="1440" w:type="dxa"/>
            <w:vAlign w:val="center"/>
          </w:tcPr>
          <w:p w:rsidR="00A46313" w:rsidRDefault="00125795">
            <w:pPr>
              <w:jc w:val="right"/>
            </w:pPr>
            <w:r>
              <w:rPr>
                <w:sz w:val="24"/>
              </w:rPr>
              <w:t>200,000</w:t>
            </w:r>
          </w:p>
        </w:tc>
        <w:tc>
          <w:tcPr>
            <w:tcW w:w="1836" w:type="dxa"/>
            <w:vAlign w:val="center"/>
          </w:tcPr>
          <w:p w:rsidR="00A46313" w:rsidRDefault="00125795">
            <w:pPr>
              <w:jc w:val="right"/>
            </w:pPr>
            <w:r>
              <w:rPr>
                <w:sz w:val="24"/>
              </w:rPr>
              <w:t>20,944,000.00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600,000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59,960,000.00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20,000,000.00</w:t>
      </w:r>
      <w:r w:rsidRPr="00993BF6">
        <w:rPr>
          <w:kern w:val="0"/>
          <w:sz w:val="24"/>
        </w:rPr>
        <w:t>元，于</w:t>
      </w:r>
      <w:r w:rsidRPr="00993BF6">
        <w:rPr>
          <w:kern w:val="0"/>
          <w:sz w:val="24"/>
        </w:rPr>
        <w:t>2017</w:t>
      </w:r>
      <w:r w:rsidRPr="00993BF6">
        <w:rPr>
          <w:kern w:val="0"/>
          <w:sz w:val="24"/>
        </w:rPr>
        <w:t>年</w:t>
      </w:r>
      <w:r w:rsidRPr="00993BF6">
        <w:rPr>
          <w:kern w:val="0"/>
          <w:sz w:val="24"/>
        </w:rPr>
        <w:t>1</w:t>
      </w:r>
      <w:r w:rsidRPr="00993BF6">
        <w:rPr>
          <w:kern w:val="0"/>
          <w:sz w:val="24"/>
        </w:rPr>
        <w:t>月</w:t>
      </w:r>
      <w:r w:rsidRPr="00993BF6">
        <w:rPr>
          <w:kern w:val="0"/>
          <w:sz w:val="24"/>
        </w:rPr>
        <w:t>3</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A46313" w:rsidRDefault="00125795">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w:t>
      </w:r>
      <w:r>
        <w:rPr>
          <w:kern w:val="0"/>
          <w:sz w:val="24"/>
        </w:rPr>
        <w:lastRenderedPageBreak/>
        <w:t>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46313" w:rsidRDefault="0012579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46313" w:rsidRDefault="0012579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A46313" w:rsidRDefault="0012579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46313" w:rsidRDefault="0012579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w:t>
      </w:r>
      <w:bookmarkStart w:id="120" w:name="_GoBack"/>
      <w:bookmarkEnd w:id="120"/>
      <w:r>
        <w:rPr>
          <w:kern w:val="0"/>
          <w:sz w:val="24"/>
        </w:rPr>
        <w:t>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95,368,000.00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99,562,000.00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90,045,000.00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99,562,000.00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185,413,000.00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注：未评级部分为政策性金融债和企业超短期融资债券。</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175,201,068.49</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544,920,564.00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304,850,099.70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759,766,141.91</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298,184,000.00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480,051,168.19</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1,602,870,705.91</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A46313" w:rsidRDefault="0012579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46313" w:rsidRDefault="0012579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46313" w:rsidRDefault="00125795">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w:t>
      </w:r>
      <w:r w:rsidR="00547FAC">
        <w:rPr>
          <w:rFonts w:hint="eastAsia"/>
          <w:kern w:val="0"/>
          <w:sz w:val="24"/>
        </w:rPr>
        <w:t>证券</w:t>
      </w:r>
      <w:r>
        <w:rPr>
          <w:kern w:val="0"/>
          <w:sz w:val="24"/>
        </w:rPr>
        <w:t>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w:t>
      </w:r>
      <w:r>
        <w:rPr>
          <w:kern w:val="0"/>
          <w:sz w:val="24"/>
        </w:rPr>
        <w:lastRenderedPageBreak/>
        <w:t>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69,999,725.00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A46313" w:rsidRDefault="0012579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46313" w:rsidRDefault="0012579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46313">
        <w:tc>
          <w:tcPr>
            <w:tcW w:w="1499" w:type="dxa"/>
            <w:vAlign w:val="center"/>
          </w:tcPr>
          <w:p w:rsidR="00A46313" w:rsidRDefault="00125795">
            <w:pPr>
              <w:jc w:val="center"/>
            </w:pPr>
            <w:r>
              <w:rPr>
                <w:color w:val="000000"/>
                <w:sz w:val="18"/>
                <w:szCs w:val="18"/>
              </w:rPr>
              <w:t>银行存款</w:t>
            </w:r>
          </w:p>
        </w:tc>
        <w:tc>
          <w:tcPr>
            <w:tcW w:w="1499" w:type="dxa"/>
            <w:vAlign w:val="center"/>
          </w:tcPr>
          <w:p w:rsidR="00A46313" w:rsidRDefault="00125795">
            <w:pPr>
              <w:jc w:val="right"/>
            </w:pPr>
            <w:r>
              <w:rPr>
                <w:color w:val="000000"/>
                <w:sz w:val="18"/>
                <w:szCs w:val="18"/>
              </w:rPr>
              <w:t>55,830,714.66</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55,830,714.66</w:t>
            </w:r>
          </w:p>
        </w:tc>
      </w:tr>
      <w:tr w:rsidR="00A46313">
        <w:tc>
          <w:tcPr>
            <w:tcW w:w="1499" w:type="dxa"/>
            <w:vAlign w:val="center"/>
          </w:tcPr>
          <w:p w:rsidR="00A46313" w:rsidRDefault="00125795">
            <w:pPr>
              <w:jc w:val="center"/>
            </w:pPr>
            <w:r>
              <w:rPr>
                <w:color w:val="000000"/>
                <w:sz w:val="18"/>
                <w:szCs w:val="18"/>
              </w:rPr>
              <w:t>结算备付金</w:t>
            </w:r>
          </w:p>
        </w:tc>
        <w:tc>
          <w:tcPr>
            <w:tcW w:w="1499" w:type="dxa"/>
            <w:vAlign w:val="center"/>
          </w:tcPr>
          <w:p w:rsidR="00A46313" w:rsidRDefault="00125795">
            <w:pPr>
              <w:jc w:val="right"/>
            </w:pPr>
            <w:r>
              <w:rPr>
                <w:color w:val="000000"/>
                <w:sz w:val="18"/>
                <w:szCs w:val="18"/>
              </w:rPr>
              <w:t>3,394,066.30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3,394,066.30</w:t>
            </w:r>
          </w:p>
        </w:tc>
      </w:tr>
      <w:tr w:rsidR="00A46313">
        <w:tc>
          <w:tcPr>
            <w:tcW w:w="1499" w:type="dxa"/>
            <w:vAlign w:val="center"/>
          </w:tcPr>
          <w:p w:rsidR="00A46313" w:rsidRDefault="00125795">
            <w:pPr>
              <w:jc w:val="center"/>
            </w:pPr>
            <w:r>
              <w:rPr>
                <w:color w:val="000000"/>
                <w:sz w:val="18"/>
                <w:szCs w:val="18"/>
              </w:rPr>
              <w:t>存出保证金</w:t>
            </w:r>
          </w:p>
        </w:tc>
        <w:tc>
          <w:tcPr>
            <w:tcW w:w="1499" w:type="dxa"/>
            <w:vAlign w:val="center"/>
          </w:tcPr>
          <w:p w:rsidR="00A46313" w:rsidRDefault="00125795">
            <w:pPr>
              <w:jc w:val="right"/>
            </w:pPr>
            <w:r>
              <w:rPr>
                <w:color w:val="000000"/>
                <w:sz w:val="18"/>
                <w:szCs w:val="18"/>
              </w:rPr>
              <w:t>6,104.48</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6,104.48</w:t>
            </w:r>
          </w:p>
        </w:tc>
      </w:tr>
      <w:tr w:rsidR="00A46313">
        <w:tc>
          <w:tcPr>
            <w:tcW w:w="1499" w:type="dxa"/>
            <w:vAlign w:val="center"/>
          </w:tcPr>
          <w:p w:rsidR="00A46313" w:rsidRDefault="00125795">
            <w:pPr>
              <w:jc w:val="center"/>
            </w:pPr>
            <w:r>
              <w:rPr>
                <w:color w:val="000000"/>
                <w:sz w:val="18"/>
                <w:szCs w:val="18"/>
              </w:rPr>
              <w:t>交易性金融资产</w:t>
            </w:r>
          </w:p>
        </w:tc>
        <w:tc>
          <w:tcPr>
            <w:tcW w:w="1499" w:type="dxa"/>
            <w:vAlign w:val="center"/>
          </w:tcPr>
          <w:p w:rsidR="00A46313" w:rsidRDefault="00125795">
            <w:pPr>
              <w:jc w:val="right"/>
            </w:pPr>
            <w:r>
              <w:rPr>
                <w:color w:val="000000"/>
                <w:sz w:val="18"/>
                <w:szCs w:val="18"/>
              </w:rPr>
              <w:t>228,036,992.09</w:t>
            </w:r>
          </w:p>
        </w:tc>
        <w:tc>
          <w:tcPr>
            <w:tcW w:w="1500" w:type="dxa"/>
            <w:vAlign w:val="center"/>
          </w:tcPr>
          <w:p w:rsidR="00A46313" w:rsidRDefault="00125795">
            <w:pPr>
              <w:jc w:val="right"/>
            </w:pPr>
            <w:r>
              <w:rPr>
                <w:color w:val="000000"/>
                <w:sz w:val="18"/>
                <w:szCs w:val="18"/>
              </w:rPr>
              <w:t>175,018,933.00</w:t>
            </w:r>
          </w:p>
        </w:tc>
        <w:tc>
          <w:tcPr>
            <w:tcW w:w="1500" w:type="dxa"/>
            <w:vAlign w:val="center"/>
          </w:tcPr>
          <w:p w:rsidR="00A46313" w:rsidRDefault="00125795">
            <w:pPr>
              <w:jc w:val="right"/>
            </w:pPr>
            <w:r>
              <w:rPr>
                <w:color w:val="000000"/>
                <w:sz w:val="18"/>
                <w:szCs w:val="18"/>
              </w:rPr>
              <w:t>176,557,243.10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579,613,168.19</w:t>
            </w:r>
          </w:p>
        </w:tc>
      </w:tr>
      <w:tr w:rsidR="00A46313">
        <w:tc>
          <w:tcPr>
            <w:tcW w:w="1499" w:type="dxa"/>
            <w:vAlign w:val="center"/>
          </w:tcPr>
          <w:p w:rsidR="00A46313" w:rsidRDefault="00125795">
            <w:pPr>
              <w:jc w:val="center"/>
            </w:pPr>
            <w:r>
              <w:rPr>
                <w:color w:val="000000"/>
                <w:sz w:val="18"/>
                <w:szCs w:val="18"/>
              </w:rPr>
              <w:t>应收利息</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11,601,222.79</w:t>
            </w:r>
          </w:p>
        </w:tc>
        <w:tc>
          <w:tcPr>
            <w:tcW w:w="1500" w:type="dxa"/>
            <w:vAlign w:val="center"/>
          </w:tcPr>
          <w:p w:rsidR="00A46313" w:rsidRDefault="00125795">
            <w:pPr>
              <w:jc w:val="right"/>
            </w:pPr>
            <w:r>
              <w:rPr>
                <w:color w:val="000000"/>
                <w:sz w:val="18"/>
                <w:szCs w:val="18"/>
              </w:rPr>
              <w:t>11,601,222.79</w:t>
            </w:r>
          </w:p>
        </w:tc>
      </w:tr>
      <w:tr w:rsidR="00A46313">
        <w:tc>
          <w:tcPr>
            <w:tcW w:w="1499" w:type="dxa"/>
            <w:vAlign w:val="center"/>
          </w:tcPr>
          <w:p w:rsidR="00A46313" w:rsidRDefault="00125795">
            <w:pPr>
              <w:jc w:val="center"/>
            </w:pPr>
            <w:r>
              <w:rPr>
                <w:color w:val="000000"/>
                <w:sz w:val="18"/>
                <w:szCs w:val="18"/>
              </w:rPr>
              <w:t>应收申购款</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67,291.17</w:t>
            </w:r>
          </w:p>
        </w:tc>
        <w:tc>
          <w:tcPr>
            <w:tcW w:w="1500" w:type="dxa"/>
            <w:vAlign w:val="center"/>
          </w:tcPr>
          <w:p w:rsidR="00A46313" w:rsidRDefault="00125795">
            <w:pPr>
              <w:jc w:val="right"/>
            </w:pPr>
            <w:r>
              <w:rPr>
                <w:color w:val="000000"/>
                <w:sz w:val="18"/>
                <w:szCs w:val="18"/>
              </w:rPr>
              <w:t>67,291.17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287,267,877.53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175,018,933.00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176,557,243.10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11,668,513.96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650,512,567.59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46313">
        <w:tc>
          <w:tcPr>
            <w:tcW w:w="1499" w:type="dxa"/>
            <w:vAlign w:val="center"/>
          </w:tcPr>
          <w:p w:rsidR="00A46313" w:rsidRDefault="00125795">
            <w:pPr>
              <w:jc w:val="center"/>
            </w:pPr>
            <w:r>
              <w:rPr>
                <w:color w:val="000000"/>
                <w:sz w:val="18"/>
                <w:szCs w:val="18"/>
              </w:rPr>
              <w:t>卖出回购金融资产款</w:t>
            </w:r>
          </w:p>
        </w:tc>
        <w:tc>
          <w:tcPr>
            <w:tcW w:w="1499" w:type="dxa"/>
            <w:vAlign w:val="center"/>
          </w:tcPr>
          <w:p w:rsidR="00A46313" w:rsidRDefault="00125795">
            <w:pPr>
              <w:jc w:val="right"/>
            </w:pPr>
            <w:r>
              <w:rPr>
                <w:color w:val="000000"/>
                <w:sz w:val="18"/>
                <w:szCs w:val="18"/>
              </w:rPr>
              <w:t>69,999,725.00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69,999,725.00</w:t>
            </w:r>
          </w:p>
        </w:tc>
      </w:tr>
      <w:tr w:rsidR="00A46313">
        <w:tc>
          <w:tcPr>
            <w:tcW w:w="1499" w:type="dxa"/>
            <w:vAlign w:val="center"/>
          </w:tcPr>
          <w:p w:rsidR="00A46313" w:rsidRDefault="00125795">
            <w:pPr>
              <w:jc w:val="center"/>
            </w:pPr>
            <w:r>
              <w:rPr>
                <w:color w:val="000000"/>
                <w:sz w:val="18"/>
                <w:szCs w:val="18"/>
              </w:rPr>
              <w:t>应付证券清算款</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52,115,391.98</w:t>
            </w:r>
          </w:p>
        </w:tc>
        <w:tc>
          <w:tcPr>
            <w:tcW w:w="1500" w:type="dxa"/>
            <w:vAlign w:val="center"/>
          </w:tcPr>
          <w:p w:rsidR="00A46313" w:rsidRDefault="00125795">
            <w:pPr>
              <w:jc w:val="right"/>
            </w:pPr>
            <w:r>
              <w:rPr>
                <w:color w:val="000000"/>
                <w:sz w:val="18"/>
                <w:szCs w:val="18"/>
              </w:rPr>
              <w:t>52,115,391.98</w:t>
            </w:r>
          </w:p>
        </w:tc>
      </w:tr>
      <w:tr w:rsidR="00A46313">
        <w:tc>
          <w:tcPr>
            <w:tcW w:w="1499" w:type="dxa"/>
            <w:vAlign w:val="center"/>
          </w:tcPr>
          <w:p w:rsidR="00A46313" w:rsidRDefault="00125795">
            <w:pPr>
              <w:jc w:val="center"/>
            </w:pPr>
            <w:r>
              <w:rPr>
                <w:color w:val="000000"/>
                <w:sz w:val="18"/>
                <w:szCs w:val="18"/>
              </w:rPr>
              <w:t>应付赎回款</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299,455.52</w:t>
            </w:r>
          </w:p>
        </w:tc>
        <w:tc>
          <w:tcPr>
            <w:tcW w:w="1500" w:type="dxa"/>
            <w:vAlign w:val="center"/>
          </w:tcPr>
          <w:p w:rsidR="00A46313" w:rsidRDefault="00125795">
            <w:pPr>
              <w:jc w:val="right"/>
            </w:pPr>
            <w:r>
              <w:rPr>
                <w:color w:val="000000"/>
                <w:sz w:val="18"/>
                <w:szCs w:val="18"/>
              </w:rPr>
              <w:t>299,455.52</w:t>
            </w:r>
          </w:p>
        </w:tc>
      </w:tr>
      <w:tr w:rsidR="00A46313">
        <w:tc>
          <w:tcPr>
            <w:tcW w:w="1499" w:type="dxa"/>
            <w:vAlign w:val="center"/>
          </w:tcPr>
          <w:p w:rsidR="00A46313" w:rsidRDefault="00125795">
            <w:pPr>
              <w:jc w:val="center"/>
            </w:pPr>
            <w:r>
              <w:rPr>
                <w:color w:val="000000"/>
                <w:sz w:val="18"/>
                <w:szCs w:val="18"/>
              </w:rPr>
              <w:lastRenderedPageBreak/>
              <w:t>应付管理人报酬</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292,096.72</w:t>
            </w:r>
          </w:p>
        </w:tc>
        <w:tc>
          <w:tcPr>
            <w:tcW w:w="1500" w:type="dxa"/>
            <w:vAlign w:val="center"/>
          </w:tcPr>
          <w:p w:rsidR="00A46313" w:rsidRDefault="00125795">
            <w:pPr>
              <w:jc w:val="right"/>
            </w:pPr>
            <w:r>
              <w:rPr>
                <w:color w:val="000000"/>
                <w:sz w:val="18"/>
                <w:szCs w:val="18"/>
              </w:rPr>
              <w:t>292,096.72</w:t>
            </w:r>
          </w:p>
        </w:tc>
      </w:tr>
      <w:tr w:rsidR="00A46313">
        <w:tc>
          <w:tcPr>
            <w:tcW w:w="1499" w:type="dxa"/>
            <w:vAlign w:val="center"/>
          </w:tcPr>
          <w:p w:rsidR="00A46313" w:rsidRDefault="00125795">
            <w:pPr>
              <w:jc w:val="center"/>
            </w:pPr>
            <w:r>
              <w:rPr>
                <w:color w:val="000000"/>
                <w:sz w:val="18"/>
                <w:szCs w:val="18"/>
              </w:rPr>
              <w:t>应付托管费</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97,365.60</w:t>
            </w:r>
          </w:p>
        </w:tc>
        <w:tc>
          <w:tcPr>
            <w:tcW w:w="1500" w:type="dxa"/>
            <w:vAlign w:val="center"/>
          </w:tcPr>
          <w:p w:rsidR="00A46313" w:rsidRDefault="00125795">
            <w:pPr>
              <w:jc w:val="right"/>
            </w:pPr>
            <w:r>
              <w:rPr>
                <w:color w:val="000000"/>
                <w:sz w:val="18"/>
                <w:szCs w:val="18"/>
              </w:rPr>
              <w:t>97,365.60</w:t>
            </w:r>
          </w:p>
        </w:tc>
      </w:tr>
      <w:tr w:rsidR="00A46313">
        <w:tc>
          <w:tcPr>
            <w:tcW w:w="1499" w:type="dxa"/>
            <w:vAlign w:val="center"/>
          </w:tcPr>
          <w:p w:rsidR="00A46313" w:rsidRDefault="00125795">
            <w:pPr>
              <w:jc w:val="center"/>
            </w:pPr>
            <w:r>
              <w:rPr>
                <w:color w:val="000000"/>
                <w:sz w:val="18"/>
                <w:szCs w:val="18"/>
              </w:rPr>
              <w:t>应付销售服务费</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39,109.31</w:t>
            </w:r>
          </w:p>
        </w:tc>
        <w:tc>
          <w:tcPr>
            <w:tcW w:w="1500" w:type="dxa"/>
            <w:vAlign w:val="center"/>
          </w:tcPr>
          <w:p w:rsidR="00A46313" w:rsidRDefault="00125795">
            <w:pPr>
              <w:jc w:val="right"/>
            </w:pPr>
            <w:r>
              <w:rPr>
                <w:color w:val="000000"/>
                <w:sz w:val="18"/>
                <w:szCs w:val="18"/>
              </w:rPr>
              <w:t>39,109.31</w:t>
            </w:r>
          </w:p>
        </w:tc>
      </w:tr>
      <w:tr w:rsidR="00A46313">
        <w:tc>
          <w:tcPr>
            <w:tcW w:w="1499" w:type="dxa"/>
            <w:vAlign w:val="center"/>
          </w:tcPr>
          <w:p w:rsidR="00A46313" w:rsidRDefault="00125795">
            <w:pPr>
              <w:jc w:val="center"/>
            </w:pPr>
            <w:r>
              <w:rPr>
                <w:color w:val="000000"/>
                <w:sz w:val="18"/>
                <w:szCs w:val="18"/>
              </w:rPr>
              <w:t>应付交易费用</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15,850.20</w:t>
            </w:r>
          </w:p>
        </w:tc>
        <w:tc>
          <w:tcPr>
            <w:tcW w:w="1500" w:type="dxa"/>
            <w:vAlign w:val="center"/>
          </w:tcPr>
          <w:p w:rsidR="00A46313" w:rsidRDefault="00125795">
            <w:pPr>
              <w:jc w:val="right"/>
            </w:pPr>
            <w:r>
              <w:rPr>
                <w:color w:val="000000"/>
                <w:sz w:val="18"/>
                <w:szCs w:val="18"/>
              </w:rPr>
              <w:t>15,850.20</w:t>
            </w:r>
          </w:p>
        </w:tc>
      </w:tr>
      <w:tr w:rsidR="00A46313">
        <w:tc>
          <w:tcPr>
            <w:tcW w:w="1499" w:type="dxa"/>
            <w:vAlign w:val="center"/>
          </w:tcPr>
          <w:p w:rsidR="00A46313" w:rsidRDefault="00125795">
            <w:pPr>
              <w:jc w:val="center"/>
            </w:pPr>
            <w:r>
              <w:rPr>
                <w:color w:val="000000"/>
                <w:sz w:val="18"/>
                <w:szCs w:val="18"/>
              </w:rPr>
              <w:t>应付利息</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25,427.60</w:t>
            </w:r>
          </w:p>
        </w:tc>
        <w:tc>
          <w:tcPr>
            <w:tcW w:w="1500" w:type="dxa"/>
            <w:vAlign w:val="center"/>
          </w:tcPr>
          <w:p w:rsidR="00A46313" w:rsidRDefault="00125795">
            <w:pPr>
              <w:jc w:val="right"/>
            </w:pPr>
            <w:r>
              <w:rPr>
                <w:color w:val="000000"/>
                <w:sz w:val="18"/>
                <w:szCs w:val="18"/>
              </w:rPr>
              <w:t>25,427.60</w:t>
            </w:r>
          </w:p>
        </w:tc>
      </w:tr>
      <w:tr w:rsidR="00A46313">
        <w:tc>
          <w:tcPr>
            <w:tcW w:w="1499" w:type="dxa"/>
            <w:vAlign w:val="center"/>
          </w:tcPr>
          <w:p w:rsidR="00A46313" w:rsidRDefault="00125795">
            <w:pPr>
              <w:jc w:val="center"/>
            </w:pPr>
            <w:r>
              <w:rPr>
                <w:color w:val="000000"/>
                <w:sz w:val="18"/>
                <w:szCs w:val="18"/>
              </w:rPr>
              <w:t>其他负债</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330,305.45</w:t>
            </w:r>
          </w:p>
        </w:tc>
        <w:tc>
          <w:tcPr>
            <w:tcW w:w="1500" w:type="dxa"/>
            <w:vAlign w:val="center"/>
          </w:tcPr>
          <w:p w:rsidR="00A46313" w:rsidRDefault="00125795">
            <w:pPr>
              <w:jc w:val="right"/>
            </w:pPr>
            <w:r>
              <w:rPr>
                <w:color w:val="000000"/>
                <w:sz w:val="18"/>
                <w:szCs w:val="18"/>
              </w:rPr>
              <w:t>330,305.45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69,999,725.00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53,215,002.38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123,214,727.38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217,268,152.53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175,018,933.00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176,557,243.10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-41,546,488.42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527,297,840.21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46313">
        <w:tc>
          <w:tcPr>
            <w:tcW w:w="1499" w:type="dxa"/>
            <w:vAlign w:val="center"/>
          </w:tcPr>
          <w:p w:rsidR="00A46313" w:rsidRDefault="00125795">
            <w:pPr>
              <w:jc w:val="center"/>
            </w:pPr>
            <w:r>
              <w:rPr>
                <w:color w:val="000000"/>
                <w:sz w:val="18"/>
                <w:szCs w:val="18"/>
              </w:rPr>
              <w:t>银行存款</w:t>
            </w:r>
          </w:p>
        </w:tc>
        <w:tc>
          <w:tcPr>
            <w:tcW w:w="1499" w:type="dxa"/>
            <w:vAlign w:val="center"/>
          </w:tcPr>
          <w:p w:rsidR="00A46313" w:rsidRDefault="00125795">
            <w:pPr>
              <w:jc w:val="right"/>
            </w:pPr>
            <w:r>
              <w:rPr>
                <w:color w:val="000000"/>
                <w:sz w:val="18"/>
                <w:szCs w:val="18"/>
              </w:rPr>
              <w:t>98,638,804.86</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98,638,804.86</w:t>
            </w:r>
          </w:p>
        </w:tc>
      </w:tr>
      <w:tr w:rsidR="00A46313">
        <w:tc>
          <w:tcPr>
            <w:tcW w:w="1499" w:type="dxa"/>
            <w:vAlign w:val="center"/>
          </w:tcPr>
          <w:p w:rsidR="00A46313" w:rsidRDefault="00125795">
            <w:pPr>
              <w:jc w:val="center"/>
            </w:pPr>
            <w:r>
              <w:rPr>
                <w:color w:val="000000"/>
                <w:sz w:val="18"/>
                <w:szCs w:val="18"/>
              </w:rPr>
              <w:t>结算备付金</w:t>
            </w:r>
          </w:p>
        </w:tc>
        <w:tc>
          <w:tcPr>
            <w:tcW w:w="1499" w:type="dxa"/>
            <w:vAlign w:val="center"/>
          </w:tcPr>
          <w:p w:rsidR="00A46313" w:rsidRDefault="00125795">
            <w:pPr>
              <w:jc w:val="right"/>
            </w:pPr>
            <w:r>
              <w:rPr>
                <w:color w:val="000000"/>
                <w:sz w:val="18"/>
                <w:szCs w:val="18"/>
              </w:rPr>
              <w:t>2,820,047.93</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2,820,047.93</w:t>
            </w:r>
          </w:p>
        </w:tc>
      </w:tr>
      <w:tr w:rsidR="00A46313">
        <w:tc>
          <w:tcPr>
            <w:tcW w:w="1499" w:type="dxa"/>
            <w:vAlign w:val="center"/>
          </w:tcPr>
          <w:p w:rsidR="00A46313" w:rsidRDefault="00125795">
            <w:pPr>
              <w:jc w:val="center"/>
            </w:pPr>
            <w:r>
              <w:rPr>
                <w:color w:val="000000"/>
                <w:sz w:val="18"/>
                <w:szCs w:val="18"/>
              </w:rPr>
              <w:t>存出保证金</w:t>
            </w:r>
          </w:p>
        </w:tc>
        <w:tc>
          <w:tcPr>
            <w:tcW w:w="1499" w:type="dxa"/>
            <w:vAlign w:val="center"/>
          </w:tcPr>
          <w:p w:rsidR="00A46313" w:rsidRDefault="00125795">
            <w:pPr>
              <w:jc w:val="right"/>
            </w:pPr>
            <w:r>
              <w:rPr>
                <w:color w:val="000000"/>
                <w:sz w:val="18"/>
                <w:szCs w:val="18"/>
              </w:rPr>
              <w:t>36,958.40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36,958.40</w:t>
            </w:r>
          </w:p>
        </w:tc>
      </w:tr>
      <w:tr w:rsidR="00A46313">
        <w:tc>
          <w:tcPr>
            <w:tcW w:w="1499" w:type="dxa"/>
            <w:vAlign w:val="center"/>
          </w:tcPr>
          <w:p w:rsidR="00A46313" w:rsidRDefault="00125795">
            <w:pPr>
              <w:jc w:val="center"/>
            </w:pPr>
            <w:r>
              <w:rPr>
                <w:color w:val="000000"/>
                <w:sz w:val="18"/>
                <w:szCs w:val="18"/>
              </w:rPr>
              <w:t>交易性金融资产</w:t>
            </w:r>
          </w:p>
        </w:tc>
        <w:tc>
          <w:tcPr>
            <w:tcW w:w="1499" w:type="dxa"/>
            <w:vAlign w:val="center"/>
          </w:tcPr>
          <w:p w:rsidR="00A46313" w:rsidRDefault="00125795">
            <w:pPr>
              <w:jc w:val="right"/>
            </w:pPr>
            <w:r>
              <w:rPr>
                <w:color w:val="000000"/>
                <w:sz w:val="18"/>
                <w:szCs w:val="18"/>
              </w:rPr>
              <w:t>411,518,000.00</w:t>
            </w:r>
          </w:p>
        </w:tc>
        <w:tc>
          <w:tcPr>
            <w:tcW w:w="1500" w:type="dxa"/>
            <w:vAlign w:val="center"/>
          </w:tcPr>
          <w:p w:rsidR="00A46313" w:rsidRDefault="00125795">
            <w:pPr>
              <w:jc w:val="right"/>
            </w:pPr>
            <w:r>
              <w:rPr>
                <w:color w:val="000000"/>
                <w:sz w:val="18"/>
                <w:szCs w:val="18"/>
              </w:rPr>
              <w:t>950,421,973.91</w:t>
            </w:r>
          </w:p>
        </w:tc>
        <w:tc>
          <w:tcPr>
            <w:tcW w:w="1500" w:type="dxa"/>
            <w:vAlign w:val="center"/>
          </w:tcPr>
          <w:p w:rsidR="00A46313" w:rsidRDefault="00125795">
            <w:pPr>
              <w:jc w:val="right"/>
            </w:pPr>
            <w:r>
              <w:rPr>
                <w:color w:val="000000"/>
                <w:sz w:val="18"/>
                <w:szCs w:val="18"/>
              </w:rPr>
              <w:t>426,343,732.00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1,788,283,705.91</w:t>
            </w:r>
          </w:p>
        </w:tc>
      </w:tr>
      <w:tr w:rsidR="00A46313">
        <w:tc>
          <w:tcPr>
            <w:tcW w:w="1499" w:type="dxa"/>
            <w:vAlign w:val="center"/>
          </w:tcPr>
          <w:p w:rsidR="00A46313" w:rsidRDefault="00125795">
            <w:pPr>
              <w:jc w:val="center"/>
            </w:pPr>
            <w:r>
              <w:rPr>
                <w:color w:val="000000"/>
                <w:sz w:val="18"/>
                <w:szCs w:val="18"/>
              </w:rPr>
              <w:t>买入返售金融资产</w:t>
            </w:r>
          </w:p>
        </w:tc>
        <w:tc>
          <w:tcPr>
            <w:tcW w:w="1499" w:type="dxa"/>
            <w:vAlign w:val="center"/>
          </w:tcPr>
          <w:p w:rsidR="00A46313" w:rsidRDefault="00125795">
            <w:pPr>
              <w:jc w:val="right"/>
            </w:pPr>
            <w:r>
              <w:rPr>
                <w:color w:val="000000"/>
                <w:sz w:val="18"/>
                <w:szCs w:val="18"/>
              </w:rPr>
              <w:t>125,492,011.48</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125,492,011.48</w:t>
            </w:r>
          </w:p>
        </w:tc>
      </w:tr>
      <w:tr w:rsidR="00A46313">
        <w:tc>
          <w:tcPr>
            <w:tcW w:w="1499" w:type="dxa"/>
            <w:vAlign w:val="center"/>
          </w:tcPr>
          <w:p w:rsidR="00A46313" w:rsidRDefault="00125795">
            <w:pPr>
              <w:jc w:val="center"/>
            </w:pPr>
            <w:r>
              <w:rPr>
                <w:color w:val="000000"/>
                <w:sz w:val="18"/>
                <w:szCs w:val="18"/>
              </w:rPr>
              <w:t>应收利息</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24,079,333.13</w:t>
            </w:r>
          </w:p>
        </w:tc>
        <w:tc>
          <w:tcPr>
            <w:tcW w:w="1500" w:type="dxa"/>
            <w:vAlign w:val="center"/>
          </w:tcPr>
          <w:p w:rsidR="00A46313" w:rsidRDefault="00125795">
            <w:pPr>
              <w:jc w:val="right"/>
            </w:pPr>
            <w:r>
              <w:rPr>
                <w:color w:val="000000"/>
                <w:sz w:val="18"/>
                <w:szCs w:val="18"/>
              </w:rPr>
              <w:t>24,079,333.13</w:t>
            </w:r>
          </w:p>
        </w:tc>
      </w:tr>
      <w:tr w:rsidR="00A46313">
        <w:tc>
          <w:tcPr>
            <w:tcW w:w="1499" w:type="dxa"/>
            <w:vAlign w:val="center"/>
          </w:tcPr>
          <w:p w:rsidR="00A46313" w:rsidRDefault="00125795">
            <w:pPr>
              <w:jc w:val="center"/>
            </w:pPr>
            <w:r>
              <w:rPr>
                <w:color w:val="000000"/>
                <w:sz w:val="18"/>
                <w:szCs w:val="18"/>
              </w:rPr>
              <w:t>应收申购款</w:t>
            </w:r>
          </w:p>
        </w:tc>
        <w:tc>
          <w:tcPr>
            <w:tcW w:w="1499" w:type="dxa"/>
            <w:vAlign w:val="center"/>
          </w:tcPr>
          <w:p w:rsidR="00A46313" w:rsidRDefault="00125795">
            <w:pPr>
              <w:jc w:val="right"/>
            </w:pPr>
            <w:r>
              <w:rPr>
                <w:color w:val="000000"/>
                <w:sz w:val="18"/>
                <w:szCs w:val="18"/>
              </w:rPr>
              <w:t>50,000.00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754,749.36</w:t>
            </w:r>
          </w:p>
        </w:tc>
        <w:tc>
          <w:tcPr>
            <w:tcW w:w="1500" w:type="dxa"/>
            <w:vAlign w:val="center"/>
          </w:tcPr>
          <w:p w:rsidR="00A46313" w:rsidRDefault="00125795">
            <w:pPr>
              <w:jc w:val="right"/>
            </w:pPr>
            <w:r>
              <w:rPr>
                <w:color w:val="000000"/>
                <w:sz w:val="18"/>
                <w:szCs w:val="18"/>
              </w:rPr>
              <w:t>804,749.36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638,555,822.67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950,421,973.91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426,343,732.00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24,834,082.49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2,040,155,611.07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46313">
        <w:tc>
          <w:tcPr>
            <w:tcW w:w="1499" w:type="dxa"/>
            <w:vAlign w:val="center"/>
          </w:tcPr>
          <w:p w:rsidR="00A46313" w:rsidRDefault="00125795">
            <w:pPr>
              <w:jc w:val="center"/>
            </w:pPr>
            <w:r>
              <w:rPr>
                <w:color w:val="000000"/>
                <w:sz w:val="18"/>
                <w:szCs w:val="18"/>
              </w:rPr>
              <w:t>卖出回购金融资产款</w:t>
            </w:r>
          </w:p>
        </w:tc>
        <w:tc>
          <w:tcPr>
            <w:tcW w:w="1499" w:type="dxa"/>
            <w:vAlign w:val="center"/>
          </w:tcPr>
          <w:p w:rsidR="00A46313" w:rsidRDefault="00125795">
            <w:pPr>
              <w:jc w:val="right"/>
            </w:pPr>
            <w:r>
              <w:rPr>
                <w:color w:val="000000"/>
                <w:sz w:val="18"/>
                <w:szCs w:val="18"/>
              </w:rPr>
              <w:t>669,998,985.00</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669,998,985.00</w:t>
            </w:r>
          </w:p>
        </w:tc>
      </w:tr>
      <w:tr w:rsidR="00A46313">
        <w:tc>
          <w:tcPr>
            <w:tcW w:w="1499" w:type="dxa"/>
            <w:vAlign w:val="center"/>
          </w:tcPr>
          <w:p w:rsidR="00A46313" w:rsidRDefault="00125795">
            <w:pPr>
              <w:jc w:val="center"/>
            </w:pPr>
            <w:r>
              <w:rPr>
                <w:color w:val="000000"/>
                <w:sz w:val="18"/>
                <w:szCs w:val="18"/>
              </w:rPr>
              <w:t>应付证券清算款</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14,992,499.36</w:t>
            </w:r>
          </w:p>
        </w:tc>
        <w:tc>
          <w:tcPr>
            <w:tcW w:w="1500" w:type="dxa"/>
            <w:vAlign w:val="center"/>
          </w:tcPr>
          <w:p w:rsidR="00A46313" w:rsidRDefault="00125795">
            <w:pPr>
              <w:jc w:val="right"/>
            </w:pPr>
            <w:r>
              <w:rPr>
                <w:color w:val="000000"/>
                <w:sz w:val="18"/>
                <w:szCs w:val="18"/>
              </w:rPr>
              <w:t>14,992,499.36</w:t>
            </w:r>
          </w:p>
        </w:tc>
      </w:tr>
      <w:tr w:rsidR="00A46313">
        <w:tc>
          <w:tcPr>
            <w:tcW w:w="1499" w:type="dxa"/>
            <w:vAlign w:val="center"/>
          </w:tcPr>
          <w:p w:rsidR="00A46313" w:rsidRDefault="00125795">
            <w:pPr>
              <w:jc w:val="center"/>
            </w:pPr>
            <w:r>
              <w:rPr>
                <w:color w:val="000000"/>
                <w:sz w:val="18"/>
                <w:szCs w:val="18"/>
              </w:rPr>
              <w:t>应付赎回款</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1,343,112.61</w:t>
            </w:r>
          </w:p>
        </w:tc>
        <w:tc>
          <w:tcPr>
            <w:tcW w:w="1500" w:type="dxa"/>
            <w:vAlign w:val="center"/>
          </w:tcPr>
          <w:p w:rsidR="00A46313" w:rsidRDefault="00125795">
            <w:pPr>
              <w:jc w:val="right"/>
            </w:pPr>
            <w:r>
              <w:rPr>
                <w:color w:val="000000"/>
                <w:sz w:val="18"/>
                <w:szCs w:val="18"/>
              </w:rPr>
              <w:t>1,343,112.61</w:t>
            </w:r>
          </w:p>
        </w:tc>
      </w:tr>
      <w:tr w:rsidR="00A46313">
        <w:tc>
          <w:tcPr>
            <w:tcW w:w="1499" w:type="dxa"/>
            <w:vAlign w:val="center"/>
          </w:tcPr>
          <w:p w:rsidR="00A46313" w:rsidRDefault="00125795">
            <w:pPr>
              <w:jc w:val="center"/>
            </w:pPr>
            <w:r>
              <w:rPr>
                <w:color w:val="000000"/>
                <w:sz w:val="18"/>
                <w:szCs w:val="18"/>
              </w:rPr>
              <w:t>应付管理人报酬</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681,869.03</w:t>
            </w:r>
          </w:p>
        </w:tc>
        <w:tc>
          <w:tcPr>
            <w:tcW w:w="1500" w:type="dxa"/>
            <w:vAlign w:val="center"/>
          </w:tcPr>
          <w:p w:rsidR="00A46313" w:rsidRDefault="00125795">
            <w:pPr>
              <w:jc w:val="right"/>
            </w:pPr>
            <w:r>
              <w:rPr>
                <w:color w:val="000000"/>
                <w:sz w:val="18"/>
                <w:szCs w:val="18"/>
              </w:rPr>
              <w:t>681,869.03</w:t>
            </w:r>
          </w:p>
        </w:tc>
      </w:tr>
      <w:tr w:rsidR="00A46313">
        <w:tc>
          <w:tcPr>
            <w:tcW w:w="1499" w:type="dxa"/>
            <w:vAlign w:val="center"/>
          </w:tcPr>
          <w:p w:rsidR="00A46313" w:rsidRDefault="00125795">
            <w:pPr>
              <w:jc w:val="center"/>
            </w:pPr>
            <w:r>
              <w:rPr>
                <w:color w:val="000000"/>
                <w:sz w:val="18"/>
                <w:szCs w:val="18"/>
              </w:rPr>
              <w:t>应付托管费</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227,289.68</w:t>
            </w:r>
          </w:p>
        </w:tc>
        <w:tc>
          <w:tcPr>
            <w:tcW w:w="1500" w:type="dxa"/>
            <w:vAlign w:val="center"/>
          </w:tcPr>
          <w:p w:rsidR="00A46313" w:rsidRDefault="00125795">
            <w:pPr>
              <w:jc w:val="right"/>
            </w:pPr>
            <w:r>
              <w:rPr>
                <w:color w:val="000000"/>
                <w:sz w:val="18"/>
                <w:szCs w:val="18"/>
              </w:rPr>
              <w:t>227,289.68</w:t>
            </w:r>
          </w:p>
        </w:tc>
      </w:tr>
      <w:tr w:rsidR="00A46313">
        <w:tc>
          <w:tcPr>
            <w:tcW w:w="1499" w:type="dxa"/>
            <w:vAlign w:val="center"/>
          </w:tcPr>
          <w:p w:rsidR="00A46313" w:rsidRDefault="00125795">
            <w:pPr>
              <w:jc w:val="center"/>
            </w:pPr>
            <w:r>
              <w:rPr>
                <w:color w:val="000000"/>
                <w:sz w:val="18"/>
                <w:szCs w:val="18"/>
              </w:rPr>
              <w:t>应付销售服务费</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106,657.23</w:t>
            </w:r>
          </w:p>
        </w:tc>
        <w:tc>
          <w:tcPr>
            <w:tcW w:w="1500" w:type="dxa"/>
            <w:vAlign w:val="center"/>
          </w:tcPr>
          <w:p w:rsidR="00A46313" w:rsidRDefault="00125795">
            <w:pPr>
              <w:jc w:val="right"/>
            </w:pPr>
            <w:r>
              <w:rPr>
                <w:color w:val="000000"/>
                <w:sz w:val="18"/>
                <w:szCs w:val="18"/>
              </w:rPr>
              <w:t>106,657.23</w:t>
            </w:r>
          </w:p>
        </w:tc>
      </w:tr>
      <w:tr w:rsidR="00A46313">
        <w:tc>
          <w:tcPr>
            <w:tcW w:w="1499" w:type="dxa"/>
            <w:vAlign w:val="center"/>
          </w:tcPr>
          <w:p w:rsidR="00A46313" w:rsidRDefault="00125795">
            <w:pPr>
              <w:jc w:val="center"/>
            </w:pPr>
            <w:r>
              <w:rPr>
                <w:color w:val="000000"/>
                <w:sz w:val="18"/>
                <w:szCs w:val="18"/>
              </w:rPr>
              <w:t>应付交易费用</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39,501.19</w:t>
            </w:r>
          </w:p>
        </w:tc>
        <w:tc>
          <w:tcPr>
            <w:tcW w:w="1500" w:type="dxa"/>
            <w:vAlign w:val="center"/>
          </w:tcPr>
          <w:p w:rsidR="00A46313" w:rsidRDefault="00125795">
            <w:pPr>
              <w:jc w:val="right"/>
            </w:pPr>
            <w:r>
              <w:rPr>
                <w:color w:val="000000"/>
                <w:sz w:val="18"/>
                <w:szCs w:val="18"/>
              </w:rPr>
              <w:t>39,501.19</w:t>
            </w:r>
          </w:p>
        </w:tc>
      </w:tr>
      <w:tr w:rsidR="00A46313">
        <w:tc>
          <w:tcPr>
            <w:tcW w:w="1499" w:type="dxa"/>
            <w:vAlign w:val="center"/>
          </w:tcPr>
          <w:p w:rsidR="00A46313" w:rsidRDefault="00125795">
            <w:pPr>
              <w:jc w:val="center"/>
            </w:pPr>
            <w:r>
              <w:rPr>
                <w:color w:val="000000"/>
                <w:sz w:val="18"/>
                <w:szCs w:val="18"/>
              </w:rPr>
              <w:t>应付利息</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132,913.60</w:t>
            </w:r>
          </w:p>
        </w:tc>
        <w:tc>
          <w:tcPr>
            <w:tcW w:w="1500" w:type="dxa"/>
            <w:vAlign w:val="center"/>
          </w:tcPr>
          <w:p w:rsidR="00A46313" w:rsidRDefault="00125795">
            <w:pPr>
              <w:jc w:val="right"/>
            </w:pPr>
            <w:r>
              <w:rPr>
                <w:color w:val="000000"/>
                <w:sz w:val="18"/>
                <w:szCs w:val="18"/>
              </w:rPr>
              <w:t>132,913.60</w:t>
            </w:r>
          </w:p>
        </w:tc>
      </w:tr>
      <w:tr w:rsidR="00A46313">
        <w:tc>
          <w:tcPr>
            <w:tcW w:w="1499" w:type="dxa"/>
            <w:vAlign w:val="center"/>
          </w:tcPr>
          <w:p w:rsidR="00A46313" w:rsidRDefault="00125795">
            <w:pPr>
              <w:jc w:val="center"/>
            </w:pPr>
            <w:r>
              <w:rPr>
                <w:color w:val="000000"/>
                <w:sz w:val="18"/>
                <w:szCs w:val="18"/>
              </w:rPr>
              <w:t>其他负债</w:t>
            </w:r>
          </w:p>
        </w:tc>
        <w:tc>
          <w:tcPr>
            <w:tcW w:w="1499"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w:t>
            </w:r>
          </w:p>
        </w:tc>
        <w:tc>
          <w:tcPr>
            <w:tcW w:w="1500" w:type="dxa"/>
            <w:vAlign w:val="center"/>
          </w:tcPr>
          <w:p w:rsidR="00A46313" w:rsidRDefault="00125795">
            <w:pPr>
              <w:jc w:val="right"/>
            </w:pPr>
            <w:r>
              <w:rPr>
                <w:color w:val="000000"/>
                <w:sz w:val="18"/>
                <w:szCs w:val="18"/>
              </w:rPr>
              <w:t>331,469.25</w:t>
            </w:r>
          </w:p>
        </w:tc>
        <w:tc>
          <w:tcPr>
            <w:tcW w:w="1500" w:type="dxa"/>
            <w:vAlign w:val="center"/>
          </w:tcPr>
          <w:p w:rsidR="00A46313" w:rsidRDefault="00125795">
            <w:pPr>
              <w:jc w:val="right"/>
            </w:pPr>
            <w:r>
              <w:rPr>
                <w:color w:val="000000"/>
                <w:sz w:val="18"/>
                <w:szCs w:val="18"/>
              </w:rPr>
              <w:t>331,469.25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669,998,985.00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17,855,311.95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687,854,296.95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-31,443,162.33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950,421,973.91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426,343,732.00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6,978,770.54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1,352,301,314.12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46313">
        <w:tc>
          <w:tcPr>
            <w:tcW w:w="1276" w:type="dxa"/>
            <w:vAlign w:val="center"/>
          </w:tcPr>
          <w:p w:rsidR="00A46313" w:rsidRDefault="00125795">
            <w:pPr>
              <w:jc w:val="left"/>
            </w:pPr>
            <w:r>
              <w:rPr>
                <w:color w:val="000000"/>
                <w:sz w:val="24"/>
              </w:rPr>
              <w:t>假设</w:t>
            </w:r>
          </w:p>
        </w:tc>
        <w:tc>
          <w:tcPr>
            <w:tcW w:w="7722" w:type="dxa"/>
            <w:gridSpan w:val="3"/>
            <w:vAlign w:val="center"/>
          </w:tcPr>
          <w:p w:rsidR="00A46313" w:rsidRDefault="0012579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46313">
        <w:tc>
          <w:tcPr>
            <w:tcW w:w="1276" w:type="dxa"/>
            <w:vMerge/>
          </w:tcPr>
          <w:p w:rsidR="00A46313" w:rsidRDefault="00A46313"/>
        </w:tc>
        <w:tc>
          <w:tcPr>
            <w:tcW w:w="2693" w:type="dxa"/>
            <w:vAlign w:val="center"/>
          </w:tcPr>
          <w:p w:rsidR="00A46313" w:rsidRDefault="00125795">
            <w:pPr>
              <w:jc w:val="left"/>
            </w:pPr>
            <w:r>
              <w:rPr>
                <w:color w:val="000000"/>
                <w:sz w:val="24"/>
              </w:rPr>
              <w:t>市场利率上升</w:t>
            </w:r>
            <w:r>
              <w:rPr>
                <w:color w:val="000000"/>
                <w:sz w:val="24"/>
              </w:rPr>
              <w:t>25</w:t>
            </w:r>
            <w:r>
              <w:rPr>
                <w:color w:val="000000"/>
                <w:sz w:val="24"/>
              </w:rPr>
              <w:t>个基点</w:t>
            </w:r>
          </w:p>
        </w:tc>
        <w:tc>
          <w:tcPr>
            <w:tcW w:w="2780" w:type="dxa"/>
            <w:vAlign w:val="center"/>
          </w:tcPr>
          <w:p w:rsidR="00A46313" w:rsidRDefault="00125795">
            <w:pPr>
              <w:jc w:val="right"/>
            </w:pPr>
            <w:r>
              <w:rPr>
                <w:color w:val="000000"/>
                <w:sz w:val="24"/>
              </w:rPr>
              <w:t>减少约</w:t>
            </w:r>
            <w:r>
              <w:rPr>
                <w:color w:val="000000"/>
                <w:sz w:val="24"/>
              </w:rPr>
              <w:t>385</w:t>
            </w:r>
          </w:p>
        </w:tc>
        <w:tc>
          <w:tcPr>
            <w:tcW w:w="2249" w:type="dxa"/>
            <w:vAlign w:val="center"/>
          </w:tcPr>
          <w:p w:rsidR="00A46313" w:rsidRDefault="00125795">
            <w:pPr>
              <w:jc w:val="right"/>
            </w:pPr>
            <w:r>
              <w:rPr>
                <w:color w:val="000000"/>
                <w:sz w:val="24"/>
              </w:rPr>
              <w:t>减少约</w:t>
            </w:r>
            <w:r>
              <w:rPr>
                <w:color w:val="000000"/>
                <w:sz w:val="24"/>
              </w:rPr>
              <w:t>1,608</w:t>
            </w:r>
          </w:p>
        </w:tc>
      </w:tr>
      <w:tr w:rsidR="00A46313">
        <w:tc>
          <w:tcPr>
            <w:tcW w:w="1276" w:type="dxa"/>
            <w:vMerge/>
          </w:tcPr>
          <w:p w:rsidR="00A46313" w:rsidRDefault="00A46313"/>
        </w:tc>
        <w:tc>
          <w:tcPr>
            <w:tcW w:w="2693" w:type="dxa"/>
            <w:vAlign w:val="center"/>
          </w:tcPr>
          <w:p w:rsidR="00A46313" w:rsidRDefault="00125795">
            <w:pPr>
              <w:jc w:val="left"/>
            </w:pPr>
            <w:r>
              <w:rPr>
                <w:color w:val="000000"/>
                <w:sz w:val="24"/>
              </w:rPr>
              <w:t>市场利率下降</w:t>
            </w:r>
            <w:r>
              <w:rPr>
                <w:color w:val="000000"/>
                <w:sz w:val="24"/>
              </w:rPr>
              <w:t>25</w:t>
            </w:r>
            <w:r>
              <w:rPr>
                <w:color w:val="000000"/>
                <w:sz w:val="24"/>
              </w:rPr>
              <w:t>个基点</w:t>
            </w:r>
          </w:p>
        </w:tc>
        <w:tc>
          <w:tcPr>
            <w:tcW w:w="2780" w:type="dxa"/>
            <w:vAlign w:val="center"/>
          </w:tcPr>
          <w:p w:rsidR="00A46313" w:rsidRDefault="00125795">
            <w:pPr>
              <w:jc w:val="right"/>
            </w:pPr>
            <w:r>
              <w:rPr>
                <w:color w:val="000000"/>
                <w:sz w:val="24"/>
              </w:rPr>
              <w:t>增加约</w:t>
            </w:r>
            <w:r>
              <w:rPr>
                <w:color w:val="000000"/>
                <w:sz w:val="24"/>
              </w:rPr>
              <w:t>391</w:t>
            </w:r>
          </w:p>
        </w:tc>
        <w:tc>
          <w:tcPr>
            <w:tcW w:w="2249" w:type="dxa"/>
            <w:vAlign w:val="center"/>
          </w:tcPr>
          <w:p w:rsidR="00A46313" w:rsidRDefault="00125795">
            <w:pPr>
              <w:jc w:val="right"/>
            </w:pPr>
            <w:r>
              <w:rPr>
                <w:color w:val="000000"/>
                <w:sz w:val="24"/>
              </w:rPr>
              <w:t>增加约</w:t>
            </w:r>
            <w:r>
              <w:rPr>
                <w:color w:val="000000"/>
                <w:sz w:val="24"/>
              </w:rPr>
              <w:t>1,638</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A46313" w:rsidRDefault="0012579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日：无</w:t>
      </w:r>
      <w:r w:rsidRPr="009F6B95">
        <w:rPr>
          <w:kern w:val="0"/>
          <w:sz w:val="24"/>
        </w:rPr>
        <w:t>)</w:t>
      </w:r>
      <w:r w:rsidRPr="009F6B95">
        <w:rPr>
          <w:kern w:val="0"/>
          <w:sz w:val="24"/>
        </w:rPr>
        <w:t>，因此除市场利率和外汇汇率以外的市场价格因素的变动对于本基金资产净值无重大影响</w:t>
      </w:r>
      <w:r w:rsidRPr="009F6B95">
        <w:rPr>
          <w:kern w:val="0"/>
          <w:sz w:val="24"/>
        </w:rPr>
        <w:t>(2015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A46313" w:rsidRDefault="00125795">
      <w:pPr>
        <w:spacing w:before="29" w:line="288" w:lineRule="auto"/>
        <w:ind w:firstLineChars="200" w:firstLine="480"/>
        <w:rPr>
          <w:kern w:val="0"/>
          <w:sz w:val="24"/>
        </w:rPr>
      </w:pPr>
      <w:r>
        <w:rPr>
          <w:kern w:val="0"/>
          <w:sz w:val="24"/>
        </w:rPr>
        <w:t>(1)</w:t>
      </w:r>
      <w:r>
        <w:rPr>
          <w:kern w:val="0"/>
          <w:sz w:val="24"/>
        </w:rPr>
        <w:t>公允价值</w:t>
      </w:r>
    </w:p>
    <w:p w:rsidR="00A46313" w:rsidRDefault="00125795">
      <w:pPr>
        <w:spacing w:before="29" w:line="288" w:lineRule="auto"/>
        <w:ind w:firstLineChars="200" w:firstLine="480"/>
        <w:rPr>
          <w:kern w:val="0"/>
          <w:sz w:val="24"/>
        </w:rPr>
      </w:pPr>
      <w:r>
        <w:rPr>
          <w:kern w:val="0"/>
          <w:sz w:val="24"/>
        </w:rPr>
        <w:t>(a)</w:t>
      </w:r>
      <w:r>
        <w:rPr>
          <w:kern w:val="0"/>
          <w:sz w:val="24"/>
        </w:rPr>
        <w:t>金融工具公允价值计量的方法</w:t>
      </w:r>
    </w:p>
    <w:p w:rsidR="00A46313" w:rsidRDefault="00125795">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46313" w:rsidRDefault="00125795">
      <w:pPr>
        <w:spacing w:before="29" w:line="288" w:lineRule="auto"/>
        <w:ind w:firstLineChars="200" w:firstLine="480"/>
        <w:rPr>
          <w:kern w:val="0"/>
          <w:sz w:val="24"/>
        </w:rPr>
      </w:pPr>
      <w:r>
        <w:rPr>
          <w:kern w:val="0"/>
          <w:sz w:val="24"/>
        </w:rPr>
        <w:t>第一层次：相同资产或负债在活跃市场上未经调整的报价。</w:t>
      </w:r>
    </w:p>
    <w:p w:rsidR="00A46313" w:rsidRDefault="00125795">
      <w:pPr>
        <w:spacing w:before="29" w:line="288" w:lineRule="auto"/>
        <w:ind w:firstLineChars="200" w:firstLine="480"/>
        <w:rPr>
          <w:kern w:val="0"/>
          <w:sz w:val="24"/>
        </w:rPr>
      </w:pPr>
      <w:r>
        <w:rPr>
          <w:kern w:val="0"/>
          <w:sz w:val="24"/>
        </w:rPr>
        <w:t>第二层次：除第一层次输入值外相关资产或负债直接或间接可观察的输入值。</w:t>
      </w:r>
    </w:p>
    <w:p w:rsidR="00A46313" w:rsidRDefault="00125795">
      <w:pPr>
        <w:spacing w:before="29" w:line="288" w:lineRule="auto"/>
        <w:ind w:firstLineChars="200" w:firstLine="480"/>
        <w:rPr>
          <w:kern w:val="0"/>
          <w:sz w:val="24"/>
        </w:rPr>
      </w:pPr>
      <w:r>
        <w:rPr>
          <w:kern w:val="0"/>
          <w:sz w:val="24"/>
        </w:rPr>
        <w:t>第三层次：相关资产或负债的不可观察输入值。</w:t>
      </w:r>
    </w:p>
    <w:p w:rsidR="00A46313" w:rsidRDefault="00125795">
      <w:pPr>
        <w:spacing w:before="29" w:line="288" w:lineRule="auto"/>
        <w:ind w:firstLineChars="200" w:firstLine="480"/>
        <w:rPr>
          <w:kern w:val="0"/>
          <w:sz w:val="24"/>
        </w:rPr>
      </w:pPr>
      <w:r>
        <w:rPr>
          <w:kern w:val="0"/>
          <w:sz w:val="24"/>
        </w:rPr>
        <w:t>(b)</w:t>
      </w:r>
      <w:r>
        <w:rPr>
          <w:kern w:val="0"/>
          <w:sz w:val="24"/>
        </w:rPr>
        <w:t>持续的以公允价值计量的金融工具</w:t>
      </w:r>
    </w:p>
    <w:p w:rsidR="00A46313" w:rsidRDefault="00125795">
      <w:pPr>
        <w:spacing w:before="29" w:line="288" w:lineRule="auto"/>
        <w:ind w:firstLineChars="200" w:firstLine="480"/>
        <w:rPr>
          <w:kern w:val="0"/>
          <w:sz w:val="24"/>
        </w:rPr>
      </w:pPr>
      <w:r>
        <w:rPr>
          <w:kern w:val="0"/>
          <w:sz w:val="24"/>
        </w:rPr>
        <w:t>(i)</w:t>
      </w:r>
      <w:r>
        <w:rPr>
          <w:kern w:val="0"/>
          <w:sz w:val="24"/>
        </w:rPr>
        <w:t>各层次金融工具公允价值</w:t>
      </w:r>
    </w:p>
    <w:p w:rsidR="00A46313" w:rsidRDefault="00125795">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111,167.10</w:t>
      </w:r>
      <w:r>
        <w:rPr>
          <w:kern w:val="0"/>
          <w:sz w:val="24"/>
        </w:rPr>
        <w:t>元，属于第二层次的余额为</w:t>
      </w:r>
      <w:r>
        <w:rPr>
          <w:kern w:val="0"/>
          <w:sz w:val="24"/>
        </w:rPr>
        <w:t>579,502,001.09</w:t>
      </w:r>
      <w:r>
        <w:rPr>
          <w:kern w:val="0"/>
          <w:sz w:val="24"/>
        </w:rPr>
        <w:t>元，无属于第三层次的余额</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32,349,351.71</w:t>
      </w:r>
      <w:r>
        <w:rPr>
          <w:kern w:val="0"/>
          <w:sz w:val="24"/>
        </w:rPr>
        <w:t>元，第二层次</w:t>
      </w:r>
      <w:r>
        <w:rPr>
          <w:kern w:val="0"/>
          <w:sz w:val="24"/>
        </w:rPr>
        <w:lastRenderedPageBreak/>
        <w:t>1,755,934,354.20</w:t>
      </w:r>
      <w:r>
        <w:rPr>
          <w:kern w:val="0"/>
          <w:sz w:val="24"/>
        </w:rPr>
        <w:t>元，无第三层次</w:t>
      </w:r>
      <w:r>
        <w:rPr>
          <w:kern w:val="0"/>
          <w:sz w:val="24"/>
        </w:rPr>
        <w:t>)</w:t>
      </w:r>
      <w:r>
        <w:rPr>
          <w:kern w:val="0"/>
          <w:sz w:val="24"/>
        </w:rPr>
        <w:t>。</w:t>
      </w:r>
    </w:p>
    <w:p w:rsidR="00A46313" w:rsidRDefault="00125795">
      <w:pPr>
        <w:spacing w:before="29" w:line="288" w:lineRule="auto"/>
        <w:ind w:firstLineChars="200" w:firstLine="480"/>
        <w:rPr>
          <w:kern w:val="0"/>
          <w:sz w:val="24"/>
        </w:rPr>
      </w:pPr>
      <w:r>
        <w:rPr>
          <w:kern w:val="0"/>
          <w:sz w:val="24"/>
        </w:rPr>
        <w:t>(ii)</w:t>
      </w:r>
      <w:r>
        <w:rPr>
          <w:kern w:val="0"/>
          <w:sz w:val="24"/>
        </w:rPr>
        <w:t>公允价值所属层次间的重大变动</w:t>
      </w:r>
    </w:p>
    <w:p w:rsidR="00A46313" w:rsidRDefault="00125795">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46313" w:rsidRDefault="00125795">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A46313" w:rsidRDefault="00125795">
      <w:pPr>
        <w:spacing w:before="29" w:line="288" w:lineRule="auto"/>
        <w:ind w:firstLineChars="200" w:firstLine="480"/>
        <w:rPr>
          <w:kern w:val="0"/>
          <w:sz w:val="24"/>
        </w:rPr>
      </w:pPr>
      <w:r>
        <w:rPr>
          <w:kern w:val="0"/>
          <w:sz w:val="24"/>
        </w:rPr>
        <w:t>无。</w:t>
      </w:r>
    </w:p>
    <w:p w:rsidR="00A46313" w:rsidRDefault="00125795">
      <w:pPr>
        <w:spacing w:before="29" w:line="288" w:lineRule="auto"/>
        <w:ind w:firstLineChars="200" w:firstLine="480"/>
        <w:rPr>
          <w:kern w:val="0"/>
          <w:sz w:val="24"/>
        </w:rPr>
      </w:pPr>
      <w:r>
        <w:rPr>
          <w:kern w:val="0"/>
          <w:sz w:val="24"/>
        </w:rPr>
        <w:t>(c)</w:t>
      </w:r>
      <w:r>
        <w:rPr>
          <w:kern w:val="0"/>
          <w:sz w:val="24"/>
        </w:rPr>
        <w:t>非持续的以公允价值计量的金融工具</w:t>
      </w:r>
    </w:p>
    <w:p w:rsidR="00A46313" w:rsidRDefault="00125795">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46313" w:rsidRDefault="00125795">
      <w:pPr>
        <w:spacing w:before="29" w:line="288" w:lineRule="auto"/>
        <w:ind w:firstLineChars="200" w:firstLine="480"/>
        <w:rPr>
          <w:kern w:val="0"/>
          <w:sz w:val="24"/>
        </w:rPr>
      </w:pPr>
      <w:r>
        <w:rPr>
          <w:kern w:val="0"/>
          <w:sz w:val="24"/>
        </w:rPr>
        <w:t>(d)</w:t>
      </w:r>
      <w:r>
        <w:rPr>
          <w:kern w:val="0"/>
          <w:sz w:val="24"/>
        </w:rPr>
        <w:t>不以公允价值计量的金融工具</w:t>
      </w:r>
    </w:p>
    <w:p w:rsidR="00A46313" w:rsidRDefault="00125795">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236543"/>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4211FD" w:rsidRDefault="001A59F9" w:rsidP="004211FD">
      <w:pPr>
        <w:pStyle w:val="20"/>
        <w:spacing w:before="29" w:after="0" w:line="288" w:lineRule="auto"/>
        <w:rPr>
          <w:b w:val="0"/>
          <w:kern w:val="0"/>
        </w:rPr>
      </w:pPr>
      <w:bookmarkStart w:id="124" w:name="_Toc225498273"/>
      <w:bookmarkStart w:id="125" w:name="_Toc361324878"/>
      <w:bookmarkStart w:id="126" w:name="_Toc478236544"/>
      <w:r w:rsidRPr="004211FD">
        <w:rPr>
          <w:rFonts w:ascii="Times New Roman" w:hAnsi="Times New Roman"/>
          <w:kern w:val="0"/>
          <w:szCs w:val="24"/>
        </w:rPr>
        <w:t>8.1</w:t>
      </w:r>
      <w:r w:rsidR="00024200" w:rsidRPr="004211FD">
        <w:rPr>
          <w:rFonts w:ascii="Times New Roman" w:hAnsi="Times New Roman"/>
          <w:kern w:val="0"/>
          <w:szCs w:val="24"/>
        </w:rPr>
        <w:t xml:space="preserve"> </w:t>
      </w:r>
      <w:r w:rsidRPr="004211FD">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579,613,168.19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89.10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504,885,699.70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77.61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74,727,468.49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11.49</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59,224,780.96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9.10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lastRenderedPageBreak/>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11,674,618.44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650,512,567.59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27" w:name="_Toc225498274"/>
      <w:bookmarkStart w:id="128" w:name="_Toc361324879"/>
      <w:bookmarkStart w:id="129" w:name="_Toc478236545"/>
      <w:r w:rsidRPr="004211FD">
        <w:rPr>
          <w:rFonts w:ascii="Times New Roman" w:hAnsi="Times New Roman"/>
          <w:kern w:val="0"/>
          <w:szCs w:val="24"/>
        </w:rPr>
        <w:t>8.2</w:t>
      </w:r>
      <w:r w:rsidR="00024200" w:rsidRPr="004211FD">
        <w:rPr>
          <w:rFonts w:ascii="Times New Roman" w:hAnsi="Times New Roman"/>
          <w:kern w:val="0"/>
          <w:szCs w:val="24"/>
        </w:rPr>
        <w:t xml:space="preserve"> </w:t>
      </w:r>
      <w:r w:rsidRPr="004211FD">
        <w:rPr>
          <w:rFonts w:ascii="Times New Roman" w:hAnsi="Times New Roman" w:hint="eastAsia"/>
          <w:kern w:val="0"/>
          <w:szCs w:val="24"/>
        </w:rPr>
        <w:t>期末按行业分类的股票投资组合</w:t>
      </w:r>
      <w:bookmarkEnd w:id="127"/>
      <w:bookmarkEnd w:id="128"/>
      <w:bookmarkEnd w:id="129"/>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6601DF" w:rsidRDefault="001A59F9" w:rsidP="00AF746E">
      <w:pPr>
        <w:tabs>
          <w:tab w:val="left" w:pos="426"/>
        </w:tabs>
        <w:spacing w:before="29" w:line="288" w:lineRule="auto"/>
        <w:jc w:val="left"/>
        <w:rPr>
          <w:kern w:val="0"/>
          <w:sz w:val="24"/>
        </w:rPr>
      </w:pPr>
      <w:r w:rsidRPr="009F6B95">
        <w:rPr>
          <w:kern w:val="0"/>
          <w:sz w:val="24"/>
        </w:rPr>
        <w:t>本基金本报告期末未持有股票。</w:t>
      </w:r>
      <w:r w:rsidR="005A08E6">
        <w:rPr>
          <w:rFonts w:hint="eastAsia"/>
          <w:kern w:val="0"/>
          <w:sz w:val="24"/>
        </w:rPr>
        <w:br/>
      </w:r>
    </w:p>
    <w:p w:rsidR="006601DF" w:rsidRPr="00113F76" w:rsidRDefault="006601DF" w:rsidP="006601DF">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报告期末按行业分类的沪港通投资股票投资组合</w:t>
      </w:r>
    </w:p>
    <w:p w:rsid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5851B5" w:rsidRPr="00905382" w:rsidRDefault="005851B5" w:rsidP="00905382">
      <w:pPr>
        <w:widowControl/>
        <w:autoSpaceDE w:val="0"/>
        <w:autoSpaceDN w:val="0"/>
        <w:spacing w:before="29" w:line="288" w:lineRule="auto"/>
        <w:ind w:right="-15"/>
        <w:textAlignment w:val="bottom"/>
        <w:rPr>
          <w:color w:val="000000"/>
          <w:sz w:val="24"/>
        </w:rPr>
      </w:pPr>
    </w:p>
    <w:p w:rsidR="005E1DAF" w:rsidRPr="004211FD" w:rsidRDefault="001A59F9" w:rsidP="004211FD">
      <w:pPr>
        <w:pStyle w:val="20"/>
        <w:spacing w:before="29" w:after="0" w:line="288" w:lineRule="auto"/>
        <w:rPr>
          <w:b w:val="0"/>
          <w:kern w:val="0"/>
        </w:rPr>
      </w:pPr>
      <w:bookmarkStart w:id="130" w:name="_Toc361324881"/>
      <w:bookmarkStart w:id="131" w:name="_Toc478236546"/>
      <w:r w:rsidRPr="004211FD">
        <w:rPr>
          <w:rFonts w:ascii="Times New Roman" w:hAnsi="Times New Roman"/>
          <w:kern w:val="0"/>
          <w:szCs w:val="24"/>
        </w:rPr>
        <w:t>8.3</w:t>
      </w:r>
      <w:r w:rsidR="00024200" w:rsidRPr="004211FD">
        <w:rPr>
          <w:rFonts w:ascii="Times New Roman" w:hAnsi="Times New Roman"/>
          <w:kern w:val="0"/>
          <w:szCs w:val="24"/>
        </w:rPr>
        <w:t xml:space="preserve"> </w:t>
      </w:r>
      <w:r w:rsidRPr="004211FD">
        <w:rPr>
          <w:rFonts w:ascii="Times New Roman" w:hAnsi="Times New Roman" w:hint="eastAsia"/>
          <w:kern w:val="0"/>
          <w:szCs w:val="24"/>
        </w:rPr>
        <w:t>期末按公允价值占基金资产净值比例大小排序的所有股票投资明细</w:t>
      </w:r>
      <w:bookmarkEnd w:id="130"/>
      <w:bookmarkEnd w:id="131"/>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4211FD" w:rsidRDefault="001A59F9" w:rsidP="004211FD">
      <w:pPr>
        <w:pStyle w:val="20"/>
        <w:spacing w:before="29" w:after="0" w:line="288" w:lineRule="auto"/>
        <w:rPr>
          <w:b w:val="0"/>
          <w:kern w:val="0"/>
        </w:rPr>
      </w:pPr>
      <w:bookmarkStart w:id="132" w:name="_Toc361324882"/>
      <w:bookmarkStart w:id="133" w:name="_Toc478236547"/>
      <w:r w:rsidRPr="004211FD">
        <w:rPr>
          <w:rFonts w:ascii="Times New Roman" w:hAnsi="Times New Roman"/>
          <w:kern w:val="0"/>
          <w:szCs w:val="24"/>
        </w:rPr>
        <w:t>8.4</w:t>
      </w:r>
      <w:bookmarkStart w:id="134" w:name="_Toc234814103"/>
      <w:r w:rsidR="00024200" w:rsidRPr="004211FD">
        <w:rPr>
          <w:rFonts w:ascii="Times New Roman" w:hAnsi="Times New Roman"/>
          <w:kern w:val="0"/>
          <w:szCs w:val="24"/>
        </w:rPr>
        <w:t xml:space="preserve"> </w:t>
      </w:r>
      <w:r w:rsidRPr="004211FD">
        <w:rPr>
          <w:rFonts w:ascii="Times New Roman" w:hAnsi="Times New Roman" w:hint="eastAsia"/>
          <w:kern w:val="0"/>
          <w:szCs w:val="24"/>
        </w:rPr>
        <w:t>报告期内股票投资组合的重大变动</w:t>
      </w:r>
      <w:bookmarkEnd w:id="132"/>
      <w:bookmarkEnd w:id="133"/>
      <w:bookmarkEnd w:id="134"/>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4211FD" w:rsidRDefault="001A59F9" w:rsidP="004211FD">
      <w:pPr>
        <w:pStyle w:val="20"/>
        <w:spacing w:before="29" w:after="0" w:line="288" w:lineRule="auto"/>
        <w:rPr>
          <w:b w:val="0"/>
          <w:kern w:val="0"/>
        </w:rPr>
      </w:pPr>
      <w:bookmarkStart w:id="135" w:name="_Toc234814104"/>
      <w:bookmarkStart w:id="136" w:name="_Toc361324883"/>
      <w:bookmarkStart w:id="137" w:name="_Toc478236548"/>
      <w:r w:rsidRPr="004211FD">
        <w:rPr>
          <w:rFonts w:ascii="Times New Roman" w:hAnsi="Times New Roman"/>
          <w:kern w:val="0"/>
          <w:szCs w:val="24"/>
        </w:rPr>
        <w:t>8.5</w:t>
      </w:r>
      <w:r w:rsidR="008A0029" w:rsidRPr="004211FD">
        <w:rPr>
          <w:rFonts w:ascii="Times New Roman" w:hAnsi="Times New Roman"/>
          <w:kern w:val="0"/>
          <w:szCs w:val="24"/>
        </w:rPr>
        <w:t xml:space="preserve"> </w:t>
      </w:r>
      <w:r w:rsidRPr="004211FD">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260,343,932.60</w:t>
            </w:r>
          </w:p>
        </w:tc>
        <w:tc>
          <w:tcPr>
            <w:tcW w:w="1754" w:type="dxa"/>
            <w:vAlign w:val="center"/>
          </w:tcPr>
          <w:p w:rsidR="001A59F9" w:rsidRPr="006E3F38" w:rsidRDefault="001A59F9" w:rsidP="00575241">
            <w:pPr>
              <w:spacing w:before="29" w:line="288" w:lineRule="auto"/>
              <w:jc w:val="right"/>
              <w:rPr>
                <w:color w:val="000000"/>
                <w:kern w:val="0"/>
                <w:sz w:val="24"/>
              </w:rPr>
            </w:pPr>
            <w:r w:rsidRPr="006E3F38">
              <w:rPr>
                <w:color w:val="000000"/>
                <w:kern w:val="0"/>
                <w:sz w:val="24"/>
              </w:rPr>
              <w:t>49.</w:t>
            </w:r>
            <w:r w:rsidR="00575241">
              <w:rPr>
                <w:rFonts w:hint="eastAsia"/>
                <w:color w:val="000000"/>
                <w:kern w:val="0"/>
                <w:sz w:val="24"/>
              </w:rPr>
              <w:t>3</w:t>
            </w:r>
            <w:r w:rsidRPr="006E3F38">
              <w:rPr>
                <w:color w:val="000000"/>
                <w:kern w:val="0"/>
                <w:sz w:val="24"/>
              </w:rPr>
              <w:t>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69,562,000.00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138,199,000.00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26.21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6,780,767.10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1.29</w:t>
            </w:r>
          </w:p>
        </w:tc>
      </w:tr>
      <w:tr w:rsidR="00F83798" w:rsidRPr="00D564C7" w:rsidTr="005851B5">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504,885,699.70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95.75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11FD" w:rsidRDefault="001A59F9" w:rsidP="004211FD">
      <w:pPr>
        <w:pStyle w:val="20"/>
        <w:spacing w:before="29" w:after="0" w:line="288" w:lineRule="auto"/>
        <w:rPr>
          <w:b w:val="0"/>
          <w:kern w:val="0"/>
        </w:rPr>
      </w:pPr>
      <w:bookmarkStart w:id="138" w:name="_Toc361324884"/>
      <w:bookmarkStart w:id="139" w:name="_Toc478236549"/>
      <w:r w:rsidRPr="004211FD">
        <w:rPr>
          <w:rFonts w:ascii="Times New Roman" w:hAnsi="Times New Roman"/>
          <w:kern w:val="0"/>
          <w:szCs w:val="24"/>
        </w:rPr>
        <w:t>8.6</w:t>
      </w:r>
      <w:bookmarkStart w:id="140" w:name="_Toc234814105"/>
      <w:r w:rsidR="008A0029" w:rsidRPr="004211FD">
        <w:rPr>
          <w:rFonts w:ascii="Times New Roman" w:hAnsi="Times New Roman"/>
          <w:kern w:val="0"/>
          <w:szCs w:val="24"/>
        </w:rPr>
        <w:t xml:space="preserve"> </w:t>
      </w:r>
      <w:r w:rsidRPr="004211FD">
        <w:rPr>
          <w:rFonts w:ascii="Times New Roman" w:hAnsi="Times New Roman" w:hint="eastAsia"/>
          <w:kern w:val="0"/>
          <w:szCs w:val="24"/>
        </w:rPr>
        <w:t>期末按公允价值占基金资产净值比例大小</w:t>
      </w:r>
      <w:r w:rsidR="0055511D" w:rsidRPr="004211FD">
        <w:rPr>
          <w:rFonts w:ascii="Times New Roman" w:hAnsi="Times New Roman" w:hint="eastAsia"/>
          <w:kern w:val="0"/>
          <w:szCs w:val="24"/>
        </w:rPr>
        <w:t>排序</w:t>
      </w:r>
      <w:r w:rsidRPr="004211FD">
        <w:rPr>
          <w:rFonts w:ascii="Times New Roman" w:hAnsi="Times New Roman" w:hint="eastAsia"/>
          <w:kern w:val="0"/>
          <w:szCs w:val="24"/>
        </w:rPr>
        <w:t>的前五名债券投资明细</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46313">
        <w:trPr>
          <w:jc w:val="center"/>
        </w:trPr>
        <w:tc>
          <w:tcPr>
            <w:tcW w:w="788" w:type="dxa"/>
            <w:vAlign w:val="center"/>
          </w:tcPr>
          <w:p w:rsidR="00A46313" w:rsidRDefault="00125795">
            <w:pPr>
              <w:jc w:val="center"/>
            </w:pPr>
            <w:r>
              <w:rPr>
                <w:color w:val="000000"/>
                <w:sz w:val="24"/>
              </w:rPr>
              <w:t>1</w:t>
            </w:r>
          </w:p>
        </w:tc>
        <w:tc>
          <w:tcPr>
            <w:tcW w:w="1774" w:type="dxa"/>
            <w:vAlign w:val="center"/>
          </w:tcPr>
          <w:p w:rsidR="00A46313" w:rsidRDefault="00125795">
            <w:pPr>
              <w:jc w:val="center"/>
            </w:pPr>
            <w:r>
              <w:rPr>
                <w:color w:val="000000"/>
                <w:sz w:val="24"/>
              </w:rPr>
              <w:t>101556052</w:t>
            </w:r>
          </w:p>
        </w:tc>
        <w:tc>
          <w:tcPr>
            <w:tcW w:w="1282" w:type="dxa"/>
            <w:vAlign w:val="center"/>
          </w:tcPr>
          <w:p w:rsidR="00A46313" w:rsidRDefault="00125795">
            <w:pPr>
              <w:jc w:val="center"/>
            </w:pPr>
            <w:r>
              <w:rPr>
                <w:color w:val="000000"/>
                <w:sz w:val="24"/>
              </w:rPr>
              <w:t>15</w:t>
            </w:r>
            <w:r>
              <w:rPr>
                <w:color w:val="000000"/>
                <w:sz w:val="24"/>
              </w:rPr>
              <w:t>甘公投</w:t>
            </w:r>
            <w:r>
              <w:rPr>
                <w:color w:val="000000"/>
                <w:sz w:val="24"/>
              </w:rPr>
              <w:t>MTN002</w:t>
            </w:r>
          </w:p>
        </w:tc>
        <w:tc>
          <w:tcPr>
            <w:tcW w:w="1763" w:type="dxa"/>
            <w:vAlign w:val="center"/>
          </w:tcPr>
          <w:p w:rsidR="00A46313" w:rsidRDefault="00125795">
            <w:pPr>
              <w:jc w:val="right"/>
            </w:pPr>
            <w:r>
              <w:rPr>
                <w:color w:val="000000"/>
                <w:sz w:val="24"/>
              </w:rPr>
              <w:t>500,000</w:t>
            </w:r>
          </w:p>
        </w:tc>
        <w:tc>
          <w:tcPr>
            <w:tcW w:w="1843" w:type="dxa"/>
            <w:vAlign w:val="center"/>
          </w:tcPr>
          <w:p w:rsidR="00A46313" w:rsidRDefault="00125795">
            <w:pPr>
              <w:jc w:val="right"/>
            </w:pPr>
            <w:r>
              <w:rPr>
                <w:color w:val="000000"/>
                <w:sz w:val="24"/>
              </w:rPr>
              <w:t>50,275,000.00</w:t>
            </w:r>
          </w:p>
        </w:tc>
        <w:tc>
          <w:tcPr>
            <w:tcW w:w="1493" w:type="dxa"/>
            <w:vAlign w:val="center"/>
          </w:tcPr>
          <w:p w:rsidR="00A46313" w:rsidRDefault="00125795">
            <w:pPr>
              <w:jc w:val="right"/>
            </w:pPr>
            <w:r>
              <w:rPr>
                <w:color w:val="000000"/>
                <w:sz w:val="24"/>
              </w:rPr>
              <w:t>9.53</w:t>
            </w:r>
          </w:p>
        </w:tc>
      </w:tr>
      <w:tr w:rsidR="00A46313">
        <w:trPr>
          <w:jc w:val="center"/>
        </w:trPr>
        <w:tc>
          <w:tcPr>
            <w:tcW w:w="788" w:type="dxa"/>
            <w:vAlign w:val="center"/>
          </w:tcPr>
          <w:p w:rsidR="00A46313" w:rsidRDefault="00125795">
            <w:pPr>
              <w:jc w:val="center"/>
            </w:pPr>
            <w:r>
              <w:rPr>
                <w:color w:val="000000"/>
                <w:sz w:val="24"/>
              </w:rPr>
              <w:t>2</w:t>
            </w:r>
          </w:p>
        </w:tc>
        <w:tc>
          <w:tcPr>
            <w:tcW w:w="1774" w:type="dxa"/>
            <w:vAlign w:val="center"/>
          </w:tcPr>
          <w:p w:rsidR="00A46313" w:rsidRDefault="00125795">
            <w:pPr>
              <w:jc w:val="center"/>
            </w:pPr>
            <w:r>
              <w:rPr>
                <w:color w:val="000000"/>
                <w:sz w:val="24"/>
              </w:rPr>
              <w:t>011698573</w:t>
            </w:r>
          </w:p>
        </w:tc>
        <w:tc>
          <w:tcPr>
            <w:tcW w:w="1282" w:type="dxa"/>
            <w:vAlign w:val="center"/>
          </w:tcPr>
          <w:p w:rsidR="00A46313" w:rsidRDefault="00125795">
            <w:pPr>
              <w:jc w:val="center"/>
            </w:pPr>
            <w:r>
              <w:rPr>
                <w:color w:val="000000"/>
                <w:sz w:val="24"/>
              </w:rPr>
              <w:t>16</w:t>
            </w:r>
            <w:r>
              <w:rPr>
                <w:color w:val="000000"/>
                <w:sz w:val="24"/>
              </w:rPr>
              <w:t>京住总</w:t>
            </w:r>
            <w:r>
              <w:rPr>
                <w:color w:val="000000"/>
                <w:sz w:val="24"/>
              </w:rPr>
              <w:t>SCP003</w:t>
            </w:r>
          </w:p>
        </w:tc>
        <w:tc>
          <w:tcPr>
            <w:tcW w:w="1763" w:type="dxa"/>
            <w:vAlign w:val="center"/>
          </w:tcPr>
          <w:p w:rsidR="00A46313" w:rsidRDefault="00125795">
            <w:pPr>
              <w:jc w:val="right"/>
            </w:pPr>
            <w:r>
              <w:rPr>
                <w:color w:val="000000"/>
                <w:sz w:val="24"/>
              </w:rPr>
              <w:t>500,000</w:t>
            </w:r>
          </w:p>
        </w:tc>
        <w:tc>
          <w:tcPr>
            <w:tcW w:w="1843" w:type="dxa"/>
            <w:vAlign w:val="center"/>
          </w:tcPr>
          <w:p w:rsidR="00A46313" w:rsidRDefault="00125795">
            <w:pPr>
              <w:jc w:val="right"/>
            </w:pPr>
            <w:r>
              <w:rPr>
                <w:color w:val="000000"/>
                <w:sz w:val="24"/>
              </w:rPr>
              <w:t>49,690,000.00</w:t>
            </w:r>
          </w:p>
        </w:tc>
        <w:tc>
          <w:tcPr>
            <w:tcW w:w="1493" w:type="dxa"/>
            <w:vAlign w:val="center"/>
          </w:tcPr>
          <w:p w:rsidR="00A46313" w:rsidRDefault="00125795">
            <w:pPr>
              <w:jc w:val="right"/>
            </w:pPr>
            <w:r>
              <w:rPr>
                <w:color w:val="000000"/>
                <w:sz w:val="24"/>
              </w:rPr>
              <w:t>9.42</w:t>
            </w:r>
          </w:p>
        </w:tc>
      </w:tr>
      <w:tr w:rsidR="00A46313">
        <w:trPr>
          <w:jc w:val="center"/>
        </w:trPr>
        <w:tc>
          <w:tcPr>
            <w:tcW w:w="788" w:type="dxa"/>
            <w:vAlign w:val="center"/>
          </w:tcPr>
          <w:p w:rsidR="00A46313" w:rsidRDefault="00125795">
            <w:pPr>
              <w:jc w:val="center"/>
            </w:pPr>
            <w:r>
              <w:rPr>
                <w:color w:val="000000"/>
                <w:sz w:val="24"/>
              </w:rPr>
              <w:t>3</w:t>
            </w:r>
          </w:p>
        </w:tc>
        <w:tc>
          <w:tcPr>
            <w:tcW w:w="1774" w:type="dxa"/>
            <w:vAlign w:val="center"/>
          </w:tcPr>
          <w:p w:rsidR="00A46313" w:rsidRDefault="00125795">
            <w:pPr>
              <w:jc w:val="center"/>
            </w:pPr>
            <w:r>
              <w:rPr>
                <w:color w:val="000000"/>
                <w:sz w:val="24"/>
              </w:rPr>
              <w:t>1680089</w:t>
            </w:r>
          </w:p>
        </w:tc>
        <w:tc>
          <w:tcPr>
            <w:tcW w:w="1282" w:type="dxa"/>
            <w:vAlign w:val="center"/>
          </w:tcPr>
          <w:p w:rsidR="00A46313" w:rsidRDefault="00125795">
            <w:pPr>
              <w:jc w:val="center"/>
            </w:pPr>
            <w:r>
              <w:rPr>
                <w:color w:val="000000"/>
                <w:sz w:val="24"/>
              </w:rPr>
              <w:t>16</w:t>
            </w:r>
            <w:r>
              <w:rPr>
                <w:color w:val="000000"/>
                <w:sz w:val="24"/>
              </w:rPr>
              <w:t>下城债</w:t>
            </w:r>
          </w:p>
        </w:tc>
        <w:tc>
          <w:tcPr>
            <w:tcW w:w="1763" w:type="dxa"/>
            <w:vAlign w:val="center"/>
          </w:tcPr>
          <w:p w:rsidR="00A46313" w:rsidRDefault="00125795">
            <w:pPr>
              <w:jc w:val="right"/>
            </w:pPr>
            <w:r>
              <w:rPr>
                <w:color w:val="000000"/>
                <w:sz w:val="24"/>
              </w:rPr>
              <w:t>400,000</w:t>
            </w:r>
          </w:p>
        </w:tc>
        <w:tc>
          <w:tcPr>
            <w:tcW w:w="1843" w:type="dxa"/>
            <w:vAlign w:val="center"/>
          </w:tcPr>
          <w:p w:rsidR="00A46313" w:rsidRDefault="00125795">
            <w:pPr>
              <w:jc w:val="right"/>
            </w:pPr>
            <w:r>
              <w:rPr>
                <w:color w:val="000000"/>
                <w:sz w:val="24"/>
              </w:rPr>
              <w:t>39,016,000.00</w:t>
            </w:r>
          </w:p>
        </w:tc>
        <w:tc>
          <w:tcPr>
            <w:tcW w:w="1493" w:type="dxa"/>
            <w:vAlign w:val="center"/>
          </w:tcPr>
          <w:p w:rsidR="00A46313" w:rsidRDefault="00125795">
            <w:pPr>
              <w:jc w:val="right"/>
            </w:pPr>
            <w:r>
              <w:rPr>
                <w:color w:val="000000"/>
                <w:sz w:val="24"/>
              </w:rPr>
              <w:t>7.40</w:t>
            </w:r>
          </w:p>
        </w:tc>
      </w:tr>
      <w:tr w:rsidR="00A46313">
        <w:trPr>
          <w:jc w:val="center"/>
        </w:trPr>
        <w:tc>
          <w:tcPr>
            <w:tcW w:w="788" w:type="dxa"/>
            <w:vAlign w:val="center"/>
          </w:tcPr>
          <w:p w:rsidR="00A46313" w:rsidRDefault="00125795">
            <w:pPr>
              <w:jc w:val="center"/>
            </w:pPr>
            <w:r>
              <w:rPr>
                <w:color w:val="000000"/>
                <w:sz w:val="24"/>
              </w:rPr>
              <w:t>4</w:t>
            </w:r>
          </w:p>
        </w:tc>
        <w:tc>
          <w:tcPr>
            <w:tcW w:w="1774" w:type="dxa"/>
            <w:vAlign w:val="center"/>
          </w:tcPr>
          <w:p w:rsidR="00A46313" w:rsidRDefault="00125795">
            <w:pPr>
              <w:jc w:val="center"/>
            </w:pPr>
            <w:r>
              <w:rPr>
                <w:color w:val="000000"/>
                <w:sz w:val="24"/>
              </w:rPr>
              <w:t>124471</w:t>
            </w:r>
          </w:p>
        </w:tc>
        <w:tc>
          <w:tcPr>
            <w:tcW w:w="1282" w:type="dxa"/>
            <w:vAlign w:val="center"/>
          </w:tcPr>
          <w:p w:rsidR="00A46313" w:rsidRDefault="00125795">
            <w:pPr>
              <w:jc w:val="center"/>
            </w:pPr>
            <w:r>
              <w:rPr>
                <w:color w:val="000000"/>
                <w:sz w:val="24"/>
              </w:rPr>
              <w:t>13</w:t>
            </w:r>
            <w:r>
              <w:rPr>
                <w:color w:val="000000"/>
                <w:sz w:val="24"/>
              </w:rPr>
              <w:t>宁海</w:t>
            </w:r>
            <w:r>
              <w:rPr>
                <w:color w:val="000000"/>
                <w:sz w:val="24"/>
              </w:rPr>
              <w:t>01</w:t>
            </w:r>
          </w:p>
        </w:tc>
        <w:tc>
          <w:tcPr>
            <w:tcW w:w="1763" w:type="dxa"/>
            <w:vAlign w:val="center"/>
          </w:tcPr>
          <w:p w:rsidR="00A46313" w:rsidRDefault="00125795">
            <w:pPr>
              <w:jc w:val="right"/>
            </w:pPr>
            <w:r>
              <w:rPr>
                <w:color w:val="000000"/>
                <w:sz w:val="24"/>
              </w:rPr>
              <w:t>319,100</w:t>
            </w:r>
          </w:p>
        </w:tc>
        <w:tc>
          <w:tcPr>
            <w:tcW w:w="1843" w:type="dxa"/>
            <w:vAlign w:val="center"/>
          </w:tcPr>
          <w:p w:rsidR="00A46313" w:rsidRDefault="00125795">
            <w:pPr>
              <w:jc w:val="right"/>
            </w:pPr>
            <w:r>
              <w:rPr>
                <w:color w:val="000000"/>
                <w:sz w:val="24"/>
              </w:rPr>
              <w:t>33,566,129.00</w:t>
            </w:r>
          </w:p>
        </w:tc>
        <w:tc>
          <w:tcPr>
            <w:tcW w:w="1493" w:type="dxa"/>
            <w:vAlign w:val="center"/>
          </w:tcPr>
          <w:p w:rsidR="00A46313" w:rsidRDefault="00125795">
            <w:pPr>
              <w:jc w:val="right"/>
            </w:pPr>
            <w:r>
              <w:rPr>
                <w:color w:val="000000"/>
                <w:sz w:val="24"/>
              </w:rPr>
              <w:t>6.37</w:t>
            </w:r>
          </w:p>
        </w:tc>
      </w:tr>
      <w:tr w:rsidR="00A46313">
        <w:trPr>
          <w:jc w:val="center"/>
        </w:trPr>
        <w:tc>
          <w:tcPr>
            <w:tcW w:w="788" w:type="dxa"/>
            <w:vAlign w:val="center"/>
          </w:tcPr>
          <w:p w:rsidR="00A46313" w:rsidRDefault="00125795">
            <w:pPr>
              <w:jc w:val="center"/>
            </w:pPr>
            <w:r>
              <w:rPr>
                <w:color w:val="000000"/>
                <w:sz w:val="24"/>
              </w:rPr>
              <w:t>5</w:t>
            </w:r>
          </w:p>
        </w:tc>
        <w:tc>
          <w:tcPr>
            <w:tcW w:w="1774" w:type="dxa"/>
            <w:vAlign w:val="center"/>
          </w:tcPr>
          <w:p w:rsidR="00A46313" w:rsidRDefault="00125795">
            <w:pPr>
              <w:jc w:val="center"/>
            </w:pPr>
            <w:r>
              <w:rPr>
                <w:color w:val="000000"/>
                <w:sz w:val="24"/>
              </w:rPr>
              <w:t>1580193</w:t>
            </w:r>
          </w:p>
        </w:tc>
        <w:tc>
          <w:tcPr>
            <w:tcW w:w="1282" w:type="dxa"/>
            <w:vAlign w:val="center"/>
          </w:tcPr>
          <w:p w:rsidR="00A46313" w:rsidRDefault="00125795">
            <w:pPr>
              <w:jc w:val="center"/>
            </w:pPr>
            <w:r>
              <w:rPr>
                <w:color w:val="000000"/>
                <w:sz w:val="24"/>
              </w:rPr>
              <w:t>15</w:t>
            </w:r>
            <w:r>
              <w:rPr>
                <w:color w:val="000000"/>
                <w:sz w:val="24"/>
              </w:rPr>
              <w:t>洪轨债</w:t>
            </w:r>
            <w:r>
              <w:rPr>
                <w:color w:val="000000"/>
                <w:sz w:val="24"/>
              </w:rPr>
              <w:t>02</w:t>
            </w:r>
          </w:p>
        </w:tc>
        <w:tc>
          <w:tcPr>
            <w:tcW w:w="1763" w:type="dxa"/>
            <w:vAlign w:val="center"/>
          </w:tcPr>
          <w:p w:rsidR="00A46313" w:rsidRDefault="00125795">
            <w:pPr>
              <w:jc w:val="right"/>
            </w:pPr>
            <w:r>
              <w:rPr>
                <w:color w:val="000000"/>
                <w:sz w:val="24"/>
              </w:rPr>
              <w:t>300,000</w:t>
            </w:r>
          </w:p>
        </w:tc>
        <w:tc>
          <w:tcPr>
            <w:tcW w:w="1843" w:type="dxa"/>
            <w:vAlign w:val="center"/>
          </w:tcPr>
          <w:p w:rsidR="00A46313" w:rsidRDefault="00125795">
            <w:pPr>
              <w:jc w:val="right"/>
            </w:pPr>
            <w:r>
              <w:rPr>
                <w:color w:val="000000"/>
                <w:sz w:val="24"/>
              </w:rPr>
              <w:t>30,642,000.00</w:t>
            </w:r>
          </w:p>
        </w:tc>
        <w:tc>
          <w:tcPr>
            <w:tcW w:w="1493" w:type="dxa"/>
            <w:vAlign w:val="center"/>
          </w:tcPr>
          <w:p w:rsidR="00A46313" w:rsidRDefault="00125795">
            <w:pPr>
              <w:jc w:val="right"/>
            </w:pPr>
            <w:r>
              <w:rPr>
                <w:color w:val="000000"/>
                <w:sz w:val="24"/>
              </w:rPr>
              <w:t>5.81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11FD" w:rsidRDefault="001A59F9" w:rsidP="004211FD">
      <w:pPr>
        <w:pStyle w:val="20"/>
        <w:spacing w:before="29" w:after="0" w:line="288" w:lineRule="auto"/>
        <w:rPr>
          <w:b w:val="0"/>
          <w:kern w:val="0"/>
        </w:rPr>
      </w:pPr>
      <w:bookmarkStart w:id="141" w:name="_Toc361324885"/>
      <w:bookmarkStart w:id="142" w:name="_Toc478236550"/>
      <w:r w:rsidRPr="004211FD">
        <w:rPr>
          <w:rFonts w:ascii="Times New Roman" w:hAnsi="Times New Roman"/>
          <w:kern w:val="0"/>
          <w:szCs w:val="24"/>
        </w:rPr>
        <w:t>8.7</w:t>
      </w:r>
      <w:r w:rsidR="008A0029" w:rsidRPr="004211FD">
        <w:rPr>
          <w:rFonts w:ascii="Times New Roman" w:hAnsi="Times New Roman"/>
          <w:kern w:val="0"/>
          <w:szCs w:val="24"/>
        </w:rPr>
        <w:t xml:space="preserve"> </w:t>
      </w:r>
      <w:r w:rsidRPr="004211FD">
        <w:rPr>
          <w:rFonts w:ascii="Times New Roman" w:hAnsi="Times New Roman" w:hint="eastAsia"/>
          <w:kern w:val="0"/>
          <w:szCs w:val="24"/>
        </w:rPr>
        <w:t>期末按公允价值占基金资产净值比例大小</w:t>
      </w:r>
      <w:r w:rsidR="009819C9" w:rsidRPr="004211FD">
        <w:rPr>
          <w:rFonts w:ascii="Times New Roman" w:hAnsi="Times New Roman" w:hint="eastAsia"/>
          <w:kern w:val="0"/>
          <w:szCs w:val="24"/>
        </w:rPr>
        <w:t>排序</w:t>
      </w:r>
      <w:r w:rsidRPr="004211FD">
        <w:rPr>
          <w:rFonts w:ascii="Times New Roman" w:hAnsi="Times New Roman" w:hint="eastAsia"/>
          <w:kern w:val="0"/>
          <w:szCs w:val="24"/>
        </w:rPr>
        <w:t>的所有资产支持证券投资明细</w:t>
      </w:r>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46313">
        <w:trPr>
          <w:jc w:val="center"/>
        </w:trPr>
        <w:tc>
          <w:tcPr>
            <w:tcW w:w="786" w:type="dxa"/>
            <w:vAlign w:val="center"/>
          </w:tcPr>
          <w:p w:rsidR="00A46313" w:rsidRDefault="00125795">
            <w:pPr>
              <w:jc w:val="center"/>
            </w:pPr>
            <w:r>
              <w:rPr>
                <w:color w:val="000000"/>
                <w:sz w:val="24"/>
              </w:rPr>
              <w:t>1</w:t>
            </w:r>
          </w:p>
        </w:tc>
        <w:tc>
          <w:tcPr>
            <w:tcW w:w="1276" w:type="dxa"/>
            <w:vAlign w:val="center"/>
          </w:tcPr>
          <w:p w:rsidR="00A46313" w:rsidRDefault="00125795">
            <w:pPr>
              <w:jc w:val="center"/>
            </w:pPr>
            <w:r>
              <w:rPr>
                <w:color w:val="000000"/>
                <w:sz w:val="24"/>
              </w:rPr>
              <w:t>119238</w:t>
            </w:r>
          </w:p>
        </w:tc>
        <w:tc>
          <w:tcPr>
            <w:tcW w:w="1417" w:type="dxa"/>
            <w:vAlign w:val="center"/>
          </w:tcPr>
          <w:p w:rsidR="00A46313" w:rsidRDefault="00125795">
            <w:pPr>
              <w:jc w:val="center"/>
            </w:pPr>
            <w:r>
              <w:rPr>
                <w:color w:val="000000"/>
                <w:sz w:val="24"/>
              </w:rPr>
              <w:t>南方</w:t>
            </w:r>
            <w:r>
              <w:rPr>
                <w:color w:val="000000"/>
                <w:sz w:val="24"/>
              </w:rPr>
              <w:t>A2</w:t>
            </w:r>
          </w:p>
        </w:tc>
        <w:tc>
          <w:tcPr>
            <w:tcW w:w="1833" w:type="dxa"/>
            <w:vAlign w:val="center"/>
          </w:tcPr>
          <w:p w:rsidR="00A46313" w:rsidRDefault="00125795">
            <w:pPr>
              <w:jc w:val="right"/>
            </w:pPr>
            <w:r>
              <w:rPr>
                <w:color w:val="000000"/>
                <w:sz w:val="24"/>
              </w:rPr>
              <w:t>400,000</w:t>
            </w:r>
          </w:p>
        </w:tc>
        <w:tc>
          <w:tcPr>
            <w:tcW w:w="1994" w:type="dxa"/>
            <w:vAlign w:val="center"/>
          </w:tcPr>
          <w:p w:rsidR="00A46313" w:rsidRDefault="00125795">
            <w:pPr>
              <w:jc w:val="right"/>
            </w:pPr>
            <w:r>
              <w:rPr>
                <w:color w:val="000000"/>
                <w:sz w:val="24"/>
              </w:rPr>
              <w:t>40,353,468.49</w:t>
            </w:r>
          </w:p>
        </w:tc>
        <w:tc>
          <w:tcPr>
            <w:tcW w:w="1633" w:type="dxa"/>
            <w:vAlign w:val="center"/>
          </w:tcPr>
          <w:p w:rsidR="00A46313" w:rsidRDefault="00125795">
            <w:pPr>
              <w:jc w:val="right"/>
            </w:pPr>
            <w:r>
              <w:rPr>
                <w:color w:val="000000"/>
                <w:sz w:val="24"/>
              </w:rPr>
              <w:t>7.65</w:t>
            </w:r>
          </w:p>
        </w:tc>
      </w:tr>
      <w:tr w:rsidR="00A46313">
        <w:trPr>
          <w:jc w:val="center"/>
        </w:trPr>
        <w:tc>
          <w:tcPr>
            <w:tcW w:w="786" w:type="dxa"/>
            <w:vAlign w:val="center"/>
          </w:tcPr>
          <w:p w:rsidR="00A46313" w:rsidRDefault="00125795">
            <w:pPr>
              <w:jc w:val="center"/>
            </w:pPr>
            <w:r>
              <w:rPr>
                <w:color w:val="000000"/>
                <w:sz w:val="24"/>
              </w:rPr>
              <w:t>2</w:t>
            </w:r>
          </w:p>
        </w:tc>
        <w:tc>
          <w:tcPr>
            <w:tcW w:w="1276" w:type="dxa"/>
            <w:vAlign w:val="center"/>
          </w:tcPr>
          <w:p w:rsidR="00A46313" w:rsidRDefault="00125795">
            <w:pPr>
              <w:jc w:val="center"/>
            </w:pPr>
            <w:r>
              <w:rPr>
                <w:color w:val="000000"/>
                <w:sz w:val="24"/>
              </w:rPr>
              <w:t>1689247</w:t>
            </w:r>
          </w:p>
        </w:tc>
        <w:tc>
          <w:tcPr>
            <w:tcW w:w="1417" w:type="dxa"/>
            <w:vAlign w:val="center"/>
          </w:tcPr>
          <w:p w:rsidR="00A46313" w:rsidRDefault="00125795">
            <w:pPr>
              <w:jc w:val="center"/>
            </w:pPr>
            <w:r>
              <w:rPr>
                <w:color w:val="000000"/>
                <w:sz w:val="24"/>
              </w:rPr>
              <w:t>16</w:t>
            </w:r>
            <w:r>
              <w:rPr>
                <w:color w:val="000000"/>
                <w:sz w:val="24"/>
              </w:rPr>
              <w:t>上和</w:t>
            </w:r>
            <w:r>
              <w:rPr>
                <w:color w:val="000000"/>
                <w:sz w:val="24"/>
              </w:rPr>
              <w:t>1A2</w:t>
            </w:r>
          </w:p>
        </w:tc>
        <w:tc>
          <w:tcPr>
            <w:tcW w:w="1833" w:type="dxa"/>
            <w:vAlign w:val="center"/>
          </w:tcPr>
          <w:p w:rsidR="00A46313" w:rsidRDefault="00125795">
            <w:pPr>
              <w:jc w:val="right"/>
            </w:pPr>
            <w:r>
              <w:rPr>
                <w:color w:val="000000"/>
                <w:sz w:val="24"/>
              </w:rPr>
              <w:t>200,000</w:t>
            </w:r>
          </w:p>
        </w:tc>
        <w:tc>
          <w:tcPr>
            <w:tcW w:w="1994" w:type="dxa"/>
            <w:vAlign w:val="center"/>
          </w:tcPr>
          <w:p w:rsidR="00A46313" w:rsidRDefault="00125795">
            <w:pPr>
              <w:jc w:val="right"/>
            </w:pPr>
            <w:r>
              <w:rPr>
                <w:color w:val="000000"/>
                <w:sz w:val="24"/>
              </w:rPr>
              <w:t>19,874,000.00</w:t>
            </w:r>
          </w:p>
        </w:tc>
        <w:tc>
          <w:tcPr>
            <w:tcW w:w="1633" w:type="dxa"/>
            <w:vAlign w:val="center"/>
          </w:tcPr>
          <w:p w:rsidR="00A46313" w:rsidRDefault="00125795">
            <w:pPr>
              <w:jc w:val="right"/>
            </w:pPr>
            <w:r>
              <w:rPr>
                <w:color w:val="000000"/>
                <w:sz w:val="24"/>
              </w:rPr>
              <w:t>3.77</w:t>
            </w:r>
          </w:p>
        </w:tc>
      </w:tr>
      <w:tr w:rsidR="00A46313">
        <w:trPr>
          <w:jc w:val="center"/>
        </w:trPr>
        <w:tc>
          <w:tcPr>
            <w:tcW w:w="786" w:type="dxa"/>
            <w:vAlign w:val="center"/>
          </w:tcPr>
          <w:p w:rsidR="00A46313" w:rsidRDefault="00125795">
            <w:pPr>
              <w:jc w:val="center"/>
            </w:pPr>
            <w:r>
              <w:rPr>
                <w:color w:val="000000"/>
                <w:sz w:val="24"/>
              </w:rPr>
              <w:t>3</w:t>
            </w:r>
          </w:p>
        </w:tc>
        <w:tc>
          <w:tcPr>
            <w:tcW w:w="1276" w:type="dxa"/>
            <w:vAlign w:val="center"/>
          </w:tcPr>
          <w:p w:rsidR="00A46313" w:rsidRDefault="00125795">
            <w:pPr>
              <w:jc w:val="center"/>
            </w:pPr>
            <w:r>
              <w:rPr>
                <w:color w:val="000000"/>
                <w:sz w:val="24"/>
              </w:rPr>
              <w:t>123934</w:t>
            </w:r>
          </w:p>
        </w:tc>
        <w:tc>
          <w:tcPr>
            <w:tcW w:w="1417" w:type="dxa"/>
            <w:vAlign w:val="center"/>
          </w:tcPr>
          <w:p w:rsidR="00A46313" w:rsidRDefault="00125795">
            <w:pPr>
              <w:jc w:val="center"/>
            </w:pPr>
            <w:r>
              <w:rPr>
                <w:color w:val="000000"/>
                <w:sz w:val="24"/>
              </w:rPr>
              <w:t>15</w:t>
            </w:r>
            <w:r>
              <w:rPr>
                <w:color w:val="000000"/>
                <w:sz w:val="24"/>
              </w:rPr>
              <w:t>濮热</w:t>
            </w:r>
            <w:r>
              <w:rPr>
                <w:color w:val="000000"/>
                <w:sz w:val="24"/>
              </w:rPr>
              <w:t>02</w:t>
            </w:r>
          </w:p>
        </w:tc>
        <w:tc>
          <w:tcPr>
            <w:tcW w:w="1833" w:type="dxa"/>
            <w:vAlign w:val="center"/>
          </w:tcPr>
          <w:p w:rsidR="00A46313" w:rsidRDefault="00125795">
            <w:pPr>
              <w:jc w:val="right"/>
            </w:pPr>
            <w:r>
              <w:rPr>
                <w:color w:val="000000"/>
                <w:sz w:val="24"/>
              </w:rPr>
              <w:t>40,000</w:t>
            </w:r>
          </w:p>
        </w:tc>
        <w:tc>
          <w:tcPr>
            <w:tcW w:w="1994" w:type="dxa"/>
            <w:vAlign w:val="center"/>
          </w:tcPr>
          <w:p w:rsidR="00A46313" w:rsidRDefault="00125795">
            <w:pPr>
              <w:jc w:val="right"/>
            </w:pPr>
            <w:r>
              <w:rPr>
                <w:color w:val="000000"/>
                <w:sz w:val="24"/>
              </w:rPr>
              <w:t>4,000,000.00</w:t>
            </w:r>
          </w:p>
        </w:tc>
        <w:tc>
          <w:tcPr>
            <w:tcW w:w="1633" w:type="dxa"/>
            <w:vAlign w:val="center"/>
          </w:tcPr>
          <w:p w:rsidR="00A46313" w:rsidRDefault="00125795">
            <w:pPr>
              <w:jc w:val="right"/>
            </w:pPr>
            <w:r>
              <w:rPr>
                <w:color w:val="000000"/>
                <w:sz w:val="24"/>
              </w:rPr>
              <w:t>0.76</w:t>
            </w:r>
          </w:p>
        </w:tc>
      </w:tr>
      <w:tr w:rsidR="00A46313">
        <w:trPr>
          <w:jc w:val="center"/>
        </w:trPr>
        <w:tc>
          <w:tcPr>
            <w:tcW w:w="786" w:type="dxa"/>
            <w:vAlign w:val="center"/>
          </w:tcPr>
          <w:p w:rsidR="00A46313" w:rsidRDefault="00125795">
            <w:pPr>
              <w:jc w:val="center"/>
            </w:pPr>
            <w:r>
              <w:rPr>
                <w:color w:val="000000"/>
                <w:sz w:val="24"/>
              </w:rPr>
              <w:t>4</w:t>
            </w:r>
          </w:p>
        </w:tc>
        <w:tc>
          <w:tcPr>
            <w:tcW w:w="1276" w:type="dxa"/>
            <w:vAlign w:val="center"/>
          </w:tcPr>
          <w:p w:rsidR="00A46313" w:rsidRDefault="00125795">
            <w:pPr>
              <w:jc w:val="center"/>
            </w:pPr>
            <w:r>
              <w:rPr>
                <w:color w:val="000000"/>
                <w:sz w:val="24"/>
              </w:rPr>
              <w:t>123935</w:t>
            </w:r>
          </w:p>
        </w:tc>
        <w:tc>
          <w:tcPr>
            <w:tcW w:w="1417" w:type="dxa"/>
            <w:vAlign w:val="center"/>
          </w:tcPr>
          <w:p w:rsidR="00A46313" w:rsidRDefault="00125795">
            <w:pPr>
              <w:jc w:val="center"/>
            </w:pPr>
            <w:r>
              <w:rPr>
                <w:color w:val="000000"/>
                <w:sz w:val="24"/>
              </w:rPr>
              <w:t>15</w:t>
            </w:r>
            <w:r>
              <w:rPr>
                <w:color w:val="000000"/>
                <w:sz w:val="24"/>
              </w:rPr>
              <w:t>濮热</w:t>
            </w:r>
            <w:r>
              <w:rPr>
                <w:color w:val="000000"/>
                <w:sz w:val="24"/>
              </w:rPr>
              <w:t>03</w:t>
            </w:r>
          </w:p>
        </w:tc>
        <w:tc>
          <w:tcPr>
            <w:tcW w:w="1833" w:type="dxa"/>
            <w:vAlign w:val="center"/>
          </w:tcPr>
          <w:p w:rsidR="00A46313" w:rsidRDefault="00125795">
            <w:pPr>
              <w:jc w:val="right"/>
            </w:pPr>
            <w:r>
              <w:rPr>
                <w:color w:val="000000"/>
                <w:sz w:val="24"/>
              </w:rPr>
              <w:t>40,000</w:t>
            </w:r>
          </w:p>
        </w:tc>
        <w:tc>
          <w:tcPr>
            <w:tcW w:w="1994" w:type="dxa"/>
            <w:vAlign w:val="center"/>
          </w:tcPr>
          <w:p w:rsidR="00A46313" w:rsidRDefault="00125795">
            <w:pPr>
              <w:jc w:val="right"/>
            </w:pPr>
            <w:r>
              <w:rPr>
                <w:color w:val="000000"/>
                <w:sz w:val="24"/>
              </w:rPr>
              <w:t>4,000,000.00</w:t>
            </w:r>
          </w:p>
        </w:tc>
        <w:tc>
          <w:tcPr>
            <w:tcW w:w="1633" w:type="dxa"/>
            <w:vAlign w:val="center"/>
          </w:tcPr>
          <w:p w:rsidR="00A46313" w:rsidRDefault="00125795">
            <w:pPr>
              <w:jc w:val="right"/>
            </w:pPr>
            <w:r>
              <w:rPr>
                <w:color w:val="000000"/>
                <w:sz w:val="24"/>
              </w:rPr>
              <w:t>0.76</w:t>
            </w:r>
          </w:p>
        </w:tc>
      </w:tr>
      <w:tr w:rsidR="00A46313">
        <w:trPr>
          <w:jc w:val="center"/>
        </w:trPr>
        <w:tc>
          <w:tcPr>
            <w:tcW w:w="786" w:type="dxa"/>
            <w:vAlign w:val="center"/>
          </w:tcPr>
          <w:p w:rsidR="00A46313" w:rsidRDefault="00125795">
            <w:pPr>
              <w:jc w:val="center"/>
            </w:pPr>
            <w:r>
              <w:rPr>
                <w:color w:val="000000"/>
                <w:sz w:val="24"/>
              </w:rPr>
              <w:t>5</w:t>
            </w:r>
          </w:p>
        </w:tc>
        <w:tc>
          <w:tcPr>
            <w:tcW w:w="1276" w:type="dxa"/>
            <w:vAlign w:val="center"/>
          </w:tcPr>
          <w:p w:rsidR="00A46313" w:rsidRDefault="00125795">
            <w:pPr>
              <w:jc w:val="center"/>
            </w:pPr>
            <w:r>
              <w:rPr>
                <w:color w:val="000000"/>
                <w:sz w:val="24"/>
              </w:rPr>
              <w:t>123933</w:t>
            </w:r>
          </w:p>
        </w:tc>
        <w:tc>
          <w:tcPr>
            <w:tcW w:w="1417" w:type="dxa"/>
            <w:vAlign w:val="center"/>
          </w:tcPr>
          <w:p w:rsidR="00A46313" w:rsidRDefault="00125795">
            <w:pPr>
              <w:jc w:val="center"/>
            </w:pPr>
            <w:r>
              <w:rPr>
                <w:color w:val="000000"/>
                <w:sz w:val="24"/>
              </w:rPr>
              <w:t>15</w:t>
            </w:r>
            <w:r>
              <w:rPr>
                <w:color w:val="000000"/>
                <w:sz w:val="24"/>
              </w:rPr>
              <w:t>濮热</w:t>
            </w:r>
            <w:r>
              <w:rPr>
                <w:color w:val="000000"/>
                <w:sz w:val="24"/>
              </w:rPr>
              <w:t>01</w:t>
            </w:r>
          </w:p>
        </w:tc>
        <w:tc>
          <w:tcPr>
            <w:tcW w:w="1833" w:type="dxa"/>
            <w:vAlign w:val="center"/>
          </w:tcPr>
          <w:p w:rsidR="00A46313" w:rsidRDefault="00125795">
            <w:pPr>
              <w:jc w:val="right"/>
            </w:pPr>
            <w:r>
              <w:rPr>
                <w:color w:val="000000"/>
                <w:sz w:val="24"/>
              </w:rPr>
              <w:t>35,000</w:t>
            </w:r>
          </w:p>
        </w:tc>
        <w:tc>
          <w:tcPr>
            <w:tcW w:w="1994" w:type="dxa"/>
            <w:vAlign w:val="center"/>
          </w:tcPr>
          <w:p w:rsidR="00A46313" w:rsidRDefault="00125795">
            <w:pPr>
              <w:jc w:val="right"/>
            </w:pPr>
            <w:r>
              <w:rPr>
                <w:color w:val="000000"/>
                <w:sz w:val="24"/>
              </w:rPr>
              <w:t>3,500,000.00</w:t>
            </w:r>
          </w:p>
        </w:tc>
        <w:tc>
          <w:tcPr>
            <w:tcW w:w="1633" w:type="dxa"/>
            <w:vAlign w:val="center"/>
          </w:tcPr>
          <w:p w:rsidR="00A46313" w:rsidRDefault="00125795">
            <w:pPr>
              <w:jc w:val="right"/>
            </w:pPr>
            <w:r>
              <w:rPr>
                <w:color w:val="000000"/>
                <w:sz w:val="24"/>
              </w:rPr>
              <w:t>0.66</w:t>
            </w:r>
          </w:p>
        </w:tc>
      </w:tr>
      <w:tr w:rsidR="00A46313">
        <w:trPr>
          <w:jc w:val="center"/>
        </w:trPr>
        <w:tc>
          <w:tcPr>
            <w:tcW w:w="786" w:type="dxa"/>
            <w:vAlign w:val="center"/>
          </w:tcPr>
          <w:p w:rsidR="00A46313" w:rsidRDefault="00125795">
            <w:pPr>
              <w:jc w:val="center"/>
            </w:pPr>
            <w:r>
              <w:rPr>
                <w:color w:val="000000"/>
                <w:sz w:val="24"/>
              </w:rPr>
              <w:t>6</w:t>
            </w:r>
          </w:p>
        </w:tc>
        <w:tc>
          <w:tcPr>
            <w:tcW w:w="1276" w:type="dxa"/>
            <w:vAlign w:val="center"/>
          </w:tcPr>
          <w:p w:rsidR="00A46313" w:rsidRDefault="00125795">
            <w:pPr>
              <w:jc w:val="center"/>
            </w:pPr>
            <w:r>
              <w:rPr>
                <w:color w:val="000000"/>
                <w:sz w:val="24"/>
              </w:rPr>
              <w:t>116239</w:t>
            </w:r>
          </w:p>
        </w:tc>
        <w:tc>
          <w:tcPr>
            <w:tcW w:w="1417" w:type="dxa"/>
            <w:vAlign w:val="center"/>
          </w:tcPr>
          <w:p w:rsidR="00A46313" w:rsidRDefault="00125795">
            <w:pPr>
              <w:jc w:val="center"/>
            </w:pPr>
            <w:r>
              <w:rPr>
                <w:color w:val="000000"/>
                <w:sz w:val="24"/>
              </w:rPr>
              <w:t>16</w:t>
            </w:r>
            <w:r>
              <w:rPr>
                <w:color w:val="000000"/>
                <w:sz w:val="24"/>
              </w:rPr>
              <w:t>惠通</w:t>
            </w:r>
            <w:r>
              <w:rPr>
                <w:color w:val="000000"/>
                <w:sz w:val="24"/>
              </w:rPr>
              <w:t>A3</w:t>
            </w:r>
          </w:p>
        </w:tc>
        <w:tc>
          <w:tcPr>
            <w:tcW w:w="1833" w:type="dxa"/>
            <w:vAlign w:val="center"/>
          </w:tcPr>
          <w:p w:rsidR="00A46313" w:rsidRDefault="00125795">
            <w:pPr>
              <w:jc w:val="right"/>
            </w:pPr>
            <w:r>
              <w:rPr>
                <w:color w:val="000000"/>
                <w:sz w:val="24"/>
              </w:rPr>
              <w:t>30,000</w:t>
            </w:r>
          </w:p>
        </w:tc>
        <w:tc>
          <w:tcPr>
            <w:tcW w:w="1994" w:type="dxa"/>
            <w:vAlign w:val="center"/>
          </w:tcPr>
          <w:p w:rsidR="00A46313" w:rsidRDefault="00125795">
            <w:pPr>
              <w:jc w:val="right"/>
            </w:pPr>
            <w:r>
              <w:rPr>
                <w:color w:val="000000"/>
                <w:sz w:val="24"/>
              </w:rPr>
              <w:t>3,000,000.00</w:t>
            </w:r>
          </w:p>
        </w:tc>
        <w:tc>
          <w:tcPr>
            <w:tcW w:w="1633" w:type="dxa"/>
            <w:vAlign w:val="center"/>
          </w:tcPr>
          <w:p w:rsidR="00A46313" w:rsidRDefault="00125795">
            <w:pPr>
              <w:jc w:val="right"/>
            </w:pPr>
            <w:r>
              <w:rPr>
                <w:color w:val="000000"/>
                <w:sz w:val="24"/>
              </w:rPr>
              <w:t>0.57</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211FD" w:rsidRDefault="001B3C1C" w:rsidP="004211FD">
      <w:pPr>
        <w:pStyle w:val="20"/>
        <w:spacing w:before="29" w:after="0" w:line="288" w:lineRule="auto"/>
        <w:rPr>
          <w:b w:val="0"/>
          <w:kern w:val="0"/>
        </w:rPr>
      </w:pPr>
      <w:bookmarkStart w:id="143" w:name="_Toc478236551"/>
      <w:r w:rsidRPr="004211FD">
        <w:rPr>
          <w:rFonts w:ascii="Times New Roman" w:hAnsi="Times New Roman"/>
          <w:kern w:val="0"/>
          <w:szCs w:val="24"/>
        </w:rPr>
        <w:t xml:space="preserve">8.8 </w:t>
      </w:r>
      <w:r w:rsidRPr="004211FD">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211FD" w:rsidRDefault="001A59F9" w:rsidP="004211FD">
      <w:pPr>
        <w:pStyle w:val="20"/>
        <w:spacing w:before="29" w:after="0" w:line="288" w:lineRule="auto"/>
        <w:rPr>
          <w:b w:val="0"/>
          <w:kern w:val="0"/>
        </w:rPr>
      </w:pPr>
      <w:bookmarkStart w:id="144" w:name="_Toc361324886"/>
      <w:bookmarkStart w:id="145" w:name="_Toc478236552"/>
      <w:r w:rsidRPr="004211FD">
        <w:rPr>
          <w:rFonts w:ascii="Times New Roman" w:hAnsi="Times New Roman"/>
          <w:kern w:val="0"/>
          <w:szCs w:val="24"/>
        </w:rPr>
        <w:t>8.9</w:t>
      </w:r>
      <w:r w:rsidR="008A0029" w:rsidRPr="004211FD">
        <w:rPr>
          <w:rFonts w:ascii="Times New Roman" w:hAnsi="Times New Roman"/>
          <w:kern w:val="0"/>
          <w:szCs w:val="24"/>
        </w:rPr>
        <w:t xml:space="preserve"> </w:t>
      </w:r>
      <w:r w:rsidRPr="004211FD">
        <w:rPr>
          <w:rFonts w:ascii="Times New Roman" w:hAnsi="Times New Roman" w:hint="eastAsia"/>
          <w:kern w:val="0"/>
          <w:szCs w:val="24"/>
        </w:rPr>
        <w:t>期末按公允价值占基金资产净值比例大小排</w:t>
      </w:r>
      <w:r w:rsidR="00A63E24" w:rsidRPr="004211FD">
        <w:rPr>
          <w:rFonts w:ascii="Times New Roman" w:hAnsi="Times New Roman" w:hint="eastAsia"/>
          <w:kern w:val="0"/>
          <w:szCs w:val="24"/>
        </w:rPr>
        <w:t>序</w:t>
      </w:r>
      <w:r w:rsidRPr="004211FD">
        <w:rPr>
          <w:rFonts w:ascii="Times New Roman" w:hAnsi="Times New Roman" w:hint="eastAsia"/>
          <w:kern w:val="0"/>
          <w:szCs w:val="24"/>
        </w:rPr>
        <w:t>的前五名权证投资明细</w:t>
      </w:r>
      <w:bookmarkEnd w:id="144"/>
      <w:bookmarkEnd w:id="145"/>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4211FD" w:rsidRDefault="005D072B" w:rsidP="004211FD">
      <w:pPr>
        <w:pStyle w:val="20"/>
        <w:spacing w:before="29" w:after="0" w:line="288" w:lineRule="auto"/>
        <w:rPr>
          <w:b w:val="0"/>
          <w:kern w:val="0"/>
        </w:rPr>
      </w:pPr>
      <w:bookmarkStart w:id="146" w:name="_Toc478236553"/>
      <w:r w:rsidRPr="004211FD">
        <w:rPr>
          <w:rFonts w:ascii="Times New Roman" w:hAnsi="Times New Roman"/>
          <w:kern w:val="0"/>
          <w:szCs w:val="24"/>
        </w:rPr>
        <w:t xml:space="preserve">8.10 </w:t>
      </w:r>
      <w:r w:rsidRPr="004211FD">
        <w:rPr>
          <w:rFonts w:ascii="Times New Roman" w:hAnsi="Times New Roman" w:hint="eastAsia"/>
          <w:kern w:val="0"/>
          <w:szCs w:val="24"/>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211FD" w:rsidRDefault="00FF26CE" w:rsidP="004211FD">
      <w:pPr>
        <w:pStyle w:val="20"/>
        <w:spacing w:before="29" w:after="0" w:line="288" w:lineRule="auto"/>
        <w:rPr>
          <w:b w:val="0"/>
          <w:kern w:val="0"/>
        </w:rPr>
      </w:pPr>
      <w:bookmarkStart w:id="147" w:name="_Toc478236554"/>
      <w:r w:rsidRPr="004211FD">
        <w:rPr>
          <w:rFonts w:ascii="Times New Roman" w:hAnsi="Times New Roman"/>
          <w:kern w:val="0"/>
          <w:szCs w:val="24"/>
        </w:rPr>
        <w:t>8.11</w:t>
      </w:r>
      <w:r w:rsidRPr="004211FD">
        <w:rPr>
          <w:rFonts w:ascii="Times New Roman" w:hAnsi="Times New Roman" w:hint="eastAsia"/>
          <w:kern w:val="0"/>
          <w:szCs w:val="24"/>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211FD" w:rsidRDefault="001A59F9" w:rsidP="004211FD">
      <w:pPr>
        <w:pStyle w:val="20"/>
        <w:spacing w:before="29" w:after="0" w:line="288" w:lineRule="auto"/>
        <w:rPr>
          <w:b w:val="0"/>
          <w:kern w:val="0"/>
        </w:rPr>
      </w:pPr>
      <w:bookmarkStart w:id="148" w:name="_Toc361324887"/>
      <w:bookmarkStart w:id="149" w:name="_Toc478236555"/>
      <w:r w:rsidRPr="004211FD">
        <w:rPr>
          <w:rFonts w:ascii="Times New Roman" w:hAnsi="Times New Roman"/>
          <w:kern w:val="0"/>
          <w:szCs w:val="24"/>
        </w:rPr>
        <w:t xml:space="preserve">8.12 </w:t>
      </w:r>
      <w:r w:rsidRPr="004211FD">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w:t>
      </w:r>
      <w:r w:rsidRPr="003E532D">
        <w:rPr>
          <w:kern w:val="0"/>
          <w:sz w:val="24"/>
        </w:rPr>
        <w:lastRenderedPageBreak/>
        <w:t>编制日前一年内本基金投资的前十名证券的发行主体未受到公开谴责和处罚。</w:t>
      </w:r>
    </w:p>
    <w:p w:rsid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6,104.48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11,601,222.79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67,291.17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11,674,618.44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A46313">
        <w:trPr>
          <w:jc w:val="center"/>
        </w:trPr>
        <w:tc>
          <w:tcPr>
            <w:tcW w:w="1808" w:type="dxa"/>
            <w:vAlign w:val="center"/>
          </w:tcPr>
          <w:p w:rsidR="00A46313" w:rsidRDefault="00125795">
            <w:pPr>
              <w:jc w:val="center"/>
            </w:pPr>
            <w:r>
              <w:rPr>
                <w:color w:val="000000"/>
                <w:sz w:val="24"/>
              </w:rPr>
              <w:t>1</w:t>
            </w:r>
          </w:p>
        </w:tc>
        <w:tc>
          <w:tcPr>
            <w:tcW w:w="1729" w:type="dxa"/>
            <w:vAlign w:val="center"/>
          </w:tcPr>
          <w:p w:rsidR="00A46313" w:rsidRDefault="00125795">
            <w:pPr>
              <w:jc w:val="center"/>
            </w:pPr>
            <w:r>
              <w:rPr>
                <w:color w:val="000000"/>
                <w:sz w:val="24"/>
              </w:rPr>
              <w:t>113008</w:t>
            </w:r>
          </w:p>
        </w:tc>
        <w:tc>
          <w:tcPr>
            <w:tcW w:w="1658" w:type="dxa"/>
            <w:vAlign w:val="center"/>
          </w:tcPr>
          <w:p w:rsidR="00A46313" w:rsidRDefault="00125795">
            <w:pPr>
              <w:jc w:val="center"/>
            </w:pPr>
            <w:r>
              <w:rPr>
                <w:color w:val="000000"/>
                <w:sz w:val="24"/>
              </w:rPr>
              <w:t>电气转债</w:t>
            </w:r>
          </w:p>
        </w:tc>
        <w:tc>
          <w:tcPr>
            <w:tcW w:w="2508" w:type="dxa"/>
            <w:vAlign w:val="center"/>
          </w:tcPr>
          <w:p w:rsidR="00A46313" w:rsidRDefault="00125795">
            <w:pPr>
              <w:jc w:val="right"/>
            </w:pPr>
            <w:r>
              <w:rPr>
                <w:color w:val="000000"/>
                <w:sz w:val="24"/>
              </w:rPr>
              <w:t>4,577,200.00</w:t>
            </w:r>
          </w:p>
        </w:tc>
        <w:tc>
          <w:tcPr>
            <w:tcW w:w="1462" w:type="dxa"/>
            <w:vAlign w:val="center"/>
          </w:tcPr>
          <w:p w:rsidR="00A46313" w:rsidRDefault="00125795">
            <w:pPr>
              <w:jc w:val="right"/>
            </w:pPr>
            <w:r>
              <w:rPr>
                <w:color w:val="000000"/>
                <w:sz w:val="24"/>
              </w:rPr>
              <w:t>0.87</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5635E8" w:rsidRPr="005635E8" w:rsidRDefault="005635E8" w:rsidP="005635E8">
      <w:pPr>
        <w:spacing w:before="29" w:line="288" w:lineRule="auto"/>
        <w:rPr>
          <w:kern w:val="0"/>
          <w:sz w:val="24"/>
        </w:rPr>
      </w:pPr>
      <w:r w:rsidRPr="005635E8">
        <w:rPr>
          <w:rFonts w:hint="eastAsia"/>
          <w:kern w:val="0"/>
          <w:sz w:val="24"/>
        </w:rPr>
        <w:t>本基金本报告期末未持有股票。</w:t>
      </w:r>
    </w:p>
    <w:p w:rsidR="00E056A4" w:rsidRPr="005635E8"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A46313" w:rsidRDefault="00125795">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236556"/>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4211FD" w:rsidRDefault="001A59F9" w:rsidP="004211FD">
      <w:pPr>
        <w:pStyle w:val="20"/>
        <w:spacing w:before="29" w:after="0" w:line="288" w:lineRule="auto"/>
        <w:rPr>
          <w:b w:val="0"/>
          <w:kern w:val="0"/>
        </w:rPr>
      </w:pPr>
      <w:bookmarkStart w:id="153" w:name="_Toc225500051"/>
      <w:bookmarkStart w:id="154" w:name="_Toc361324889"/>
      <w:bookmarkStart w:id="155" w:name="_Toc478236557"/>
      <w:r w:rsidRPr="004211FD">
        <w:rPr>
          <w:rFonts w:ascii="Times New Roman" w:hAnsi="Times New Roman"/>
          <w:kern w:val="0"/>
          <w:szCs w:val="24"/>
        </w:rPr>
        <w:t xml:space="preserve">9.1 </w:t>
      </w:r>
      <w:r w:rsidRPr="004211FD">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w:t>
            </w:r>
            <w:r w:rsidRPr="00E90C3B">
              <w:rPr>
                <w:rFonts w:hint="eastAsia"/>
                <w:color w:val="000000"/>
                <w:szCs w:val="21"/>
              </w:rPr>
              <w:lastRenderedPageBreak/>
              <w:t>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户均持有的</w:t>
            </w:r>
            <w:r w:rsidRPr="00E90C3B">
              <w:rPr>
                <w:rFonts w:hint="eastAsia"/>
                <w:color w:val="000000"/>
                <w:szCs w:val="21"/>
              </w:rPr>
              <w:lastRenderedPageBreak/>
              <w:t>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9,900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43,478.21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135,339,667.00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295,094,638.12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68.56%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3,280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34,931.45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7,845,509.98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106,729,640.69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93.15%</w:t>
            </w:r>
          </w:p>
        </w:tc>
      </w:tr>
      <w:tr w:rsidR="0043362D"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13,180</w:t>
            </w:r>
          </w:p>
        </w:tc>
        <w:tc>
          <w:tcPr>
            <w:tcW w:w="763"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41,351.25</w:t>
            </w:r>
          </w:p>
        </w:tc>
        <w:tc>
          <w:tcPr>
            <w:tcW w:w="916"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143,185,176.98</w:t>
            </w:r>
          </w:p>
        </w:tc>
        <w:tc>
          <w:tcPr>
            <w:tcW w:w="534"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26.27%</w:t>
            </w:r>
          </w:p>
        </w:tc>
        <w:tc>
          <w:tcPr>
            <w:tcW w:w="916" w:type="pct"/>
            <w:tcBorders>
              <w:top w:val="single" w:sz="8" w:space="0" w:color="000000"/>
              <w:left w:val="single" w:sz="8" w:space="0" w:color="000000"/>
              <w:bottom w:val="single" w:sz="8" w:space="0" w:color="000000"/>
              <w:right w:val="single" w:sz="8" w:space="0" w:color="000000"/>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401,824,278.81</w:t>
            </w:r>
          </w:p>
        </w:tc>
        <w:tc>
          <w:tcPr>
            <w:tcW w:w="515" w:type="pct"/>
            <w:tcBorders>
              <w:top w:val="single" w:sz="8" w:space="0" w:color="000000"/>
              <w:left w:val="single" w:sz="8" w:space="0" w:color="000000"/>
              <w:bottom w:val="single" w:sz="8" w:space="0" w:color="000000"/>
              <w:right w:val="single" w:sz="4" w:space="0" w:color="auto"/>
            </w:tcBorders>
            <w:vAlign w:val="center"/>
          </w:tcPr>
          <w:p w:rsidR="0043362D" w:rsidRPr="00E90C3B" w:rsidRDefault="0043362D" w:rsidP="005851B5">
            <w:pPr>
              <w:spacing w:before="29" w:line="288" w:lineRule="auto"/>
              <w:jc w:val="right"/>
              <w:rPr>
                <w:color w:val="000000"/>
                <w:kern w:val="0"/>
                <w:szCs w:val="21"/>
              </w:rPr>
            </w:pPr>
            <w:r w:rsidRPr="00E90C3B">
              <w:rPr>
                <w:color w:val="000000"/>
                <w:kern w:val="0"/>
                <w:szCs w:val="21"/>
              </w:rPr>
              <w:t>73.73%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56" w:name="_Toc361324891"/>
      <w:bookmarkStart w:id="157" w:name="_Toc478236558"/>
      <w:r w:rsidRPr="004211FD">
        <w:rPr>
          <w:rFonts w:ascii="Times New Roman" w:hAnsi="Times New Roman"/>
          <w:kern w:val="0"/>
          <w:szCs w:val="24"/>
        </w:rPr>
        <w:t>9.2</w:t>
      </w:r>
      <w:r w:rsidR="008A0029" w:rsidRPr="004211FD">
        <w:rPr>
          <w:rFonts w:ascii="Times New Roman" w:hAnsi="Times New Roman"/>
          <w:kern w:val="0"/>
          <w:szCs w:val="24"/>
        </w:rPr>
        <w:t xml:space="preserve"> </w:t>
      </w:r>
      <w:r w:rsidRPr="004211FD">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108.85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434.79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543.64</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4211FD" w:rsidRDefault="001C1C7F" w:rsidP="004211FD">
      <w:pPr>
        <w:pStyle w:val="20"/>
        <w:spacing w:before="29" w:after="0" w:line="288" w:lineRule="auto"/>
        <w:rPr>
          <w:b w:val="0"/>
          <w:kern w:val="0"/>
        </w:rPr>
      </w:pPr>
      <w:bookmarkStart w:id="158" w:name="_Toc478236559"/>
      <w:r w:rsidRPr="004211FD">
        <w:rPr>
          <w:rFonts w:ascii="Times New Roman" w:hAnsi="Times New Roman"/>
          <w:kern w:val="0"/>
          <w:szCs w:val="24"/>
        </w:rPr>
        <w:t>9.3</w:t>
      </w:r>
      <w:r w:rsidRPr="004211FD">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B12F55">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B12F55">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B12F55">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B12F55">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236560"/>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2008</w:t>
            </w:r>
            <w:r w:rsidR="00146153" w:rsidRPr="00133414">
              <w:rPr>
                <w:sz w:val="24"/>
              </w:rPr>
              <w:t>年</w:t>
            </w:r>
            <w:r w:rsidR="00146153" w:rsidRPr="00133414">
              <w:rPr>
                <w:sz w:val="24"/>
              </w:rPr>
              <w:t>3</w:t>
            </w:r>
            <w:r w:rsidR="00146153" w:rsidRPr="00133414">
              <w:rPr>
                <w:sz w:val="24"/>
              </w:rPr>
              <w:t>月</w:t>
            </w:r>
            <w:r w:rsidR="00146153" w:rsidRPr="00133414">
              <w:rPr>
                <w:sz w:val="24"/>
              </w:rPr>
              <w:t>31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7,419,837,721.23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2,902,969,397.22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950,297,029.20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340,526,749.83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lastRenderedPageBreak/>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447,782,788.45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364,149,178.78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967,645,512.53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590,100,777.94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430,434,305.12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114,575,150.67</w:t>
            </w:r>
          </w:p>
        </w:tc>
      </w:tr>
    </w:tbl>
    <w:p w:rsidR="00A46313" w:rsidRDefault="001257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236561"/>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4211FD" w:rsidRDefault="001A59F9" w:rsidP="004211FD">
      <w:pPr>
        <w:pStyle w:val="20"/>
        <w:spacing w:before="29" w:after="0" w:line="288" w:lineRule="auto"/>
        <w:rPr>
          <w:b w:val="0"/>
          <w:kern w:val="0"/>
        </w:rPr>
      </w:pPr>
      <w:bookmarkStart w:id="165" w:name="_Toc361324894"/>
      <w:bookmarkStart w:id="166" w:name="_Toc478236562"/>
      <w:r w:rsidRPr="004211FD">
        <w:rPr>
          <w:rFonts w:ascii="Times New Roman" w:hAnsi="Times New Roman"/>
          <w:kern w:val="0"/>
          <w:szCs w:val="24"/>
        </w:rPr>
        <w:t>11.1</w:t>
      </w:r>
      <w:r w:rsidRPr="004211FD">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rFonts w:ascii="Times New Roman" w:hAnsi="Times New Roman"/>
          <w:kern w:val="0"/>
          <w:szCs w:val="24"/>
        </w:rPr>
      </w:pPr>
      <w:bookmarkStart w:id="167" w:name="_Toc361324895"/>
      <w:bookmarkStart w:id="168" w:name="_Toc478236563"/>
      <w:r w:rsidRPr="004211FD">
        <w:rPr>
          <w:rFonts w:ascii="Times New Roman" w:hAnsi="Times New Roman"/>
          <w:kern w:val="0"/>
          <w:szCs w:val="24"/>
        </w:rPr>
        <w:t xml:space="preserve">11.2 </w:t>
      </w:r>
      <w:r w:rsidRPr="004211FD">
        <w:rPr>
          <w:rFonts w:ascii="Times New Roman" w:hAnsi="Times New Roman" w:hint="eastAsia"/>
          <w:kern w:val="0"/>
          <w:szCs w:val="24"/>
        </w:rPr>
        <w:t>基金管理人、基金托管人的专门基金托管部门的重大人事变动</w:t>
      </w:r>
      <w:bookmarkEnd w:id="167"/>
      <w:bookmarkEnd w:id="168"/>
    </w:p>
    <w:p w:rsidR="00A46313" w:rsidRDefault="00125795">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r w:rsidRPr="00E87573">
        <w:rPr>
          <w:kern w:val="0"/>
          <w:sz w:val="24"/>
        </w:rPr>
        <w:t xml:space="preserve"> </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b w:val="0"/>
          <w:kern w:val="0"/>
        </w:rPr>
      </w:pPr>
      <w:bookmarkStart w:id="169" w:name="_Toc361324896"/>
      <w:bookmarkStart w:id="170" w:name="_Toc478236564"/>
      <w:r w:rsidRPr="004211FD">
        <w:rPr>
          <w:rFonts w:ascii="Times New Roman" w:hAnsi="Times New Roman"/>
          <w:kern w:val="0"/>
          <w:szCs w:val="24"/>
        </w:rPr>
        <w:t xml:space="preserve">11.3 </w:t>
      </w:r>
      <w:r w:rsidRPr="004211FD">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b w:val="0"/>
          <w:kern w:val="0"/>
        </w:rPr>
      </w:pPr>
      <w:bookmarkStart w:id="171" w:name="_Toc361324897"/>
      <w:bookmarkStart w:id="172" w:name="_Toc478236565"/>
      <w:r w:rsidRPr="004211FD">
        <w:rPr>
          <w:rFonts w:ascii="Times New Roman" w:hAnsi="Times New Roman"/>
          <w:kern w:val="0"/>
          <w:szCs w:val="24"/>
        </w:rPr>
        <w:t xml:space="preserve">11.4 </w:t>
      </w:r>
      <w:r w:rsidRPr="004211FD">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b w:val="0"/>
          <w:kern w:val="0"/>
        </w:rPr>
      </w:pPr>
      <w:bookmarkStart w:id="173" w:name="_Toc361324898"/>
      <w:bookmarkStart w:id="174" w:name="_Toc478236566"/>
      <w:r w:rsidRPr="004211FD">
        <w:rPr>
          <w:rFonts w:ascii="Times New Roman" w:hAnsi="Times New Roman"/>
          <w:kern w:val="0"/>
          <w:szCs w:val="24"/>
        </w:rPr>
        <w:t>11.5</w:t>
      </w:r>
      <w:bookmarkEnd w:id="173"/>
      <w:r w:rsidR="001134F0" w:rsidRPr="004211FD">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本报告期内，为本基金提供审计服务的会计师事务所为普华永道中天会计师事务所（特殊普通合伙）。本期审计费为</w:t>
      </w:r>
      <w:r w:rsidRPr="00E87573">
        <w:rPr>
          <w:kern w:val="0"/>
          <w:sz w:val="24"/>
        </w:rPr>
        <w:t>90,000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b w:val="0"/>
          <w:kern w:val="0"/>
        </w:rPr>
      </w:pPr>
      <w:bookmarkStart w:id="176" w:name="_Toc361324899"/>
      <w:bookmarkStart w:id="177" w:name="_Toc478236567"/>
      <w:bookmarkEnd w:id="175"/>
      <w:r w:rsidRPr="004211FD">
        <w:rPr>
          <w:rFonts w:ascii="Times New Roman" w:hAnsi="Times New Roman"/>
          <w:kern w:val="0"/>
          <w:szCs w:val="24"/>
        </w:rPr>
        <w:t xml:space="preserve">11.6 </w:t>
      </w:r>
      <w:r w:rsidRPr="004211FD">
        <w:rPr>
          <w:rFonts w:ascii="Times New Roman" w:hAnsi="Times New Roman" w:hint="eastAsia"/>
          <w:kern w:val="0"/>
          <w:szCs w:val="24"/>
        </w:rPr>
        <w:t>管理人、托管人及其高级管理人员受稽查或处罚等情况</w:t>
      </w:r>
      <w:bookmarkEnd w:id="176"/>
      <w:bookmarkEnd w:id="177"/>
    </w:p>
    <w:p w:rsidR="00F40370" w:rsidRPr="00F40370" w:rsidRDefault="00F40370" w:rsidP="00F40370">
      <w:pPr>
        <w:spacing w:before="29" w:line="288" w:lineRule="auto"/>
        <w:ind w:firstLineChars="200" w:firstLine="480"/>
        <w:rPr>
          <w:kern w:val="0"/>
          <w:sz w:val="24"/>
        </w:rPr>
      </w:pPr>
      <w:r w:rsidRPr="00F40370">
        <w:rPr>
          <w:rFonts w:hint="eastAsia"/>
          <w:kern w:val="0"/>
          <w:sz w:val="24"/>
        </w:rPr>
        <w:t>1</w:t>
      </w:r>
      <w:r w:rsidRPr="00F40370">
        <w:rPr>
          <w:rFonts w:hint="eastAsia"/>
          <w:kern w:val="0"/>
          <w:sz w:val="24"/>
        </w:rPr>
        <w:t>、管理人及其高级管理人员受稽查或处罚等情况</w:t>
      </w:r>
    </w:p>
    <w:p w:rsidR="00F40370" w:rsidRPr="00F40370" w:rsidRDefault="00F40370" w:rsidP="00F40370">
      <w:pPr>
        <w:spacing w:before="29" w:line="288" w:lineRule="auto"/>
        <w:ind w:firstLineChars="200" w:firstLine="480"/>
        <w:rPr>
          <w:kern w:val="0"/>
          <w:sz w:val="24"/>
        </w:rPr>
      </w:pPr>
      <w:r w:rsidRPr="00F40370">
        <w:rPr>
          <w:rFonts w:hint="eastAsia"/>
          <w:kern w:val="0"/>
          <w:sz w:val="24"/>
        </w:rPr>
        <w:lastRenderedPageBreak/>
        <w:t>公司于</w:t>
      </w:r>
      <w:r w:rsidRPr="00F40370">
        <w:rPr>
          <w:rFonts w:hint="eastAsia"/>
          <w:kern w:val="0"/>
          <w:sz w:val="24"/>
        </w:rPr>
        <w:t>2016</w:t>
      </w:r>
      <w:r w:rsidRPr="00F40370">
        <w:rPr>
          <w:rFonts w:hint="eastAsia"/>
          <w:kern w:val="0"/>
          <w:sz w:val="24"/>
        </w:rPr>
        <w:t>年</w:t>
      </w:r>
      <w:r w:rsidRPr="00F40370">
        <w:rPr>
          <w:rFonts w:hint="eastAsia"/>
          <w:kern w:val="0"/>
          <w:sz w:val="24"/>
        </w:rPr>
        <w:t>1</w:t>
      </w:r>
      <w:r w:rsidRPr="00F40370">
        <w:rPr>
          <w:rFonts w:hint="eastAsia"/>
          <w:kern w:val="0"/>
          <w:sz w:val="24"/>
        </w:rPr>
        <w:t>月和</w:t>
      </w:r>
      <w:r w:rsidRPr="00F40370">
        <w:rPr>
          <w:rFonts w:hint="eastAsia"/>
          <w:kern w:val="0"/>
          <w:sz w:val="24"/>
        </w:rPr>
        <w:t>10</w:t>
      </w:r>
      <w:r w:rsidRPr="00F4037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F40370" w:rsidRPr="00F40370" w:rsidRDefault="00F40370" w:rsidP="00F40370">
      <w:pPr>
        <w:spacing w:before="29" w:line="288" w:lineRule="auto"/>
        <w:ind w:firstLineChars="200" w:firstLine="480"/>
        <w:rPr>
          <w:kern w:val="0"/>
          <w:sz w:val="24"/>
        </w:rPr>
      </w:pPr>
      <w:r w:rsidRPr="00F40370">
        <w:rPr>
          <w:rFonts w:hint="eastAsia"/>
          <w:kern w:val="0"/>
          <w:sz w:val="24"/>
        </w:rPr>
        <w:t>2</w:t>
      </w:r>
      <w:r w:rsidRPr="00F40370">
        <w:rPr>
          <w:rFonts w:hint="eastAsia"/>
          <w:kern w:val="0"/>
          <w:sz w:val="24"/>
        </w:rPr>
        <w:t>、托管人及其高级管理人员受稽查或处罚等情况</w:t>
      </w:r>
    </w:p>
    <w:p w:rsidR="001A59F9" w:rsidRPr="00E87573" w:rsidRDefault="00F40370" w:rsidP="00F40370">
      <w:pPr>
        <w:spacing w:before="29" w:line="288" w:lineRule="auto"/>
        <w:ind w:firstLineChars="200" w:firstLine="480"/>
        <w:rPr>
          <w:kern w:val="0"/>
          <w:sz w:val="24"/>
        </w:rPr>
      </w:pPr>
      <w:r w:rsidRPr="00F40370">
        <w:rPr>
          <w:rFonts w:hint="eastAsia"/>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211FD" w:rsidRDefault="001A59F9" w:rsidP="004211FD">
      <w:pPr>
        <w:pStyle w:val="20"/>
        <w:spacing w:before="29" w:after="0" w:line="288" w:lineRule="auto"/>
        <w:rPr>
          <w:b w:val="0"/>
          <w:kern w:val="0"/>
        </w:rPr>
      </w:pPr>
      <w:bookmarkStart w:id="178" w:name="_Toc361324900"/>
      <w:bookmarkStart w:id="179" w:name="_Toc478236568"/>
      <w:r w:rsidRPr="004211FD">
        <w:rPr>
          <w:rFonts w:ascii="Times New Roman" w:hAnsi="Times New Roman"/>
          <w:kern w:val="0"/>
          <w:szCs w:val="24"/>
        </w:rPr>
        <w:t xml:space="preserve">11.7 </w:t>
      </w:r>
      <w:r w:rsidRPr="004211FD">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A46313">
        <w:tc>
          <w:tcPr>
            <w:tcW w:w="1560" w:type="dxa"/>
            <w:vAlign w:val="center"/>
          </w:tcPr>
          <w:p w:rsidR="00A46313" w:rsidRDefault="00125795">
            <w:pPr>
              <w:jc w:val="left"/>
            </w:pPr>
            <w:r>
              <w:rPr>
                <w:color w:val="000000"/>
                <w:szCs w:val="21"/>
              </w:rPr>
              <w:t>中信证券股份有限公司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中国银河证券股份有限公司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东方证券股份有限公司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安信证券股份有限公司</w:t>
            </w:r>
          </w:p>
        </w:tc>
        <w:tc>
          <w:tcPr>
            <w:tcW w:w="780" w:type="dxa"/>
            <w:vAlign w:val="center"/>
          </w:tcPr>
          <w:p w:rsidR="00A46313" w:rsidRDefault="00125795">
            <w:pPr>
              <w:jc w:val="right"/>
            </w:pPr>
            <w:r>
              <w:rPr>
                <w:color w:val="000000"/>
                <w:szCs w:val="21"/>
              </w:rPr>
              <w:t>2</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申万宏源证券有限公司</w:t>
            </w:r>
          </w:p>
        </w:tc>
        <w:tc>
          <w:tcPr>
            <w:tcW w:w="780" w:type="dxa"/>
            <w:vAlign w:val="center"/>
          </w:tcPr>
          <w:p w:rsidR="00A46313" w:rsidRDefault="00125795">
            <w:pPr>
              <w:jc w:val="right"/>
            </w:pPr>
            <w:r>
              <w:rPr>
                <w:color w:val="000000"/>
                <w:szCs w:val="21"/>
              </w:rPr>
              <w:t>2</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华泰证券股份有限公司</w:t>
            </w:r>
          </w:p>
        </w:tc>
        <w:tc>
          <w:tcPr>
            <w:tcW w:w="780" w:type="dxa"/>
            <w:vAlign w:val="center"/>
          </w:tcPr>
          <w:p w:rsidR="00A46313" w:rsidRDefault="00125795">
            <w:pPr>
              <w:jc w:val="right"/>
            </w:pPr>
            <w:r>
              <w:rPr>
                <w:color w:val="000000"/>
                <w:szCs w:val="21"/>
              </w:rPr>
              <w:t>2</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海通证券股份有限公司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方正证券股份有限公司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东吴证券股份有限公司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长江证券股份有限公司</w:t>
            </w:r>
          </w:p>
        </w:tc>
        <w:tc>
          <w:tcPr>
            <w:tcW w:w="780" w:type="dxa"/>
            <w:vAlign w:val="center"/>
          </w:tcPr>
          <w:p w:rsidR="00A46313" w:rsidRDefault="00125795">
            <w:pPr>
              <w:jc w:val="right"/>
            </w:pPr>
            <w:r>
              <w:rPr>
                <w:color w:val="000000"/>
                <w:szCs w:val="21"/>
              </w:rPr>
              <w:t>2</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平安证券有限责任公司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中银国际证券有限责任公司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北京高华证券有限责任公司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中国中投证券</w:t>
            </w:r>
            <w:r>
              <w:rPr>
                <w:color w:val="000000"/>
                <w:szCs w:val="21"/>
              </w:rPr>
              <w:lastRenderedPageBreak/>
              <w:t>有限责任公司</w:t>
            </w:r>
          </w:p>
        </w:tc>
        <w:tc>
          <w:tcPr>
            <w:tcW w:w="780" w:type="dxa"/>
            <w:vAlign w:val="center"/>
          </w:tcPr>
          <w:p w:rsidR="00A46313" w:rsidRDefault="00125795">
            <w:pPr>
              <w:jc w:val="right"/>
            </w:pPr>
            <w:r>
              <w:rPr>
                <w:color w:val="000000"/>
                <w:szCs w:val="21"/>
              </w:rPr>
              <w:lastRenderedPageBreak/>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lastRenderedPageBreak/>
              <w:t>华安证券股份有限公司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东兴证券股份有限公司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中国国际金融有限公司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中信建投证券股份有限公司</w:t>
            </w:r>
          </w:p>
        </w:tc>
        <w:tc>
          <w:tcPr>
            <w:tcW w:w="780" w:type="dxa"/>
            <w:vAlign w:val="center"/>
          </w:tcPr>
          <w:p w:rsidR="00A46313" w:rsidRDefault="00125795">
            <w:pPr>
              <w:jc w:val="right"/>
            </w:pPr>
            <w:r>
              <w:rPr>
                <w:color w:val="000000"/>
                <w:szCs w:val="21"/>
              </w:rPr>
              <w:t>2</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中泰证券股份有限公司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信达证券股份有限公司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西藏东方财富证券股份有限公司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r w:rsidR="00A46313">
        <w:tc>
          <w:tcPr>
            <w:tcW w:w="1560" w:type="dxa"/>
            <w:vAlign w:val="center"/>
          </w:tcPr>
          <w:p w:rsidR="00A46313" w:rsidRDefault="00125795">
            <w:pPr>
              <w:jc w:val="left"/>
            </w:pPr>
            <w:r>
              <w:rPr>
                <w:color w:val="000000"/>
                <w:szCs w:val="21"/>
              </w:rPr>
              <w:t>德邦证券股份有限公司</w:t>
            </w:r>
          </w:p>
        </w:tc>
        <w:tc>
          <w:tcPr>
            <w:tcW w:w="780" w:type="dxa"/>
            <w:vAlign w:val="center"/>
          </w:tcPr>
          <w:p w:rsidR="00A46313" w:rsidRDefault="00125795">
            <w:pPr>
              <w:jc w:val="right"/>
            </w:pPr>
            <w:r>
              <w:rPr>
                <w:color w:val="000000"/>
                <w:szCs w:val="21"/>
              </w:rPr>
              <w:t>1</w:t>
            </w:r>
          </w:p>
        </w:tc>
        <w:tc>
          <w:tcPr>
            <w:tcW w:w="180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620"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080" w:type="dxa"/>
            <w:vAlign w:val="center"/>
          </w:tcPr>
          <w:p w:rsidR="00A46313" w:rsidRDefault="00125795">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A46313">
        <w:tc>
          <w:tcPr>
            <w:tcW w:w="1559" w:type="dxa"/>
            <w:vAlign w:val="center"/>
          </w:tcPr>
          <w:p w:rsidR="00A46313" w:rsidRDefault="00125795">
            <w:pPr>
              <w:jc w:val="left"/>
            </w:pPr>
            <w:r>
              <w:rPr>
                <w:color w:val="000000"/>
                <w:szCs w:val="21"/>
              </w:rPr>
              <w:t>中信证券股份有限公司</w:t>
            </w:r>
          </w:p>
        </w:tc>
        <w:tc>
          <w:tcPr>
            <w:tcW w:w="1319" w:type="dxa"/>
            <w:vAlign w:val="center"/>
          </w:tcPr>
          <w:p w:rsidR="00A46313" w:rsidRDefault="00125795">
            <w:pPr>
              <w:jc w:val="right"/>
            </w:pPr>
            <w:r>
              <w:rPr>
                <w:color w:val="000000"/>
                <w:szCs w:val="21"/>
              </w:rPr>
              <w:t>815,190,923.03</w:t>
            </w:r>
          </w:p>
        </w:tc>
        <w:tc>
          <w:tcPr>
            <w:tcW w:w="1080" w:type="dxa"/>
            <w:vAlign w:val="center"/>
          </w:tcPr>
          <w:p w:rsidR="00A46313" w:rsidRDefault="00125795">
            <w:pPr>
              <w:jc w:val="right"/>
            </w:pPr>
            <w:r>
              <w:rPr>
                <w:color w:val="000000"/>
                <w:szCs w:val="21"/>
              </w:rPr>
              <w:t>68.65%</w:t>
            </w:r>
          </w:p>
        </w:tc>
        <w:tc>
          <w:tcPr>
            <w:tcW w:w="1143" w:type="dxa"/>
            <w:vAlign w:val="center"/>
          </w:tcPr>
          <w:p w:rsidR="00A46313" w:rsidRDefault="00125795">
            <w:pPr>
              <w:jc w:val="right"/>
            </w:pPr>
            <w:r>
              <w:rPr>
                <w:color w:val="000000"/>
                <w:szCs w:val="21"/>
              </w:rPr>
              <w:t>3,710,000,000.00</w:t>
            </w:r>
          </w:p>
        </w:tc>
        <w:tc>
          <w:tcPr>
            <w:tcW w:w="1197" w:type="dxa"/>
            <w:vAlign w:val="center"/>
          </w:tcPr>
          <w:p w:rsidR="00A46313" w:rsidRDefault="00125795">
            <w:pPr>
              <w:jc w:val="right"/>
            </w:pPr>
            <w:r>
              <w:rPr>
                <w:color w:val="000000"/>
                <w:szCs w:val="21"/>
              </w:rPr>
              <w:t>22.10%</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中国银河证券股份有限公司</w:t>
            </w:r>
          </w:p>
        </w:tc>
        <w:tc>
          <w:tcPr>
            <w:tcW w:w="1319" w:type="dxa"/>
            <w:vAlign w:val="center"/>
          </w:tcPr>
          <w:p w:rsidR="00A46313" w:rsidRDefault="00125795">
            <w:pPr>
              <w:jc w:val="right"/>
            </w:pPr>
            <w:r>
              <w:rPr>
                <w:color w:val="000000"/>
                <w:szCs w:val="21"/>
              </w:rPr>
              <w:t>80,730,582.51</w:t>
            </w:r>
          </w:p>
        </w:tc>
        <w:tc>
          <w:tcPr>
            <w:tcW w:w="1080" w:type="dxa"/>
            <w:vAlign w:val="center"/>
          </w:tcPr>
          <w:p w:rsidR="00A46313" w:rsidRDefault="00125795">
            <w:pPr>
              <w:jc w:val="right"/>
            </w:pPr>
            <w:r>
              <w:rPr>
                <w:color w:val="000000"/>
                <w:szCs w:val="21"/>
              </w:rPr>
              <w:t>6.80%</w:t>
            </w:r>
          </w:p>
        </w:tc>
        <w:tc>
          <w:tcPr>
            <w:tcW w:w="1143" w:type="dxa"/>
            <w:vAlign w:val="center"/>
          </w:tcPr>
          <w:p w:rsidR="00A46313" w:rsidRDefault="00125795">
            <w:pPr>
              <w:jc w:val="right"/>
            </w:pPr>
            <w:r>
              <w:rPr>
                <w:color w:val="000000"/>
                <w:szCs w:val="21"/>
              </w:rPr>
              <w:t>1,870,000,000.00</w:t>
            </w:r>
          </w:p>
        </w:tc>
        <w:tc>
          <w:tcPr>
            <w:tcW w:w="1197" w:type="dxa"/>
            <w:vAlign w:val="center"/>
          </w:tcPr>
          <w:p w:rsidR="00A46313" w:rsidRDefault="00125795">
            <w:pPr>
              <w:jc w:val="right"/>
            </w:pPr>
            <w:r>
              <w:rPr>
                <w:color w:val="000000"/>
                <w:szCs w:val="21"/>
              </w:rPr>
              <w:t>11.14%</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东方证券股份有限公司</w:t>
            </w:r>
          </w:p>
        </w:tc>
        <w:tc>
          <w:tcPr>
            <w:tcW w:w="1319" w:type="dxa"/>
            <w:vAlign w:val="center"/>
          </w:tcPr>
          <w:p w:rsidR="00A46313" w:rsidRDefault="00125795">
            <w:pPr>
              <w:jc w:val="right"/>
            </w:pPr>
            <w:r>
              <w:rPr>
                <w:color w:val="000000"/>
                <w:szCs w:val="21"/>
              </w:rPr>
              <w:t>7,338,948.00</w:t>
            </w:r>
          </w:p>
        </w:tc>
        <w:tc>
          <w:tcPr>
            <w:tcW w:w="1080" w:type="dxa"/>
            <w:vAlign w:val="center"/>
          </w:tcPr>
          <w:p w:rsidR="00A46313" w:rsidRDefault="00125795">
            <w:pPr>
              <w:jc w:val="right"/>
            </w:pPr>
            <w:r>
              <w:rPr>
                <w:color w:val="000000"/>
                <w:szCs w:val="21"/>
              </w:rPr>
              <w:t>0.62%</w:t>
            </w:r>
          </w:p>
        </w:tc>
        <w:tc>
          <w:tcPr>
            <w:tcW w:w="1143" w:type="dxa"/>
            <w:vAlign w:val="center"/>
          </w:tcPr>
          <w:p w:rsidR="00A46313" w:rsidRDefault="00125795">
            <w:pPr>
              <w:jc w:val="right"/>
            </w:pPr>
            <w:r>
              <w:rPr>
                <w:color w:val="000000"/>
                <w:szCs w:val="21"/>
              </w:rPr>
              <w:t>305,000,000.00</w:t>
            </w:r>
          </w:p>
        </w:tc>
        <w:tc>
          <w:tcPr>
            <w:tcW w:w="1197" w:type="dxa"/>
            <w:vAlign w:val="center"/>
          </w:tcPr>
          <w:p w:rsidR="00A46313" w:rsidRDefault="00125795">
            <w:pPr>
              <w:jc w:val="right"/>
            </w:pPr>
            <w:r>
              <w:rPr>
                <w:color w:val="000000"/>
                <w:szCs w:val="21"/>
              </w:rPr>
              <w:t>1.82%</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安信证券股份有限公司</w:t>
            </w:r>
          </w:p>
        </w:tc>
        <w:tc>
          <w:tcPr>
            <w:tcW w:w="1319" w:type="dxa"/>
            <w:vAlign w:val="center"/>
          </w:tcPr>
          <w:p w:rsidR="00A46313" w:rsidRDefault="00125795">
            <w:pPr>
              <w:jc w:val="right"/>
            </w:pPr>
            <w:r>
              <w:rPr>
                <w:color w:val="000000"/>
                <w:szCs w:val="21"/>
              </w:rPr>
              <w:t>67,758,451.00</w:t>
            </w:r>
          </w:p>
        </w:tc>
        <w:tc>
          <w:tcPr>
            <w:tcW w:w="1080" w:type="dxa"/>
            <w:vAlign w:val="center"/>
          </w:tcPr>
          <w:p w:rsidR="00A46313" w:rsidRDefault="00125795">
            <w:pPr>
              <w:jc w:val="right"/>
            </w:pPr>
            <w:r>
              <w:rPr>
                <w:color w:val="000000"/>
                <w:szCs w:val="21"/>
              </w:rPr>
              <w:t>5.71%</w:t>
            </w:r>
          </w:p>
        </w:tc>
        <w:tc>
          <w:tcPr>
            <w:tcW w:w="1143" w:type="dxa"/>
            <w:vAlign w:val="center"/>
          </w:tcPr>
          <w:p w:rsidR="00A46313" w:rsidRDefault="00125795">
            <w:pPr>
              <w:jc w:val="right"/>
            </w:pPr>
            <w:r>
              <w:rPr>
                <w:color w:val="000000"/>
                <w:szCs w:val="21"/>
              </w:rPr>
              <w:t>4,904,500,000.00</w:t>
            </w:r>
          </w:p>
        </w:tc>
        <w:tc>
          <w:tcPr>
            <w:tcW w:w="1197" w:type="dxa"/>
            <w:vAlign w:val="center"/>
          </w:tcPr>
          <w:p w:rsidR="00A46313" w:rsidRDefault="00125795">
            <w:pPr>
              <w:jc w:val="right"/>
            </w:pPr>
            <w:r>
              <w:rPr>
                <w:color w:val="000000"/>
                <w:szCs w:val="21"/>
              </w:rPr>
              <w:t>29.21%</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申万宏源证券有限公司</w:t>
            </w:r>
          </w:p>
        </w:tc>
        <w:tc>
          <w:tcPr>
            <w:tcW w:w="1319" w:type="dxa"/>
            <w:vAlign w:val="center"/>
          </w:tcPr>
          <w:p w:rsidR="00A46313" w:rsidRDefault="00125795">
            <w:pPr>
              <w:jc w:val="right"/>
            </w:pPr>
            <w:r>
              <w:rPr>
                <w:color w:val="000000"/>
                <w:szCs w:val="21"/>
              </w:rPr>
              <w:t>2,539,600.00</w:t>
            </w:r>
          </w:p>
        </w:tc>
        <w:tc>
          <w:tcPr>
            <w:tcW w:w="1080" w:type="dxa"/>
            <w:vAlign w:val="center"/>
          </w:tcPr>
          <w:p w:rsidR="00A46313" w:rsidRDefault="00125795">
            <w:pPr>
              <w:jc w:val="right"/>
            </w:pPr>
            <w:r>
              <w:rPr>
                <w:color w:val="000000"/>
                <w:szCs w:val="21"/>
              </w:rPr>
              <w:t>0.21%</w:t>
            </w:r>
          </w:p>
        </w:tc>
        <w:tc>
          <w:tcPr>
            <w:tcW w:w="1143" w:type="dxa"/>
            <w:vAlign w:val="center"/>
          </w:tcPr>
          <w:p w:rsidR="00A46313" w:rsidRDefault="00125795">
            <w:pPr>
              <w:jc w:val="right"/>
            </w:pPr>
            <w:r>
              <w:rPr>
                <w:color w:val="000000"/>
                <w:szCs w:val="21"/>
              </w:rPr>
              <w:t>420,200,000.00</w:t>
            </w:r>
          </w:p>
        </w:tc>
        <w:tc>
          <w:tcPr>
            <w:tcW w:w="1197" w:type="dxa"/>
            <w:vAlign w:val="center"/>
          </w:tcPr>
          <w:p w:rsidR="00A46313" w:rsidRDefault="00125795">
            <w:pPr>
              <w:jc w:val="right"/>
            </w:pPr>
            <w:r>
              <w:rPr>
                <w:color w:val="000000"/>
                <w:szCs w:val="21"/>
              </w:rPr>
              <w:t>2.50%</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华泰证券股份有限公司</w:t>
            </w:r>
          </w:p>
        </w:tc>
        <w:tc>
          <w:tcPr>
            <w:tcW w:w="1319" w:type="dxa"/>
            <w:vAlign w:val="center"/>
          </w:tcPr>
          <w:p w:rsidR="00A46313" w:rsidRDefault="00125795">
            <w:pPr>
              <w:jc w:val="right"/>
            </w:pPr>
            <w:r>
              <w:rPr>
                <w:color w:val="000000"/>
                <w:szCs w:val="21"/>
              </w:rPr>
              <w:t>23,737,423.14</w:t>
            </w:r>
          </w:p>
        </w:tc>
        <w:tc>
          <w:tcPr>
            <w:tcW w:w="1080" w:type="dxa"/>
            <w:vAlign w:val="center"/>
          </w:tcPr>
          <w:p w:rsidR="00A46313" w:rsidRDefault="00125795">
            <w:pPr>
              <w:jc w:val="right"/>
            </w:pPr>
            <w:r>
              <w:rPr>
                <w:color w:val="000000"/>
                <w:szCs w:val="21"/>
              </w:rPr>
              <w:t>2.00%</w:t>
            </w:r>
          </w:p>
        </w:tc>
        <w:tc>
          <w:tcPr>
            <w:tcW w:w="1143" w:type="dxa"/>
            <w:vAlign w:val="center"/>
          </w:tcPr>
          <w:p w:rsidR="00A46313" w:rsidRDefault="00125795">
            <w:pPr>
              <w:jc w:val="right"/>
            </w:pPr>
            <w:r>
              <w:rPr>
                <w:color w:val="000000"/>
                <w:szCs w:val="21"/>
              </w:rPr>
              <w:t>1,257,000,000.00</w:t>
            </w:r>
          </w:p>
        </w:tc>
        <w:tc>
          <w:tcPr>
            <w:tcW w:w="1197" w:type="dxa"/>
            <w:vAlign w:val="center"/>
          </w:tcPr>
          <w:p w:rsidR="00A46313" w:rsidRDefault="00125795">
            <w:pPr>
              <w:jc w:val="right"/>
            </w:pPr>
            <w:r>
              <w:rPr>
                <w:color w:val="000000"/>
                <w:szCs w:val="21"/>
              </w:rPr>
              <w:t>7.49%</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海通证券股份有限公司</w:t>
            </w:r>
          </w:p>
        </w:tc>
        <w:tc>
          <w:tcPr>
            <w:tcW w:w="1319" w:type="dxa"/>
            <w:vAlign w:val="center"/>
          </w:tcPr>
          <w:p w:rsidR="00A46313" w:rsidRDefault="00125795">
            <w:pPr>
              <w:jc w:val="right"/>
            </w:pPr>
            <w:r>
              <w:rPr>
                <w:color w:val="000000"/>
                <w:szCs w:val="21"/>
              </w:rPr>
              <w:t>21,760,165.00</w:t>
            </w:r>
          </w:p>
        </w:tc>
        <w:tc>
          <w:tcPr>
            <w:tcW w:w="1080" w:type="dxa"/>
            <w:vAlign w:val="center"/>
          </w:tcPr>
          <w:p w:rsidR="00A46313" w:rsidRDefault="00125795">
            <w:pPr>
              <w:jc w:val="right"/>
            </w:pPr>
            <w:r>
              <w:rPr>
                <w:color w:val="000000"/>
                <w:szCs w:val="21"/>
              </w:rPr>
              <w:t>1.83%</w:t>
            </w:r>
          </w:p>
        </w:tc>
        <w:tc>
          <w:tcPr>
            <w:tcW w:w="1143" w:type="dxa"/>
            <w:vAlign w:val="center"/>
          </w:tcPr>
          <w:p w:rsidR="00A46313" w:rsidRDefault="00125795">
            <w:pPr>
              <w:jc w:val="right"/>
            </w:pPr>
            <w:r>
              <w:rPr>
                <w:color w:val="000000"/>
                <w:szCs w:val="21"/>
              </w:rPr>
              <w:t>200,000,000.00</w:t>
            </w:r>
          </w:p>
        </w:tc>
        <w:tc>
          <w:tcPr>
            <w:tcW w:w="1197" w:type="dxa"/>
            <w:vAlign w:val="center"/>
          </w:tcPr>
          <w:p w:rsidR="00A46313" w:rsidRDefault="00125795">
            <w:pPr>
              <w:jc w:val="right"/>
            </w:pPr>
            <w:r>
              <w:rPr>
                <w:color w:val="000000"/>
                <w:szCs w:val="21"/>
              </w:rPr>
              <w:t>1.19%</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方正证券股份有限公司</w:t>
            </w:r>
          </w:p>
        </w:tc>
        <w:tc>
          <w:tcPr>
            <w:tcW w:w="1319" w:type="dxa"/>
            <w:vAlign w:val="center"/>
          </w:tcPr>
          <w:p w:rsidR="00A46313" w:rsidRDefault="00125795">
            <w:pPr>
              <w:jc w:val="right"/>
            </w:pPr>
            <w:r>
              <w:rPr>
                <w:color w:val="000000"/>
                <w:szCs w:val="21"/>
              </w:rPr>
              <w:t>19,214,522.11</w:t>
            </w:r>
          </w:p>
        </w:tc>
        <w:tc>
          <w:tcPr>
            <w:tcW w:w="1080" w:type="dxa"/>
            <w:vAlign w:val="center"/>
          </w:tcPr>
          <w:p w:rsidR="00A46313" w:rsidRDefault="00125795">
            <w:pPr>
              <w:jc w:val="right"/>
            </w:pPr>
            <w:r>
              <w:rPr>
                <w:color w:val="000000"/>
                <w:szCs w:val="21"/>
              </w:rPr>
              <w:t>1.62%</w:t>
            </w:r>
          </w:p>
        </w:tc>
        <w:tc>
          <w:tcPr>
            <w:tcW w:w="1143" w:type="dxa"/>
            <w:vAlign w:val="center"/>
          </w:tcPr>
          <w:p w:rsidR="00A46313" w:rsidRDefault="00125795">
            <w:pPr>
              <w:jc w:val="right"/>
            </w:pPr>
            <w:r>
              <w:rPr>
                <w:color w:val="000000"/>
                <w:szCs w:val="21"/>
              </w:rPr>
              <w:t>219,082,000.00</w:t>
            </w:r>
          </w:p>
        </w:tc>
        <w:tc>
          <w:tcPr>
            <w:tcW w:w="1197" w:type="dxa"/>
            <w:vAlign w:val="center"/>
          </w:tcPr>
          <w:p w:rsidR="00A46313" w:rsidRDefault="00125795">
            <w:pPr>
              <w:jc w:val="right"/>
            </w:pPr>
            <w:r>
              <w:rPr>
                <w:color w:val="000000"/>
                <w:szCs w:val="21"/>
              </w:rPr>
              <w:t>1.30%</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东吴证券股份</w:t>
            </w:r>
            <w:r>
              <w:rPr>
                <w:color w:val="000000"/>
                <w:szCs w:val="21"/>
              </w:rPr>
              <w:lastRenderedPageBreak/>
              <w:t>有限公司</w:t>
            </w:r>
          </w:p>
        </w:tc>
        <w:tc>
          <w:tcPr>
            <w:tcW w:w="1319" w:type="dxa"/>
            <w:vAlign w:val="center"/>
          </w:tcPr>
          <w:p w:rsidR="00A46313" w:rsidRDefault="00125795">
            <w:pPr>
              <w:jc w:val="right"/>
            </w:pPr>
            <w:r>
              <w:rPr>
                <w:color w:val="000000"/>
                <w:szCs w:val="21"/>
              </w:rPr>
              <w:lastRenderedPageBreak/>
              <w:t>18,704,027.6</w:t>
            </w:r>
            <w:r>
              <w:rPr>
                <w:color w:val="000000"/>
                <w:szCs w:val="21"/>
              </w:rPr>
              <w:lastRenderedPageBreak/>
              <w:t>3</w:t>
            </w:r>
          </w:p>
        </w:tc>
        <w:tc>
          <w:tcPr>
            <w:tcW w:w="1080" w:type="dxa"/>
            <w:vAlign w:val="center"/>
          </w:tcPr>
          <w:p w:rsidR="00A46313" w:rsidRDefault="00125795">
            <w:pPr>
              <w:jc w:val="right"/>
            </w:pPr>
            <w:r>
              <w:rPr>
                <w:color w:val="000000"/>
                <w:szCs w:val="21"/>
              </w:rPr>
              <w:lastRenderedPageBreak/>
              <w:t>1.58%</w:t>
            </w:r>
          </w:p>
        </w:tc>
        <w:tc>
          <w:tcPr>
            <w:tcW w:w="1143" w:type="dxa"/>
            <w:vAlign w:val="center"/>
          </w:tcPr>
          <w:p w:rsidR="00A46313" w:rsidRDefault="00125795">
            <w:pPr>
              <w:jc w:val="right"/>
            </w:pPr>
            <w:r>
              <w:rPr>
                <w:color w:val="000000"/>
                <w:szCs w:val="21"/>
              </w:rPr>
              <w:t>1,072,000,</w:t>
            </w:r>
            <w:r>
              <w:rPr>
                <w:color w:val="000000"/>
                <w:szCs w:val="21"/>
              </w:rPr>
              <w:lastRenderedPageBreak/>
              <w:t>000.00</w:t>
            </w:r>
          </w:p>
        </w:tc>
        <w:tc>
          <w:tcPr>
            <w:tcW w:w="1197" w:type="dxa"/>
            <w:vAlign w:val="center"/>
          </w:tcPr>
          <w:p w:rsidR="00A46313" w:rsidRDefault="00125795">
            <w:pPr>
              <w:jc w:val="right"/>
            </w:pPr>
            <w:r>
              <w:rPr>
                <w:color w:val="000000"/>
                <w:szCs w:val="21"/>
              </w:rPr>
              <w:lastRenderedPageBreak/>
              <w:t>6.39%</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lastRenderedPageBreak/>
              <w:t>长江证券股份有限公司</w:t>
            </w:r>
          </w:p>
        </w:tc>
        <w:tc>
          <w:tcPr>
            <w:tcW w:w="1319" w:type="dxa"/>
            <w:vAlign w:val="center"/>
          </w:tcPr>
          <w:p w:rsidR="00A46313" w:rsidRDefault="00125795">
            <w:pPr>
              <w:jc w:val="right"/>
            </w:pPr>
            <w:r>
              <w:rPr>
                <w:color w:val="000000"/>
                <w:szCs w:val="21"/>
              </w:rPr>
              <w:t>18,651,948.65</w:t>
            </w:r>
          </w:p>
        </w:tc>
        <w:tc>
          <w:tcPr>
            <w:tcW w:w="1080" w:type="dxa"/>
            <w:vAlign w:val="center"/>
          </w:tcPr>
          <w:p w:rsidR="00A46313" w:rsidRDefault="00125795">
            <w:pPr>
              <w:jc w:val="right"/>
            </w:pPr>
            <w:r>
              <w:rPr>
                <w:color w:val="000000"/>
                <w:szCs w:val="21"/>
              </w:rPr>
              <w:t>1.57%</w:t>
            </w:r>
          </w:p>
        </w:tc>
        <w:tc>
          <w:tcPr>
            <w:tcW w:w="1143" w:type="dxa"/>
            <w:vAlign w:val="center"/>
          </w:tcPr>
          <w:p w:rsidR="00A46313" w:rsidRDefault="00125795">
            <w:pPr>
              <w:jc w:val="right"/>
            </w:pPr>
            <w:r>
              <w:rPr>
                <w:color w:val="000000"/>
                <w:szCs w:val="21"/>
              </w:rPr>
              <w:t>388,000,000.00</w:t>
            </w:r>
          </w:p>
        </w:tc>
        <w:tc>
          <w:tcPr>
            <w:tcW w:w="1197" w:type="dxa"/>
            <w:vAlign w:val="center"/>
          </w:tcPr>
          <w:p w:rsidR="00A46313" w:rsidRDefault="00125795">
            <w:pPr>
              <w:jc w:val="right"/>
            </w:pPr>
            <w:r>
              <w:rPr>
                <w:color w:val="000000"/>
                <w:szCs w:val="21"/>
              </w:rPr>
              <w:t>2.31%</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平安证券有限责任公司</w:t>
            </w:r>
          </w:p>
        </w:tc>
        <w:tc>
          <w:tcPr>
            <w:tcW w:w="1319" w:type="dxa"/>
            <w:vAlign w:val="center"/>
          </w:tcPr>
          <w:p w:rsidR="00A46313" w:rsidRDefault="00125795">
            <w:pPr>
              <w:jc w:val="right"/>
            </w:pPr>
            <w:r>
              <w:rPr>
                <w:color w:val="000000"/>
                <w:szCs w:val="21"/>
              </w:rPr>
              <w:t>1,125,195.98</w:t>
            </w:r>
          </w:p>
        </w:tc>
        <w:tc>
          <w:tcPr>
            <w:tcW w:w="1080" w:type="dxa"/>
            <w:vAlign w:val="center"/>
          </w:tcPr>
          <w:p w:rsidR="00A46313" w:rsidRDefault="00125795">
            <w:pPr>
              <w:jc w:val="right"/>
            </w:pPr>
            <w:r>
              <w:rPr>
                <w:color w:val="000000"/>
                <w:szCs w:val="21"/>
              </w:rPr>
              <w:t>0.09%</w:t>
            </w:r>
          </w:p>
        </w:tc>
        <w:tc>
          <w:tcPr>
            <w:tcW w:w="1143" w:type="dxa"/>
            <w:vAlign w:val="center"/>
          </w:tcPr>
          <w:p w:rsidR="00A46313" w:rsidRDefault="00125795">
            <w:pPr>
              <w:jc w:val="right"/>
            </w:pPr>
            <w:r>
              <w:rPr>
                <w:color w:val="000000"/>
                <w:szCs w:val="21"/>
              </w:rPr>
              <w:t>190,000,000.00</w:t>
            </w:r>
          </w:p>
        </w:tc>
        <w:tc>
          <w:tcPr>
            <w:tcW w:w="1197" w:type="dxa"/>
            <w:vAlign w:val="center"/>
          </w:tcPr>
          <w:p w:rsidR="00A46313" w:rsidRDefault="00125795">
            <w:pPr>
              <w:jc w:val="right"/>
            </w:pPr>
            <w:r>
              <w:rPr>
                <w:color w:val="000000"/>
                <w:szCs w:val="21"/>
              </w:rPr>
              <w:t>1.13%</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中银国际证券有限责任公司</w:t>
            </w:r>
          </w:p>
        </w:tc>
        <w:tc>
          <w:tcPr>
            <w:tcW w:w="1319" w:type="dxa"/>
            <w:vAlign w:val="center"/>
          </w:tcPr>
          <w:p w:rsidR="00A46313" w:rsidRDefault="00125795">
            <w:pPr>
              <w:jc w:val="right"/>
            </w:pPr>
            <w:r>
              <w:rPr>
                <w:color w:val="000000"/>
                <w:szCs w:val="21"/>
              </w:rPr>
              <w:t>110,683,340.64</w:t>
            </w:r>
          </w:p>
        </w:tc>
        <w:tc>
          <w:tcPr>
            <w:tcW w:w="1080" w:type="dxa"/>
            <w:vAlign w:val="center"/>
          </w:tcPr>
          <w:p w:rsidR="00A46313" w:rsidRDefault="00125795">
            <w:pPr>
              <w:jc w:val="right"/>
            </w:pPr>
            <w:r>
              <w:rPr>
                <w:color w:val="000000"/>
                <w:szCs w:val="21"/>
              </w:rPr>
              <w:t>9.32%</w:t>
            </w:r>
          </w:p>
        </w:tc>
        <w:tc>
          <w:tcPr>
            <w:tcW w:w="1143" w:type="dxa"/>
            <w:vAlign w:val="center"/>
          </w:tcPr>
          <w:p w:rsidR="00A46313" w:rsidRDefault="00125795">
            <w:pPr>
              <w:jc w:val="right"/>
            </w:pPr>
            <w:r>
              <w:rPr>
                <w:color w:val="000000"/>
                <w:szCs w:val="21"/>
              </w:rPr>
              <w:t>285,000,000.00</w:t>
            </w:r>
          </w:p>
        </w:tc>
        <w:tc>
          <w:tcPr>
            <w:tcW w:w="1197" w:type="dxa"/>
            <w:vAlign w:val="center"/>
          </w:tcPr>
          <w:p w:rsidR="00A46313" w:rsidRDefault="00125795">
            <w:pPr>
              <w:jc w:val="right"/>
            </w:pPr>
            <w:r>
              <w:rPr>
                <w:color w:val="000000"/>
                <w:szCs w:val="21"/>
              </w:rPr>
              <w:t>1.70%</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北京高华证券有限责任公司</w:t>
            </w:r>
          </w:p>
        </w:tc>
        <w:tc>
          <w:tcPr>
            <w:tcW w:w="1319"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143" w:type="dxa"/>
            <w:vAlign w:val="center"/>
          </w:tcPr>
          <w:p w:rsidR="00A46313" w:rsidRDefault="00125795">
            <w:pPr>
              <w:jc w:val="right"/>
            </w:pPr>
            <w:r>
              <w:rPr>
                <w:color w:val="000000"/>
                <w:szCs w:val="21"/>
              </w:rPr>
              <w:t>1,236,000,000.00</w:t>
            </w:r>
          </w:p>
        </w:tc>
        <w:tc>
          <w:tcPr>
            <w:tcW w:w="1197" w:type="dxa"/>
            <w:vAlign w:val="center"/>
          </w:tcPr>
          <w:p w:rsidR="00A46313" w:rsidRDefault="00125795">
            <w:pPr>
              <w:jc w:val="right"/>
            </w:pPr>
            <w:r>
              <w:rPr>
                <w:color w:val="000000"/>
                <w:szCs w:val="21"/>
              </w:rPr>
              <w:t>7.36%</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中国中投证券有限责任公司</w:t>
            </w:r>
          </w:p>
        </w:tc>
        <w:tc>
          <w:tcPr>
            <w:tcW w:w="1319"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143" w:type="dxa"/>
            <w:vAlign w:val="center"/>
          </w:tcPr>
          <w:p w:rsidR="00A46313" w:rsidRDefault="00125795">
            <w:pPr>
              <w:jc w:val="right"/>
            </w:pPr>
            <w:r>
              <w:rPr>
                <w:color w:val="000000"/>
                <w:szCs w:val="21"/>
              </w:rPr>
              <w:t>490,000,000.00</w:t>
            </w:r>
          </w:p>
        </w:tc>
        <w:tc>
          <w:tcPr>
            <w:tcW w:w="1197" w:type="dxa"/>
            <w:vAlign w:val="center"/>
          </w:tcPr>
          <w:p w:rsidR="00A46313" w:rsidRDefault="00125795">
            <w:pPr>
              <w:jc w:val="right"/>
            </w:pPr>
            <w:r>
              <w:rPr>
                <w:color w:val="000000"/>
                <w:szCs w:val="21"/>
              </w:rPr>
              <w:t>2.92%</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中国国际金融有限公司</w:t>
            </w:r>
          </w:p>
        </w:tc>
        <w:tc>
          <w:tcPr>
            <w:tcW w:w="1319"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143" w:type="dxa"/>
            <w:vAlign w:val="center"/>
          </w:tcPr>
          <w:p w:rsidR="00A46313" w:rsidRDefault="00125795">
            <w:pPr>
              <w:jc w:val="right"/>
            </w:pPr>
            <w:r>
              <w:rPr>
                <w:color w:val="000000"/>
                <w:szCs w:val="21"/>
              </w:rPr>
              <w:t>90,000,000.00</w:t>
            </w:r>
          </w:p>
        </w:tc>
        <w:tc>
          <w:tcPr>
            <w:tcW w:w="1197" w:type="dxa"/>
            <w:vAlign w:val="center"/>
          </w:tcPr>
          <w:p w:rsidR="00A46313" w:rsidRDefault="00125795">
            <w:pPr>
              <w:jc w:val="right"/>
            </w:pPr>
            <w:r>
              <w:rPr>
                <w:color w:val="000000"/>
                <w:szCs w:val="21"/>
              </w:rPr>
              <w:t>0.54%</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中信建投证券股份有限公司</w:t>
            </w:r>
          </w:p>
        </w:tc>
        <w:tc>
          <w:tcPr>
            <w:tcW w:w="1319"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143" w:type="dxa"/>
            <w:vAlign w:val="center"/>
          </w:tcPr>
          <w:p w:rsidR="00A46313" w:rsidRDefault="00125795">
            <w:pPr>
              <w:jc w:val="right"/>
            </w:pPr>
            <w:r>
              <w:rPr>
                <w:color w:val="000000"/>
                <w:szCs w:val="21"/>
              </w:rPr>
              <w:t>122,000,000.00</w:t>
            </w:r>
          </w:p>
        </w:tc>
        <w:tc>
          <w:tcPr>
            <w:tcW w:w="1197" w:type="dxa"/>
            <w:vAlign w:val="center"/>
          </w:tcPr>
          <w:p w:rsidR="00A46313" w:rsidRDefault="00125795">
            <w:pPr>
              <w:jc w:val="right"/>
            </w:pPr>
            <w:r>
              <w:rPr>
                <w:color w:val="000000"/>
                <w:szCs w:val="21"/>
              </w:rPr>
              <w:t>0.73%</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r w:rsidR="00A46313">
        <w:tc>
          <w:tcPr>
            <w:tcW w:w="1559" w:type="dxa"/>
            <w:vAlign w:val="center"/>
          </w:tcPr>
          <w:p w:rsidR="00A46313" w:rsidRDefault="00125795">
            <w:pPr>
              <w:jc w:val="left"/>
            </w:pPr>
            <w:r>
              <w:rPr>
                <w:color w:val="000000"/>
                <w:szCs w:val="21"/>
              </w:rPr>
              <w:t>中泰证券股份有限公司</w:t>
            </w:r>
          </w:p>
        </w:tc>
        <w:tc>
          <w:tcPr>
            <w:tcW w:w="1319" w:type="dxa"/>
            <w:vAlign w:val="center"/>
          </w:tcPr>
          <w:p w:rsidR="00A46313" w:rsidRDefault="00125795">
            <w:pPr>
              <w:jc w:val="right"/>
            </w:pPr>
            <w:r>
              <w:rPr>
                <w:color w:val="000000"/>
                <w:szCs w:val="21"/>
              </w:rPr>
              <w:t>-</w:t>
            </w:r>
          </w:p>
        </w:tc>
        <w:tc>
          <w:tcPr>
            <w:tcW w:w="1080" w:type="dxa"/>
            <w:vAlign w:val="center"/>
          </w:tcPr>
          <w:p w:rsidR="00A46313" w:rsidRDefault="00125795">
            <w:pPr>
              <w:jc w:val="right"/>
            </w:pPr>
            <w:r>
              <w:rPr>
                <w:color w:val="000000"/>
                <w:szCs w:val="21"/>
              </w:rPr>
              <w:t>-</w:t>
            </w:r>
          </w:p>
        </w:tc>
        <w:tc>
          <w:tcPr>
            <w:tcW w:w="1143" w:type="dxa"/>
            <w:vAlign w:val="center"/>
          </w:tcPr>
          <w:p w:rsidR="00A46313" w:rsidRDefault="00125795">
            <w:pPr>
              <w:jc w:val="right"/>
            </w:pPr>
            <w:r>
              <w:rPr>
                <w:color w:val="000000"/>
                <w:szCs w:val="21"/>
              </w:rPr>
              <w:t>30,000,000.00</w:t>
            </w:r>
          </w:p>
        </w:tc>
        <w:tc>
          <w:tcPr>
            <w:tcW w:w="1197" w:type="dxa"/>
            <w:vAlign w:val="center"/>
          </w:tcPr>
          <w:p w:rsidR="00A46313" w:rsidRDefault="00125795">
            <w:pPr>
              <w:jc w:val="right"/>
            </w:pPr>
            <w:r>
              <w:rPr>
                <w:color w:val="000000"/>
                <w:szCs w:val="21"/>
              </w:rPr>
              <w:t>0.18%</w:t>
            </w:r>
          </w:p>
        </w:tc>
        <w:tc>
          <w:tcPr>
            <w:tcW w:w="1497" w:type="dxa"/>
            <w:vAlign w:val="center"/>
          </w:tcPr>
          <w:p w:rsidR="00A46313" w:rsidRDefault="00125795">
            <w:pPr>
              <w:jc w:val="right"/>
            </w:pPr>
            <w:r>
              <w:rPr>
                <w:color w:val="000000"/>
                <w:szCs w:val="21"/>
              </w:rPr>
              <w:t>-</w:t>
            </w:r>
          </w:p>
        </w:tc>
        <w:tc>
          <w:tcPr>
            <w:tcW w:w="1203" w:type="dxa"/>
            <w:vAlign w:val="center"/>
          </w:tcPr>
          <w:p w:rsidR="00A46313" w:rsidRDefault="00125795">
            <w:pPr>
              <w:jc w:val="right"/>
            </w:pPr>
            <w:r>
              <w:rPr>
                <w:color w:val="000000"/>
                <w:szCs w:val="21"/>
              </w:rPr>
              <w:t>-</w:t>
            </w:r>
          </w:p>
        </w:tc>
      </w:tr>
    </w:tbl>
    <w:p w:rsidR="00A46313" w:rsidRDefault="0012579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、报告期内，本基金除中信证券股份有限公司、中银国际证券有限责任公司外，其余交易单元均为新增交易单元；</w:t>
      </w:r>
    </w:p>
    <w:p w:rsidR="00A46313" w:rsidRDefault="0012579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211FD" w:rsidRDefault="001A59F9" w:rsidP="004211FD">
      <w:pPr>
        <w:pStyle w:val="20"/>
        <w:spacing w:before="29" w:after="0" w:line="288" w:lineRule="auto"/>
        <w:rPr>
          <w:b w:val="0"/>
          <w:kern w:val="0"/>
        </w:rPr>
      </w:pPr>
      <w:bookmarkStart w:id="183" w:name="_Toc361324901"/>
      <w:bookmarkStart w:id="184" w:name="_Toc478236569"/>
      <w:r w:rsidRPr="004211FD">
        <w:rPr>
          <w:rFonts w:ascii="Times New Roman" w:hAnsi="Times New Roman"/>
          <w:kern w:val="0"/>
          <w:szCs w:val="24"/>
        </w:rPr>
        <w:t>11.8</w:t>
      </w:r>
      <w:r w:rsidR="009153A3" w:rsidRPr="004211FD">
        <w:rPr>
          <w:rFonts w:ascii="Times New Roman" w:hAnsi="Times New Roman"/>
          <w:kern w:val="0"/>
          <w:szCs w:val="24"/>
        </w:rPr>
        <w:t xml:space="preserve"> </w:t>
      </w:r>
      <w:r w:rsidRPr="004211FD">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46313">
        <w:tc>
          <w:tcPr>
            <w:tcW w:w="720" w:type="dxa"/>
            <w:vAlign w:val="center"/>
          </w:tcPr>
          <w:p w:rsidR="00A46313" w:rsidRDefault="00125795">
            <w:pPr>
              <w:jc w:val="center"/>
            </w:pPr>
            <w:r>
              <w:rPr>
                <w:color w:val="000000"/>
                <w:sz w:val="24"/>
              </w:rPr>
              <w:t>1</w:t>
            </w:r>
          </w:p>
        </w:tc>
        <w:tc>
          <w:tcPr>
            <w:tcW w:w="4320" w:type="dxa"/>
            <w:vAlign w:val="center"/>
          </w:tcPr>
          <w:p w:rsidR="00A46313" w:rsidRDefault="00125795">
            <w:pPr>
              <w:jc w:val="left"/>
            </w:pPr>
            <w:r>
              <w:rPr>
                <w:color w:val="000000"/>
                <w:sz w:val="24"/>
              </w:rPr>
              <w:t>交银施罗德基金管理有限公司关于旗下基金在指数熔断期间调整开放时间的补充公告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2016-01-06</w:t>
            </w:r>
          </w:p>
        </w:tc>
      </w:tr>
      <w:tr w:rsidR="00A46313">
        <w:tc>
          <w:tcPr>
            <w:tcW w:w="720" w:type="dxa"/>
            <w:vAlign w:val="center"/>
          </w:tcPr>
          <w:p w:rsidR="00A46313" w:rsidRDefault="00125795">
            <w:pPr>
              <w:jc w:val="center"/>
            </w:pPr>
            <w:r>
              <w:rPr>
                <w:color w:val="000000"/>
                <w:sz w:val="24"/>
              </w:rPr>
              <w:t>2</w:t>
            </w:r>
          </w:p>
        </w:tc>
        <w:tc>
          <w:tcPr>
            <w:tcW w:w="4320" w:type="dxa"/>
            <w:vAlign w:val="center"/>
          </w:tcPr>
          <w:p w:rsidR="00A46313" w:rsidRDefault="00125795">
            <w:pPr>
              <w:jc w:val="left"/>
            </w:pPr>
            <w:r>
              <w:rPr>
                <w:color w:val="000000"/>
                <w:sz w:val="24"/>
              </w:rPr>
              <w:t>交银施罗德基金管理有限公司关于交银施罗德增利债券证券投资基金分红的公告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2016-01-11</w:t>
            </w:r>
          </w:p>
        </w:tc>
      </w:tr>
      <w:tr w:rsidR="00A46313">
        <w:tc>
          <w:tcPr>
            <w:tcW w:w="720" w:type="dxa"/>
            <w:vAlign w:val="center"/>
          </w:tcPr>
          <w:p w:rsidR="00A46313" w:rsidRDefault="00125795">
            <w:pPr>
              <w:jc w:val="center"/>
            </w:pPr>
            <w:r>
              <w:rPr>
                <w:color w:val="000000"/>
                <w:sz w:val="24"/>
              </w:rPr>
              <w:t>3</w:t>
            </w:r>
          </w:p>
        </w:tc>
        <w:tc>
          <w:tcPr>
            <w:tcW w:w="4320" w:type="dxa"/>
            <w:vAlign w:val="center"/>
          </w:tcPr>
          <w:p w:rsidR="00A46313" w:rsidRDefault="00125795">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2016-01-15</w:t>
            </w:r>
          </w:p>
        </w:tc>
      </w:tr>
      <w:tr w:rsidR="00A46313">
        <w:tc>
          <w:tcPr>
            <w:tcW w:w="720" w:type="dxa"/>
            <w:vAlign w:val="center"/>
          </w:tcPr>
          <w:p w:rsidR="00A46313" w:rsidRDefault="00125795">
            <w:pPr>
              <w:jc w:val="center"/>
            </w:pPr>
            <w:r>
              <w:rPr>
                <w:color w:val="000000"/>
                <w:sz w:val="24"/>
              </w:rPr>
              <w:t>4</w:t>
            </w:r>
          </w:p>
        </w:tc>
        <w:tc>
          <w:tcPr>
            <w:tcW w:w="4320" w:type="dxa"/>
            <w:vAlign w:val="center"/>
          </w:tcPr>
          <w:p w:rsidR="00A46313" w:rsidRDefault="00125795">
            <w:pPr>
              <w:jc w:val="left"/>
            </w:pPr>
            <w:r>
              <w:rPr>
                <w:color w:val="000000"/>
                <w:sz w:val="24"/>
              </w:rPr>
              <w:t>交银施罗德增利债券证券投资基金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2016-01-21</w:t>
            </w:r>
          </w:p>
        </w:tc>
      </w:tr>
      <w:tr w:rsidR="00A46313">
        <w:tc>
          <w:tcPr>
            <w:tcW w:w="720" w:type="dxa"/>
            <w:vAlign w:val="center"/>
          </w:tcPr>
          <w:p w:rsidR="00A46313" w:rsidRDefault="00125795">
            <w:pPr>
              <w:jc w:val="center"/>
            </w:pPr>
            <w:r>
              <w:rPr>
                <w:color w:val="000000"/>
                <w:sz w:val="24"/>
              </w:rPr>
              <w:lastRenderedPageBreak/>
              <w:t>5</w:t>
            </w:r>
          </w:p>
        </w:tc>
        <w:tc>
          <w:tcPr>
            <w:tcW w:w="4320" w:type="dxa"/>
            <w:vAlign w:val="center"/>
          </w:tcPr>
          <w:p w:rsidR="00A46313" w:rsidRDefault="00125795">
            <w:pPr>
              <w:jc w:val="left"/>
            </w:pPr>
            <w:r>
              <w:rPr>
                <w:color w:val="000000"/>
                <w:sz w:val="24"/>
              </w:rPr>
              <w:t>交银施罗德基金管理有限公司关于交银施罗德增利债券证券投资基金于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2016-02-02</w:t>
            </w:r>
          </w:p>
        </w:tc>
      </w:tr>
      <w:tr w:rsidR="00A46313">
        <w:tc>
          <w:tcPr>
            <w:tcW w:w="720" w:type="dxa"/>
            <w:vAlign w:val="center"/>
          </w:tcPr>
          <w:p w:rsidR="00A46313" w:rsidRDefault="00125795">
            <w:pPr>
              <w:jc w:val="center"/>
            </w:pPr>
            <w:r>
              <w:rPr>
                <w:color w:val="000000"/>
                <w:sz w:val="24"/>
              </w:rPr>
              <w:t>6</w:t>
            </w:r>
          </w:p>
        </w:tc>
        <w:tc>
          <w:tcPr>
            <w:tcW w:w="4320" w:type="dxa"/>
            <w:vAlign w:val="center"/>
          </w:tcPr>
          <w:p w:rsidR="00A46313" w:rsidRDefault="00125795">
            <w:pPr>
              <w:jc w:val="left"/>
            </w:pPr>
            <w:r>
              <w:rPr>
                <w:color w:val="000000"/>
                <w:sz w:val="24"/>
              </w:rPr>
              <w:t>交银施罗德基金管理有限公司关于调整投资者场外投资旗下部分基金单笔最低赎回份额限制的公告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2016-03-25</w:t>
            </w:r>
          </w:p>
        </w:tc>
      </w:tr>
      <w:tr w:rsidR="00A46313">
        <w:tc>
          <w:tcPr>
            <w:tcW w:w="720" w:type="dxa"/>
            <w:vAlign w:val="center"/>
          </w:tcPr>
          <w:p w:rsidR="00A46313" w:rsidRDefault="00125795">
            <w:pPr>
              <w:jc w:val="center"/>
            </w:pPr>
            <w:r>
              <w:rPr>
                <w:color w:val="000000"/>
                <w:sz w:val="24"/>
              </w:rPr>
              <w:t>7</w:t>
            </w:r>
          </w:p>
        </w:tc>
        <w:tc>
          <w:tcPr>
            <w:tcW w:w="4320" w:type="dxa"/>
            <w:vAlign w:val="center"/>
          </w:tcPr>
          <w:p w:rsidR="00A46313" w:rsidRDefault="00125795">
            <w:pPr>
              <w:jc w:val="left"/>
            </w:pPr>
            <w:r>
              <w:rPr>
                <w:color w:val="000000"/>
                <w:sz w:val="24"/>
              </w:rPr>
              <w:t>交银施罗德增利债券证券投资基金</w:t>
            </w:r>
            <w:r>
              <w:rPr>
                <w:color w:val="000000"/>
                <w:sz w:val="24"/>
              </w:rPr>
              <w:t>2015</w:t>
            </w:r>
            <w:r>
              <w:rPr>
                <w:color w:val="000000"/>
                <w:sz w:val="24"/>
              </w:rPr>
              <w:t>年年度报告摘要</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2016-03-29</w:t>
            </w:r>
          </w:p>
        </w:tc>
      </w:tr>
      <w:tr w:rsidR="00A46313">
        <w:tc>
          <w:tcPr>
            <w:tcW w:w="720" w:type="dxa"/>
            <w:vAlign w:val="center"/>
          </w:tcPr>
          <w:p w:rsidR="00A46313" w:rsidRDefault="00125795">
            <w:pPr>
              <w:jc w:val="center"/>
            </w:pPr>
            <w:r>
              <w:rPr>
                <w:color w:val="000000"/>
                <w:sz w:val="24"/>
              </w:rPr>
              <w:t>8</w:t>
            </w:r>
          </w:p>
        </w:tc>
        <w:tc>
          <w:tcPr>
            <w:tcW w:w="4320" w:type="dxa"/>
            <w:vAlign w:val="center"/>
          </w:tcPr>
          <w:p w:rsidR="00A46313" w:rsidRDefault="00125795">
            <w:pPr>
              <w:jc w:val="left"/>
            </w:pPr>
            <w:r>
              <w:rPr>
                <w:color w:val="000000"/>
                <w:sz w:val="24"/>
              </w:rPr>
              <w:t>交银施罗德增利债券证券投资基金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2016-04-20</w:t>
            </w:r>
          </w:p>
        </w:tc>
      </w:tr>
      <w:tr w:rsidR="00A46313">
        <w:tc>
          <w:tcPr>
            <w:tcW w:w="720" w:type="dxa"/>
            <w:vAlign w:val="center"/>
          </w:tcPr>
          <w:p w:rsidR="00A46313" w:rsidRDefault="00125795">
            <w:pPr>
              <w:jc w:val="center"/>
            </w:pPr>
            <w:r>
              <w:rPr>
                <w:color w:val="000000"/>
                <w:sz w:val="24"/>
              </w:rPr>
              <w:t>9</w:t>
            </w:r>
          </w:p>
        </w:tc>
        <w:tc>
          <w:tcPr>
            <w:tcW w:w="4320" w:type="dxa"/>
            <w:vAlign w:val="center"/>
          </w:tcPr>
          <w:p w:rsidR="00A46313" w:rsidRDefault="00125795">
            <w:pPr>
              <w:jc w:val="left"/>
            </w:pPr>
            <w:r>
              <w:rPr>
                <w:color w:val="000000"/>
                <w:sz w:val="24"/>
              </w:rPr>
              <w:t>交银施罗德基金管理有限公司关于网上直销交易平台关闭支付宝基金网上支付服务的公告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2016-05-10</w:t>
            </w:r>
          </w:p>
        </w:tc>
      </w:tr>
      <w:tr w:rsidR="00A46313">
        <w:tc>
          <w:tcPr>
            <w:tcW w:w="720" w:type="dxa"/>
            <w:vAlign w:val="center"/>
          </w:tcPr>
          <w:p w:rsidR="00A46313" w:rsidRDefault="00125795">
            <w:pPr>
              <w:jc w:val="center"/>
            </w:pPr>
            <w:r>
              <w:rPr>
                <w:color w:val="000000"/>
                <w:sz w:val="24"/>
              </w:rPr>
              <w:t>10</w:t>
            </w:r>
          </w:p>
        </w:tc>
        <w:tc>
          <w:tcPr>
            <w:tcW w:w="4320" w:type="dxa"/>
            <w:vAlign w:val="center"/>
          </w:tcPr>
          <w:p w:rsidR="00A46313" w:rsidRDefault="00125795">
            <w:pPr>
              <w:jc w:val="left"/>
            </w:pPr>
            <w:r>
              <w:rPr>
                <w:color w:val="000000"/>
                <w:sz w:val="24"/>
              </w:rPr>
              <w:t>交银施罗德增利债券证券投资基金（更新）招募说明书摘要（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2016-05-14</w:t>
            </w:r>
          </w:p>
        </w:tc>
      </w:tr>
      <w:tr w:rsidR="00A46313">
        <w:tc>
          <w:tcPr>
            <w:tcW w:w="720" w:type="dxa"/>
            <w:vAlign w:val="center"/>
          </w:tcPr>
          <w:p w:rsidR="00A46313" w:rsidRDefault="00125795">
            <w:pPr>
              <w:jc w:val="center"/>
            </w:pPr>
            <w:r>
              <w:rPr>
                <w:color w:val="000000"/>
                <w:sz w:val="24"/>
              </w:rPr>
              <w:t>11</w:t>
            </w:r>
          </w:p>
        </w:tc>
        <w:tc>
          <w:tcPr>
            <w:tcW w:w="4320" w:type="dxa"/>
            <w:vAlign w:val="center"/>
          </w:tcPr>
          <w:p w:rsidR="00A46313" w:rsidRDefault="00125795">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2016-05-16</w:t>
            </w:r>
          </w:p>
        </w:tc>
      </w:tr>
      <w:tr w:rsidR="00A46313">
        <w:tc>
          <w:tcPr>
            <w:tcW w:w="720" w:type="dxa"/>
            <w:vAlign w:val="center"/>
          </w:tcPr>
          <w:p w:rsidR="00A46313" w:rsidRDefault="00125795">
            <w:pPr>
              <w:jc w:val="center"/>
            </w:pPr>
            <w:r>
              <w:rPr>
                <w:color w:val="000000"/>
                <w:sz w:val="24"/>
              </w:rPr>
              <w:t>12</w:t>
            </w:r>
          </w:p>
        </w:tc>
        <w:tc>
          <w:tcPr>
            <w:tcW w:w="4320" w:type="dxa"/>
            <w:vAlign w:val="center"/>
          </w:tcPr>
          <w:p w:rsidR="00A46313" w:rsidRDefault="00125795">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2016-06-29</w:t>
            </w:r>
          </w:p>
        </w:tc>
      </w:tr>
      <w:tr w:rsidR="00A46313">
        <w:tc>
          <w:tcPr>
            <w:tcW w:w="720" w:type="dxa"/>
            <w:vAlign w:val="center"/>
          </w:tcPr>
          <w:p w:rsidR="00A46313" w:rsidRDefault="00125795">
            <w:pPr>
              <w:jc w:val="center"/>
            </w:pPr>
            <w:r>
              <w:rPr>
                <w:color w:val="000000"/>
                <w:sz w:val="24"/>
              </w:rPr>
              <w:t>13</w:t>
            </w:r>
          </w:p>
        </w:tc>
        <w:tc>
          <w:tcPr>
            <w:tcW w:w="4320" w:type="dxa"/>
            <w:vAlign w:val="center"/>
          </w:tcPr>
          <w:p w:rsidR="00A46313" w:rsidRDefault="00125795">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2016-06-29</w:t>
            </w:r>
          </w:p>
        </w:tc>
      </w:tr>
      <w:tr w:rsidR="00A46313">
        <w:tc>
          <w:tcPr>
            <w:tcW w:w="720" w:type="dxa"/>
            <w:vAlign w:val="center"/>
          </w:tcPr>
          <w:p w:rsidR="00A46313" w:rsidRDefault="00125795">
            <w:pPr>
              <w:jc w:val="center"/>
            </w:pPr>
            <w:r>
              <w:rPr>
                <w:color w:val="000000"/>
                <w:sz w:val="24"/>
              </w:rPr>
              <w:t>14</w:t>
            </w:r>
          </w:p>
        </w:tc>
        <w:tc>
          <w:tcPr>
            <w:tcW w:w="4320" w:type="dxa"/>
            <w:vAlign w:val="center"/>
          </w:tcPr>
          <w:p w:rsidR="00A46313" w:rsidRDefault="00125795">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2016-07-01</w:t>
            </w:r>
          </w:p>
        </w:tc>
      </w:tr>
      <w:tr w:rsidR="00A46313">
        <w:tc>
          <w:tcPr>
            <w:tcW w:w="720" w:type="dxa"/>
            <w:vAlign w:val="center"/>
          </w:tcPr>
          <w:p w:rsidR="00A46313" w:rsidRDefault="00125795">
            <w:pPr>
              <w:jc w:val="center"/>
            </w:pPr>
            <w:r>
              <w:rPr>
                <w:color w:val="000000"/>
                <w:sz w:val="24"/>
              </w:rPr>
              <w:t>15</w:t>
            </w:r>
          </w:p>
        </w:tc>
        <w:tc>
          <w:tcPr>
            <w:tcW w:w="4320" w:type="dxa"/>
            <w:vAlign w:val="center"/>
          </w:tcPr>
          <w:p w:rsidR="00A46313" w:rsidRDefault="00125795">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2016-07-01</w:t>
            </w:r>
          </w:p>
        </w:tc>
      </w:tr>
      <w:tr w:rsidR="00A46313">
        <w:tc>
          <w:tcPr>
            <w:tcW w:w="720" w:type="dxa"/>
            <w:vAlign w:val="center"/>
          </w:tcPr>
          <w:p w:rsidR="00A46313" w:rsidRDefault="00125795">
            <w:pPr>
              <w:jc w:val="center"/>
            </w:pPr>
            <w:r>
              <w:rPr>
                <w:color w:val="000000"/>
                <w:sz w:val="24"/>
              </w:rPr>
              <w:t>16</w:t>
            </w:r>
          </w:p>
        </w:tc>
        <w:tc>
          <w:tcPr>
            <w:tcW w:w="4320" w:type="dxa"/>
            <w:vAlign w:val="center"/>
          </w:tcPr>
          <w:p w:rsidR="00A46313" w:rsidRDefault="00125795">
            <w:pPr>
              <w:jc w:val="left"/>
            </w:pPr>
            <w:r>
              <w:rPr>
                <w:color w:val="000000"/>
                <w:sz w:val="24"/>
              </w:rPr>
              <w:t>交银施罗德增利债券证券投资基金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2016-07-21</w:t>
            </w:r>
          </w:p>
        </w:tc>
      </w:tr>
      <w:tr w:rsidR="00A46313">
        <w:tc>
          <w:tcPr>
            <w:tcW w:w="720" w:type="dxa"/>
            <w:vAlign w:val="center"/>
          </w:tcPr>
          <w:p w:rsidR="00A46313" w:rsidRDefault="00125795">
            <w:pPr>
              <w:jc w:val="center"/>
            </w:pPr>
            <w:r>
              <w:rPr>
                <w:color w:val="000000"/>
                <w:sz w:val="24"/>
              </w:rPr>
              <w:t>17</w:t>
            </w:r>
          </w:p>
        </w:tc>
        <w:tc>
          <w:tcPr>
            <w:tcW w:w="4320" w:type="dxa"/>
            <w:vAlign w:val="center"/>
          </w:tcPr>
          <w:p w:rsidR="00A46313" w:rsidRDefault="00125795">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2016-07-22</w:t>
            </w:r>
          </w:p>
        </w:tc>
      </w:tr>
      <w:tr w:rsidR="00A46313">
        <w:tc>
          <w:tcPr>
            <w:tcW w:w="720" w:type="dxa"/>
            <w:vAlign w:val="center"/>
          </w:tcPr>
          <w:p w:rsidR="00A46313" w:rsidRDefault="00125795">
            <w:pPr>
              <w:jc w:val="center"/>
            </w:pPr>
            <w:r>
              <w:rPr>
                <w:color w:val="000000"/>
                <w:sz w:val="24"/>
              </w:rPr>
              <w:lastRenderedPageBreak/>
              <w:t>18</w:t>
            </w:r>
          </w:p>
        </w:tc>
        <w:tc>
          <w:tcPr>
            <w:tcW w:w="4320" w:type="dxa"/>
            <w:vAlign w:val="center"/>
          </w:tcPr>
          <w:p w:rsidR="00A46313" w:rsidRDefault="00125795">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2016-08-03</w:t>
            </w:r>
          </w:p>
        </w:tc>
      </w:tr>
      <w:tr w:rsidR="00A46313">
        <w:tc>
          <w:tcPr>
            <w:tcW w:w="720" w:type="dxa"/>
            <w:vAlign w:val="center"/>
          </w:tcPr>
          <w:p w:rsidR="00A46313" w:rsidRDefault="00125795">
            <w:pPr>
              <w:jc w:val="center"/>
            </w:pPr>
            <w:r>
              <w:rPr>
                <w:color w:val="000000"/>
                <w:sz w:val="24"/>
              </w:rPr>
              <w:t>19</w:t>
            </w:r>
          </w:p>
        </w:tc>
        <w:tc>
          <w:tcPr>
            <w:tcW w:w="4320" w:type="dxa"/>
            <w:vAlign w:val="center"/>
          </w:tcPr>
          <w:p w:rsidR="00A46313" w:rsidRDefault="00125795">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2016-08-05</w:t>
            </w:r>
          </w:p>
        </w:tc>
      </w:tr>
      <w:tr w:rsidR="00A46313">
        <w:tc>
          <w:tcPr>
            <w:tcW w:w="720" w:type="dxa"/>
            <w:vAlign w:val="center"/>
          </w:tcPr>
          <w:p w:rsidR="00A46313" w:rsidRDefault="00125795">
            <w:pPr>
              <w:jc w:val="center"/>
            </w:pPr>
            <w:r>
              <w:rPr>
                <w:color w:val="000000"/>
                <w:sz w:val="24"/>
              </w:rPr>
              <w:t>20</w:t>
            </w:r>
          </w:p>
        </w:tc>
        <w:tc>
          <w:tcPr>
            <w:tcW w:w="4320" w:type="dxa"/>
            <w:vAlign w:val="center"/>
          </w:tcPr>
          <w:p w:rsidR="00A46313" w:rsidRDefault="00125795">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2016-08-19</w:t>
            </w:r>
          </w:p>
        </w:tc>
      </w:tr>
      <w:tr w:rsidR="00A46313">
        <w:tc>
          <w:tcPr>
            <w:tcW w:w="720" w:type="dxa"/>
            <w:vAlign w:val="center"/>
          </w:tcPr>
          <w:p w:rsidR="00A46313" w:rsidRDefault="00125795">
            <w:pPr>
              <w:jc w:val="center"/>
            </w:pPr>
            <w:r>
              <w:rPr>
                <w:color w:val="000000"/>
                <w:sz w:val="24"/>
              </w:rPr>
              <w:t>21</w:t>
            </w:r>
          </w:p>
        </w:tc>
        <w:tc>
          <w:tcPr>
            <w:tcW w:w="4320" w:type="dxa"/>
            <w:vAlign w:val="center"/>
          </w:tcPr>
          <w:p w:rsidR="00A46313" w:rsidRDefault="00125795">
            <w:pPr>
              <w:jc w:val="left"/>
            </w:pPr>
            <w:r>
              <w:rPr>
                <w:color w:val="000000"/>
                <w:sz w:val="24"/>
              </w:rPr>
              <w:t>交银施罗德增利债券证券投资基金</w:t>
            </w:r>
            <w:r>
              <w:rPr>
                <w:color w:val="000000"/>
                <w:sz w:val="24"/>
              </w:rPr>
              <w:t>2016</w:t>
            </w:r>
            <w:r>
              <w:rPr>
                <w:color w:val="000000"/>
                <w:sz w:val="24"/>
              </w:rPr>
              <w:t>年半年度报告摘要</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2016-08-27</w:t>
            </w:r>
          </w:p>
        </w:tc>
      </w:tr>
      <w:tr w:rsidR="00A46313">
        <w:tc>
          <w:tcPr>
            <w:tcW w:w="720" w:type="dxa"/>
            <w:vAlign w:val="center"/>
          </w:tcPr>
          <w:p w:rsidR="00A46313" w:rsidRDefault="00125795">
            <w:pPr>
              <w:jc w:val="center"/>
            </w:pPr>
            <w:r>
              <w:rPr>
                <w:color w:val="000000"/>
                <w:sz w:val="24"/>
              </w:rPr>
              <w:t>22</w:t>
            </w:r>
          </w:p>
        </w:tc>
        <w:tc>
          <w:tcPr>
            <w:tcW w:w="4320" w:type="dxa"/>
            <w:vAlign w:val="center"/>
          </w:tcPr>
          <w:p w:rsidR="00A46313" w:rsidRDefault="001257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2016-09-20</w:t>
            </w:r>
          </w:p>
        </w:tc>
      </w:tr>
      <w:tr w:rsidR="00A46313">
        <w:tc>
          <w:tcPr>
            <w:tcW w:w="720" w:type="dxa"/>
            <w:vAlign w:val="center"/>
          </w:tcPr>
          <w:p w:rsidR="00A46313" w:rsidRDefault="00125795">
            <w:pPr>
              <w:jc w:val="center"/>
            </w:pPr>
            <w:r>
              <w:rPr>
                <w:color w:val="000000"/>
                <w:sz w:val="24"/>
              </w:rPr>
              <w:t>23</w:t>
            </w:r>
          </w:p>
        </w:tc>
        <w:tc>
          <w:tcPr>
            <w:tcW w:w="4320" w:type="dxa"/>
            <w:vAlign w:val="center"/>
          </w:tcPr>
          <w:p w:rsidR="00A46313" w:rsidRDefault="00125795">
            <w:pPr>
              <w:jc w:val="left"/>
            </w:pPr>
            <w:r>
              <w:rPr>
                <w:color w:val="000000"/>
                <w:sz w:val="24"/>
              </w:rPr>
              <w:t>交银施罗德基金管理有限公司关于交银施罗德增利债券证券投资基金分红的公告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2016-10-17</w:t>
            </w:r>
          </w:p>
        </w:tc>
      </w:tr>
      <w:tr w:rsidR="00A46313">
        <w:tc>
          <w:tcPr>
            <w:tcW w:w="720" w:type="dxa"/>
            <w:vAlign w:val="center"/>
          </w:tcPr>
          <w:p w:rsidR="00A46313" w:rsidRDefault="00125795">
            <w:pPr>
              <w:jc w:val="center"/>
            </w:pPr>
            <w:r>
              <w:rPr>
                <w:color w:val="000000"/>
                <w:sz w:val="24"/>
              </w:rPr>
              <w:t>24</w:t>
            </w:r>
          </w:p>
        </w:tc>
        <w:tc>
          <w:tcPr>
            <w:tcW w:w="4320" w:type="dxa"/>
            <w:vAlign w:val="center"/>
          </w:tcPr>
          <w:p w:rsidR="00A46313" w:rsidRDefault="00125795">
            <w:pPr>
              <w:jc w:val="left"/>
            </w:pPr>
            <w:r>
              <w:rPr>
                <w:color w:val="000000"/>
                <w:sz w:val="24"/>
              </w:rPr>
              <w:t>交银施罗德增利债券证券投资基金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2016-10-25</w:t>
            </w:r>
          </w:p>
        </w:tc>
      </w:tr>
      <w:tr w:rsidR="00A46313">
        <w:tc>
          <w:tcPr>
            <w:tcW w:w="720" w:type="dxa"/>
            <w:vAlign w:val="center"/>
          </w:tcPr>
          <w:p w:rsidR="00A46313" w:rsidRDefault="00125795">
            <w:pPr>
              <w:jc w:val="center"/>
            </w:pPr>
            <w:r>
              <w:rPr>
                <w:color w:val="000000"/>
                <w:sz w:val="24"/>
              </w:rPr>
              <w:t>25</w:t>
            </w:r>
          </w:p>
        </w:tc>
        <w:tc>
          <w:tcPr>
            <w:tcW w:w="4320" w:type="dxa"/>
            <w:vAlign w:val="center"/>
          </w:tcPr>
          <w:p w:rsidR="00A46313" w:rsidRDefault="00125795">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2016-11-02</w:t>
            </w:r>
          </w:p>
        </w:tc>
      </w:tr>
      <w:tr w:rsidR="00A46313">
        <w:tc>
          <w:tcPr>
            <w:tcW w:w="720" w:type="dxa"/>
            <w:vAlign w:val="center"/>
          </w:tcPr>
          <w:p w:rsidR="00A46313" w:rsidRDefault="00125795">
            <w:pPr>
              <w:jc w:val="center"/>
            </w:pPr>
            <w:r>
              <w:rPr>
                <w:color w:val="000000"/>
                <w:sz w:val="24"/>
              </w:rPr>
              <w:t>26</w:t>
            </w:r>
          </w:p>
        </w:tc>
        <w:tc>
          <w:tcPr>
            <w:tcW w:w="4320" w:type="dxa"/>
            <w:vAlign w:val="center"/>
          </w:tcPr>
          <w:p w:rsidR="00A46313" w:rsidRDefault="00125795">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2016-11-09</w:t>
            </w:r>
          </w:p>
        </w:tc>
      </w:tr>
      <w:tr w:rsidR="00A46313">
        <w:tc>
          <w:tcPr>
            <w:tcW w:w="720" w:type="dxa"/>
            <w:vAlign w:val="center"/>
          </w:tcPr>
          <w:p w:rsidR="00A46313" w:rsidRDefault="00125795">
            <w:pPr>
              <w:jc w:val="center"/>
            </w:pPr>
            <w:r>
              <w:rPr>
                <w:color w:val="000000"/>
                <w:sz w:val="24"/>
              </w:rPr>
              <w:t>27</w:t>
            </w:r>
          </w:p>
        </w:tc>
        <w:tc>
          <w:tcPr>
            <w:tcW w:w="4320" w:type="dxa"/>
            <w:vAlign w:val="center"/>
          </w:tcPr>
          <w:p w:rsidR="00A46313" w:rsidRDefault="00125795">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2016-11-11</w:t>
            </w:r>
          </w:p>
        </w:tc>
      </w:tr>
      <w:tr w:rsidR="00A46313">
        <w:tc>
          <w:tcPr>
            <w:tcW w:w="720" w:type="dxa"/>
            <w:vAlign w:val="center"/>
          </w:tcPr>
          <w:p w:rsidR="00A46313" w:rsidRDefault="00125795">
            <w:pPr>
              <w:jc w:val="center"/>
            </w:pPr>
            <w:r>
              <w:rPr>
                <w:color w:val="000000"/>
                <w:sz w:val="24"/>
              </w:rPr>
              <w:t>28</w:t>
            </w:r>
          </w:p>
        </w:tc>
        <w:tc>
          <w:tcPr>
            <w:tcW w:w="4320" w:type="dxa"/>
            <w:vAlign w:val="center"/>
          </w:tcPr>
          <w:p w:rsidR="00A46313" w:rsidRDefault="00125795">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2016-11-11</w:t>
            </w:r>
          </w:p>
        </w:tc>
      </w:tr>
      <w:tr w:rsidR="00A46313">
        <w:tc>
          <w:tcPr>
            <w:tcW w:w="720" w:type="dxa"/>
            <w:vAlign w:val="center"/>
          </w:tcPr>
          <w:p w:rsidR="00A46313" w:rsidRDefault="00125795">
            <w:pPr>
              <w:jc w:val="center"/>
            </w:pPr>
            <w:r>
              <w:rPr>
                <w:color w:val="000000"/>
                <w:sz w:val="24"/>
              </w:rPr>
              <w:t>29</w:t>
            </w:r>
          </w:p>
        </w:tc>
        <w:tc>
          <w:tcPr>
            <w:tcW w:w="4320" w:type="dxa"/>
            <w:vAlign w:val="center"/>
          </w:tcPr>
          <w:p w:rsidR="00A46313" w:rsidRDefault="00125795">
            <w:pPr>
              <w:jc w:val="left"/>
            </w:pPr>
            <w:r>
              <w:rPr>
                <w:color w:val="000000"/>
                <w:sz w:val="24"/>
              </w:rPr>
              <w:t>交银施罗德增利债券证券投资基金（更新）招募说明书摘要（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2016-11-14</w:t>
            </w:r>
          </w:p>
        </w:tc>
      </w:tr>
      <w:tr w:rsidR="00A46313">
        <w:tc>
          <w:tcPr>
            <w:tcW w:w="720" w:type="dxa"/>
            <w:vAlign w:val="center"/>
          </w:tcPr>
          <w:p w:rsidR="00A46313" w:rsidRDefault="00125795">
            <w:pPr>
              <w:jc w:val="center"/>
            </w:pPr>
            <w:r>
              <w:rPr>
                <w:color w:val="000000"/>
                <w:sz w:val="24"/>
              </w:rPr>
              <w:t>30</w:t>
            </w:r>
          </w:p>
        </w:tc>
        <w:tc>
          <w:tcPr>
            <w:tcW w:w="4320" w:type="dxa"/>
            <w:vAlign w:val="center"/>
          </w:tcPr>
          <w:p w:rsidR="00A46313" w:rsidRDefault="00125795">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A46313" w:rsidRDefault="00125795">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46313" w:rsidRDefault="00125795">
            <w:pPr>
              <w:jc w:val="center"/>
            </w:pPr>
            <w:r>
              <w:rPr>
                <w:color w:val="000000"/>
                <w:sz w:val="24"/>
              </w:rPr>
              <w:lastRenderedPageBreak/>
              <w:t>2016-11-29</w:t>
            </w:r>
          </w:p>
        </w:tc>
      </w:tr>
      <w:tr w:rsidR="00A46313">
        <w:tc>
          <w:tcPr>
            <w:tcW w:w="720" w:type="dxa"/>
            <w:vAlign w:val="center"/>
          </w:tcPr>
          <w:p w:rsidR="00A46313" w:rsidRDefault="00125795">
            <w:pPr>
              <w:jc w:val="center"/>
            </w:pPr>
            <w:r>
              <w:rPr>
                <w:color w:val="000000"/>
                <w:sz w:val="24"/>
              </w:rPr>
              <w:lastRenderedPageBreak/>
              <w:t>31</w:t>
            </w:r>
          </w:p>
        </w:tc>
        <w:tc>
          <w:tcPr>
            <w:tcW w:w="4320" w:type="dxa"/>
            <w:vAlign w:val="center"/>
          </w:tcPr>
          <w:p w:rsidR="00A46313" w:rsidRDefault="00125795">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2016-12-14</w:t>
            </w:r>
          </w:p>
        </w:tc>
      </w:tr>
      <w:tr w:rsidR="00A46313">
        <w:tc>
          <w:tcPr>
            <w:tcW w:w="720" w:type="dxa"/>
            <w:vAlign w:val="center"/>
          </w:tcPr>
          <w:p w:rsidR="00A46313" w:rsidRDefault="00125795">
            <w:pPr>
              <w:jc w:val="center"/>
            </w:pPr>
            <w:r>
              <w:rPr>
                <w:color w:val="000000"/>
                <w:sz w:val="24"/>
              </w:rPr>
              <w:t>32</w:t>
            </w:r>
          </w:p>
        </w:tc>
        <w:tc>
          <w:tcPr>
            <w:tcW w:w="4320" w:type="dxa"/>
            <w:vAlign w:val="center"/>
          </w:tcPr>
          <w:p w:rsidR="00A46313" w:rsidRDefault="001257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2016-12-22</w:t>
            </w:r>
          </w:p>
        </w:tc>
      </w:tr>
      <w:tr w:rsidR="00A46313">
        <w:tc>
          <w:tcPr>
            <w:tcW w:w="720" w:type="dxa"/>
            <w:vAlign w:val="center"/>
          </w:tcPr>
          <w:p w:rsidR="00A46313" w:rsidRDefault="00125795">
            <w:pPr>
              <w:jc w:val="center"/>
            </w:pPr>
            <w:r>
              <w:rPr>
                <w:color w:val="000000"/>
                <w:sz w:val="24"/>
              </w:rPr>
              <w:t>33</w:t>
            </w:r>
          </w:p>
        </w:tc>
        <w:tc>
          <w:tcPr>
            <w:tcW w:w="4320" w:type="dxa"/>
            <w:vAlign w:val="center"/>
          </w:tcPr>
          <w:p w:rsidR="00A46313" w:rsidRDefault="0012579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A46313" w:rsidRDefault="00125795">
            <w:pPr>
              <w:jc w:val="center"/>
            </w:pPr>
            <w:r>
              <w:rPr>
                <w:color w:val="000000"/>
                <w:sz w:val="24"/>
              </w:rPr>
              <w:t>中国证券报、上海证券报、证券时报</w:t>
            </w:r>
          </w:p>
        </w:tc>
        <w:tc>
          <w:tcPr>
            <w:tcW w:w="1629" w:type="dxa"/>
            <w:vAlign w:val="center"/>
          </w:tcPr>
          <w:p w:rsidR="00A46313" w:rsidRDefault="00125795">
            <w:pPr>
              <w:jc w:val="center"/>
            </w:pPr>
            <w:r>
              <w:rPr>
                <w:color w:val="000000"/>
                <w:sz w:val="24"/>
              </w:rPr>
              <w:t>2016-12-30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651650">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236570"/>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4211FD" w:rsidRDefault="001A59F9" w:rsidP="004211FD">
      <w:pPr>
        <w:pStyle w:val="20"/>
        <w:spacing w:before="29" w:after="0" w:line="288" w:lineRule="auto"/>
        <w:rPr>
          <w:b w:val="0"/>
          <w:bCs w:val="0"/>
          <w:kern w:val="0"/>
        </w:rPr>
      </w:pPr>
      <w:bookmarkStart w:id="188" w:name="_Toc361324904"/>
      <w:bookmarkStart w:id="189" w:name="_Toc478236571"/>
      <w:r w:rsidRPr="004211FD">
        <w:rPr>
          <w:rFonts w:ascii="Times New Roman" w:hAnsi="Times New Roman"/>
          <w:kern w:val="0"/>
          <w:szCs w:val="24"/>
        </w:rPr>
        <w:t xml:space="preserve">12.1 </w:t>
      </w:r>
      <w:r w:rsidRPr="004211FD">
        <w:rPr>
          <w:rFonts w:ascii="Times New Roman" w:hAnsi="Times New Roman" w:hint="eastAsia"/>
          <w:kern w:val="0"/>
          <w:szCs w:val="24"/>
        </w:rPr>
        <w:t>备查文件目录</w:t>
      </w:r>
      <w:bookmarkEnd w:id="188"/>
      <w:bookmarkEnd w:id="189"/>
    </w:p>
    <w:p w:rsidR="00A46313" w:rsidRDefault="00125795">
      <w:pPr>
        <w:spacing w:before="29" w:line="288" w:lineRule="auto"/>
        <w:rPr>
          <w:kern w:val="0"/>
          <w:sz w:val="24"/>
        </w:rPr>
      </w:pPr>
      <w:r>
        <w:rPr>
          <w:kern w:val="0"/>
          <w:sz w:val="24"/>
        </w:rPr>
        <w:t>1</w:t>
      </w:r>
      <w:r>
        <w:rPr>
          <w:kern w:val="0"/>
          <w:sz w:val="24"/>
        </w:rPr>
        <w:t>、中国证监会批准交银施罗德增利债券证券投资基金募集的文件；</w:t>
      </w:r>
    </w:p>
    <w:p w:rsidR="00A46313" w:rsidRDefault="00125795">
      <w:pPr>
        <w:spacing w:before="29" w:line="288" w:lineRule="auto"/>
        <w:rPr>
          <w:kern w:val="0"/>
          <w:sz w:val="24"/>
        </w:rPr>
      </w:pPr>
      <w:r>
        <w:rPr>
          <w:kern w:val="0"/>
          <w:sz w:val="24"/>
        </w:rPr>
        <w:t>2</w:t>
      </w:r>
      <w:r>
        <w:rPr>
          <w:kern w:val="0"/>
          <w:sz w:val="24"/>
        </w:rPr>
        <w:t>、《交银施罗德增利债券证券投资基金基金合同》；</w:t>
      </w:r>
    </w:p>
    <w:p w:rsidR="00A46313" w:rsidRDefault="00125795">
      <w:pPr>
        <w:spacing w:before="29" w:line="288" w:lineRule="auto"/>
        <w:rPr>
          <w:kern w:val="0"/>
          <w:sz w:val="24"/>
        </w:rPr>
      </w:pPr>
      <w:r>
        <w:rPr>
          <w:kern w:val="0"/>
          <w:sz w:val="24"/>
        </w:rPr>
        <w:t>3</w:t>
      </w:r>
      <w:r>
        <w:rPr>
          <w:kern w:val="0"/>
          <w:sz w:val="24"/>
        </w:rPr>
        <w:t>、《交银施罗德增利债券证券投资基金招募说明书》；</w:t>
      </w:r>
    </w:p>
    <w:p w:rsidR="00A46313" w:rsidRDefault="00125795">
      <w:pPr>
        <w:spacing w:before="29" w:line="288" w:lineRule="auto"/>
        <w:rPr>
          <w:kern w:val="0"/>
          <w:sz w:val="24"/>
        </w:rPr>
      </w:pPr>
      <w:r>
        <w:rPr>
          <w:kern w:val="0"/>
          <w:sz w:val="24"/>
        </w:rPr>
        <w:t>4</w:t>
      </w:r>
      <w:r>
        <w:rPr>
          <w:kern w:val="0"/>
          <w:sz w:val="24"/>
        </w:rPr>
        <w:t>、《交银施罗德增利债券证券投资基金托管协议》；</w:t>
      </w:r>
    </w:p>
    <w:p w:rsidR="00A46313" w:rsidRDefault="00125795">
      <w:pPr>
        <w:spacing w:before="29" w:line="288" w:lineRule="auto"/>
        <w:rPr>
          <w:kern w:val="0"/>
          <w:sz w:val="24"/>
        </w:rPr>
      </w:pPr>
      <w:r>
        <w:rPr>
          <w:kern w:val="0"/>
          <w:sz w:val="24"/>
        </w:rPr>
        <w:t>5</w:t>
      </w:r>
      <w:r>
        <w:rPr>
          <w:kern w:val="0"/>
          <w:sz w:val="24"/>
        </w:rPr>
        <w:t>、关于募集交银施罗德增利债券证券投资基金之法律意见书；</w:t>
      </w:r>
    </w:p>
    <w:p w:rsidR="00A46313" w:rsidRDefault="00125795">
      <w:pPr>
        <w:spacing w:before="29" w:line="288" w:lineRule="auto"/>
        <w:rPr>
          <w:kern w:val="0"/>
          <w:sz w:val="24"/>
        </w:rPr>
      </w:pPr>
      <w:r>
        <w:rPr>
          <w:kern w:val="0"/>
          <w:sz w:val="24"/>
        </w:rPr>
        <w:t>6</w:t>
      </w:r>
      <w:r>
        <w:rPr>
          <w:kern w:val="0"/>
          <w:sz w:val="24"/>
        </w:rPr>
        <w:t>、基金管理人业务资格批件、营业执照；</w:t>
      </w:r>
    </w:p>
    <w:p w:rsidR="00A46313" w:rsidRDefault="00125795">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211FD" w:rsidRDefault="001A59F9" w:rsidP="004211FD">
      <w:pPr>
        <w:pStyle w:val="20"/>
        <w:spacing w:before="29" w:after="0" w:line="288" w:lineRule="auto"/>
        <w:rPr>
          <w:b w:val="0"/>
          <w:bCs w:val="0"/>
          <w:kern w:val="0"/>
        </w:rPr>
      </w:pPr>
      <w:bookmarkStart w:id="190" w:name="_Toc361324905"/>
      <w:bookmarkStart w:id="191" w:name="_Toc478236572"/>
      <w:r w:rsidRPr="004211FD">
        <w:rPr>
          <w:rFonts w:ascii="Times New Roman" w:hAnsi="Times New Roman"/>
          <w:kern w:val="0"/>
          <w:szCs w:val="24"/>
        </w:rPr>
        <w:t>12.2</w:t>
      </w:r>
      <w:r w:rsidR="009153A3" w:rsidRPr="004211FD">
        <w:rPr>
          <w:rFonts w:ascii="Times New Roman" w:hAnsi="Times New Roman"/>
          <w:kern w:val="0"/>
          <w:szCs w:val="24"/>
        </w:rPr>
        <w:t xml:space="preserve"> </w:t>
      </w:r>
      <w:r w:rsidRPr="004211FD">
        <w:rPr>
          <w:rFonts w:ascii="Times New Roman" w:hAnsi="Times New Roman" w:hint="eastAsia"/>
          <w:kern w:val="0"/>
          <w:szCs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211FD" w:rsidRDefault="001A59F9" w:rsidP="004211FD">
      <w:pPr>
        <w:pStyle w:val="20"/>
        <w:spacing w:before="29" w:after="0" w:line="288" w:lineRule="auto"/>
        <w:rPr>
          <w:b w:val="0"/>
          <w:bCs w:val="0"/>
          <w:kern w:val="0"/>
        </w:rPr>
      </w:pPr>
      <w:bookmarkStart w:id="192" w:name="_Toc361324906"/>
      <w:bookmarkStart w:id="193" w:name="_Toc478236573"/>
      <w:r w:rsidRPr="004211FD">
        <w:rPr>
          <w:rFonts w:ascii="Times New Roman" w:hAnsi="Times New Roman"/>
          <w:kern w:val="0"/>
          <w:szCs w:val="24"/>
        </w:rPr>
        <w:t>12.3</w:t>
      </w:r>
      <w:r w:rsidR="009153A3" w:rsidRPr="004211FD">
        <w:rPr>
          <w:rFonts w:ascii="Times New Roman" w:hAnsi="Times New Roman"/>
          <w:kern w:val="0"/>
          <w:szCs w:val="24"/>
        </w:rPr>
        <w:t xml:space="preserve"> </w:t>
      </w:r>
      <w:r w:rsidRPr="004211FD">
        <w:rPr>
          <w:rFonts w:ascii="Times New Roman" w:hAnsi="Times New Roman" w:hint="eastAsia"/>
          <w:kern w:val="0"/>
          <w:szCs w:val="24"/>
        </w:rPr>
        <w:t>查阅方式</w:t>
      </w:r>
      <w:bookmarkEnd w:id="192"/>
      <w:bookmarkEnd w:id="193"/>
    </w:p>
    <w:p w:rsidR="00A46313" w:rsidRDefault="0012579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lastRenderedPageBreak/>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7D" w:rsidRDefault="0040137D">
      <w:r>
        <w:separator/>
      </w:r>
    </w:p>
  </w:endnote>
  <w:endnote w:type="continuationSeparator" w:id="0">
    <w:p w:rsidR="0040137D" w:rsidRDefault="0040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50" w:rsidRDefault="0065165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1650" w:rsidRDefault="0065165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50" w:rsidRDefault="00651650"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211FD">
      <w:rPr>
        <w:noProof/>
        <w:kern w:val="0"/>
        <w:szCs w:val="21"/>
      </w:rPr>
      <w:t>59</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211FD">
      <w:rPr>
        <w:noProof/>
        <w:kern w:val="0"/>
        <w:szCs w:val="21"/>
      </w:rPr>
      <w:t>59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7D" w:rsidRDefault="0040137D">
      <w:r>
        <w:separator/>
      </w:r>
    </w:p>
  </w:footnote>
  <w:footnote w:type="continuationSeparator" w:id="0">
    <w:p w:rsidR="0040137D" w:rsidRDefault="0040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50" w:rsidRPr="00C2542B" w:rsidRDefault="00651650"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57D6D"/>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2219"/>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4C3"/>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95"/>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13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014"/>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720"/>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381D"/>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66F"/>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5BB"/>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37D"/>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3B11"/>
    <w:rsid w:val="00414503"/>
    <w:rsid w:val="00414827"/>
    <w:rsid w:val="004153B3"/>
    <w:rsid w:val="00415772"/>
    <w:rsid w:val="004163FD"/>
    <w:rsid w:val="0041683D"/>
    <w:rsid w:val="00416C10"/>
    <w:rsid w:val="004175C1"/>
    <w:rsid w:val="00417976"/>
    <w:rsid w:val="00417A0E"/>
    <w:rsid w:val="0042053A"/>
    <w:rsid w:val="004211FD"/>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62D"/>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3EB"/>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47FAC"/>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5E8"/>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241"/>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1B5"/>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3FA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650"/>
    <w:rsid w:val="00651A3C"/>
    <w:rsid w:val="00651B78"/>
    <w:rsid w:val="00651D72"/>
    <w:rsid w:val="00652263"/>
    <w:rsid w:val="0065238F"/>
    <w:rsid w:val="00652881"/>
    <w:rsid w:val="006528B8"/>
    <w:rsid w:val="00652985"/>
    <w:rsid w:val="006533AE"/>
    <w:rsid w:val="006551AE"/>
    <w:rsid w:val="00655493"/>
    <w:rsid w:val="00655F30"/>
    <w:rsid w:val="0065694A"/>
    <w:rsid w:val="0065716F"/>
    <w:rsid w:val="00657A5B"/>
    <w:rsid w:val="006601DF"/>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22D"/>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6DD"/>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19E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77D57"/>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55F6"/>
    <w:rsid w:val="00796384"/>
    <w:rsid w:val="0079659B"/>
    <w:rsid w:val="00796D4D"/>
    <w:rsid w:val="007971B8"/>
    <w:rsid w:val="00797637"/>
    <w:rsid w:val="007A0018"/>
    <w:rsid w:val="007A05A7"/>
    <w:rsid w:val="007A0ADE"/>
    <w:rsid w:val="007A1814"/>
    <w:rsid w:val="007A1B35"/>
    <w:rsid w:val="007A2A9F"/>
    <w:rsid w:val="007A3386"/>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4F2"/>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587"/>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4F13"/>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5D28"/>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0843"/>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313"/>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71F"/>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0CFB"/>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55"/>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22A"/>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1F2"/>
    <w:rsid w:val="00C6184A"/>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545"/>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5FF0"/>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736"/>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1C2"/>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414"/>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1E"/>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1A15"/>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31C7"/>
    <w:rsid w:val="00EA46D8"/>
    <w:rsid w:val="00EA4DDC"/>
    <w:rsid w:val="00EA59DD"/>
    <w:rsid w:val="00EA6FA7"/>
    <w:rsid w:val="00EB0476"/>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37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019"/>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A2CF56-A003-4966-9F98-9CFDB2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EC27-120B-4CCA-9A43-7AB65CD3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7780</Words>
  <Characters>44346</Characters>
  <Application>Microsoft Office Word</Application>
  <DocSecurity>0</DocSecurity>
  <Lines>369</Lines>
  <Paragraphs>104</Paragraphs>
  <ScaleCrop>false</ScaleCrop>
  <Company/>
  <LinksUpToDate>false</LinksUpToDate>
  <CharactersWithSpaces>52022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1298</cp:revision>
  <cp:lastPrinted>2007-07-19T00:46:00Z</cp:lastPrinted>
  <dcterms:created xsi:type="dcterms:W3CDTF">2013-08-19T02:39:00Z</dcterms:created>
  <dcterms:modified xsi:type="dcterms:W3CDTF">2017-03-27T11:49:00Z</dcterms:modified>
</cp:coreProperties>
</file>