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proofErr w:type="gramStart"/>
      <w:r w:rsidRPr="005E324A">
        <w:rPr>
          <w:rFonts w:eastAsiaTheme="minorEastAsia"/>
          <w:b/>
          <w:sz w:val="36"/>
          <w:szCs w:val="36"/>
        </w:rPr>
        <w:t>交银施罗</w:t>
      </w:r>
      <w:proofErr w:type="gramEnd"/>
      <w:r w:rsidRPr="005E324A">
        <w:rPr>
          <w:rFonts w:eastAsiaTheme="minorEastAsia"/>
          <w:b/>
          <w:sz w:val="36"/>
          <w:szCs w:val="36"/>
        </w:rPr>
        <w:t>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二〇一七年一月十九日</w:t>
      </w:r>
    </w:p>
    <w:p w:rsidR="00220542" w:rsidRPr="005E324A" w:rsidRDefault="00220542" w:rsidP="007674F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84"/>
        <w:gridCol w:w="1809"/>
        <w:gridCol w:w="1827"/>
      </w:tblGrid>
      <w:tr w:rsidR="008A4909" w:rsidRPr="005E324A" w:rsidTr="001F70AD">
        <w:tc>
          <w:tcPr>
            <w:tcW w:w="2694"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620"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F70AD">
        <w:tc>
          <w:tcPr>
            <w:tcW w:w="2694" w:type="dxa"/>
            <w:vAlign w:val="center"/>
          </w:tcPr>
          <w:p w:rsidR="00161BBC" w:rsidRPr="005E324A" w:rsidRDefault="00161BBC" w:rsidP="00161BBC">
            <w:pPr>
              <w:rPr>
                <w:sz w:val="24"/>
              </w:rPr>
            </w:pPr>
            <w:r w:rsidRPr="005E324A">
              <w:rPr>
                <w:sz w:val="24"/>
              </w:rPr>
              <w:t>场内简称</w:t>
            </w:r>
          </w:p>
        </w:tc>
        <w:tc>
          <w:tcPr>
            <w:tcW w:w="5620"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1F70AD">
        <w:tc>
          <w:tcPr>
            <w:tcW w:w="2694"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620"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1F70AD">
        <w:tc>
          <w:tcPr>
            <w:tcW w:w="2694"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620"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620"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620"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620"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151,834,196.99</w:t>
            </w:r>
            <w:r w:rsidRPr="005E324A">
              <w:rPr>
                <w:rFonts w:eastAsiaTheme="minorEastAsia"/>
                <w:color w:val="000000"/>
                <w:kern w:val="0"/>
                <w:sz w:val="24"/>
              </w:rPr>
              <w:t>份</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620"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620"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w:t>
            </w:r>
            <w:proofErr w:type="gramStart"/>
            <w:r w:rsidRPr="005E324A">
              <w:rPr>
                <w:rFonts w:eastAsiaTheme="minorEastAsia"/>
                <w:color w:val="000000"/>
                <w:kern w:val="0"/>
                <w:sz w:val="24"/>
              </w:rPr>
              <w:t>股组成</w:t>
            </w:r>
            <w:proofErr w:type="gramEnd"/>
            <w:r w:rsidRPr="005E324A">
              <w:rPr>
                <w:rFonts w:eastAsiaTheme="minorEastAsia"/>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620"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1F70AD">
        <w:tc>
          <w:tcPr>
            <w:tcW w:w="2694"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620"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620"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1F70AD">
        <w:tc>
          <w:tcPr>
            <w:tcW w:w="2694"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620"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1F70AD">
        <w:tc>
          <w:tcPr>
            <w:tcW w:w="2694"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984"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09"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1F70AD">
        <w:tc>
          <w:tcPr>
            <w:tcW w:w="2694"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984"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09"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1F70AD">
        <w:tc>
          <w:tcPr>
            <w:tcW w:w="2694"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984"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09"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1F70AD">
        <w:tc>
          <w:tcPr>
            <w:tcW w:w="2694"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984"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141,626,408.99</w:t>
            </w:r>
            <w:r w:rsidRPr="005E324A">
              <w:rPr>
                <w:rFonts w:eastAsiaTheme="minorEastAsia"/>
                <w:color w:val="000000"/>
                <w:kern w:val="0"/>
                <w:sz w:val="24"/>
              </w:rPr>
              <w:t>份</w:t>
            </w:r>
          </w:p>
        </w:tc>
        <w:tc>
          <w:tcPr>
            <w:tcW w:w="1809"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5,103,894.00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5,103,894.00</w:t>
            </w:r>
            <w:r w:rsidRPr="005E324A">
              <w:rPr>
                <w:rFonts w:eastAsiaTheme="minorEastAsia"/>
                <w:color w:val="000000"/>
                <w:kern w:val="0"/>
                <w:sz w:val="24"/>
              </w:rPr>
              <w:t>份</w:t>
            </w:r>
          </w:p>
        </w:tc>
      </w:tr>
      <w:tr w:rsidR="00134868" w:rsidRPr="005E324A" w:rsidTr="001F70AD">
        <w:tc>
          <w:tcPr>
            <w:tcW w:w="2694"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984"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09"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1F70AD" w:rsidRPr="005E324A" w:rsidTr="001F70AD">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1F70AD" w:rsidRPr="005E324A" w:rsidTr="001F70A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-3,248,517.94</w:t>
            </w:r>
          </w:p>
        </w:tc>
      </w:tr>
      <w:tr w:rsidR="001F70AD" w:rsidRPr="005E324A" w:rsidTr="001F70A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-3,095,234.50</w:t>
            </w:r>
          </w:p>
        </w:tc>
      </w:tr>
      <w:tr w:rsidR="001F70AD" w:rsidRPr="005E324A" w:rsidTr="001F70A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-0.0195</w:t>
            </w:r>
          </w:p>
        </w:tc>
      </w:tr>
      <w:tr w:rsidR="001F70AD" w:rsidRPr="005E324A" w:rsidTr="001F70A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161,653,634.64</w:t>
            </w:r>
          </w:p>
        </w:tc>
      </w:tr>
      <w:tr w:rsidR="001F70AD" w:rsidRPr="005E324A" w:rsidTr="001F70AD">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1.065</w:t>
            </w:r>
          </w:p>
        </w:tc>
      </w:tr>
    </w:tbl>
    <w:p w:rsidR="00910BE7" w:rsidRDefault="00165ECC">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w:t>
      </w:r>
      <w:proofErr w:type="gramStart"/>
      <w:r w:rsidRPr="005E324A">
        <w:rPr>
          <w:rFonts w:eastAsiaTheme="minorEastAsia"/>
          <w:b/>
          <w:color w:val="000000"/>
          <w:kern w:val="0"/>
          <w:sz w:val="24"/>
        </w:rPr>
        <w:t>期基金</w:t>
      </w:r>
      <w:proofErr w:type="gramEnd"/>
      <w:r w:rsidRPr="005E324A">
        <w:rPr>
          <w:rFonts w:eastAsiaTheme="minorEastAsia"/>
          <w:b/>
          <w:color w:val="000000"/>
          <w:kern w:val="0"/>
          <w:sz w:val="24"/>
        </w:rPr>
        <w:t>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511"/>
        <w:gridCol w:w="920"/>
        <w:gridCol w:w="1216"/>
        <w:gridCol w:w="1216"/>
        <w:gridCol w:w="1216"/>
        <w:gridCol w:w="1217"/>
        <w:gridCol w:w="1217"/>
      </w:tblGrid>
      <w:tr w:rsidR="00E27A14" w:rsidRPr="005E324A" w:rsidTr="003B5645">
        <w:tc>
          <w:tcPr>
            <w:tcW w:w="1511"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920"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w:t>
            </w:r>
            <w:r w:rsidRPr="005E324A">
              <w:rPr>
                <w:rFonts w:eastAsiaTheme="minorEastAsia"/>
                <w:color w:val="000000"/>
                <w:sz w:val="24"/>
              </w:rPr>
              <w:lastRenderedPageBreak/>
              <w:t>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lastRenderedPageBreak/>
              <w:t>净值增长率标准差</w:t>
            </w:r>
            <w:r w:rsidRPr="005E324A">
              <w:rPr>
                <w:rFonts w:ascii="宋体" w:hAnsi="宋体" w:cs="宋体" w:hint="eastAsia"/>
                <w:color w:val="000000"/>
                <w:sz w:val="24"/>
              </w:rPr>
              <w:lastRenderedPageBreak/>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业绩比较基准收益</w:t>
            </w:r>
            <w:r w:rsidRPr="005E324A">
              <w:rPr>
                <w:rFonts w:eastAsiaTheme="minorEastAsia"/>
                <w:color w:val="000000"/>
                <w:sz w:val="24"/>
              </w:rPr>
              <w:lastRenderedPageBreak/>
              <w:t>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业绩比较基准收益</w:t>
            </w:r>
            <w:r w:rsidRPr="005E324A">
              <w:rPr>
                <w:rFonts w:eastAsiaTheme="minorEastAsia"/>
                <w:color w:val="000000"/>
                <w:sz w:val="24"/>
              </w:rPr>
              <w:lastRenderedPageBreak/>
              <w:t>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lastRenderedPageBreak/>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910BE7" w:rsidTr="003B5645">
        <w:tc>
          <w:tcPr>
            <w:tcW w:w="1511" w:type="dxa"/>
            <w:vAlign w:val="center"/>
          </w:tcPr>
          <w:p w:rsidR="00910BE7" w:rsidRDefault="00165ECC">
            <w:pPr>
              <w:jc w:val="left"/>
            </w:pPr>
            <w:r>
              <w:rPr>
                <w:rFonts w:eastAsiaTheme="minorEastAsia"/>
                <w:color w:val="000000"/>
                <w:kern w:val="0"/>
                <w:sz w:val="24"/>
              </w:rPr>
              <w:lastRenderedPageBreak/>
              <w:t>过去三个月</w:t>
            </w:r>
          </w:p>
        </w:tc>
        <w:tc>
          <w:tcPr>
            <w:tcW w:w="920" w:type="dxa"/>
            <w:vAlign w:val="center"/>
          </w:tcPr>
          <w:p w:rsidR="00910BE7" w:rsidRDefault="00165ECC">
            <w:pPr>
              <w:jc w:val="center"/>
            </w:pPr>
            <w:r>
              <w:rPr>
                <w:rFonts w:eastAsiaTheme="minorEastAsia"/>
                <w:color w:val="000000"/>
                <w:kern w:val="0"/>
                <w:sz w:val="24"/>
              </w:rPr>
              <w:t>-2.11%</w:t>
            </w:r>
          </w:p>
        </w:tc>
        <w:tc>
          <w:tcPr>
            <w:tcW w:w="1216" w:type="dxa"/>
            <w:vAlign w:val="center"/>
          </w:tcPr>
          <w:p w:rsidR="00910BE7" w:rsidRDefault="00165ECC">
            <w:pPr>
              <w:jc w:val="center"/>
            </w:pPr>
            <w:r>
              <w:rPr>
                <w:rFonts w:eastAsiaTheme="minorEastAsia"/>
                <w:color w:val="000000"/>
                <w:kern w:val="0"/>
                <w:sz w:val="24"/>
              </w:rPr>
              <w:t>0.98%</w:t>
            </w:r>
          </w:p>
        </w:tc>
        <w:tc>
          <w:tcPr>
            <w:tcW w:w="1216" w:type="dxa"/>
            <w:vAlign w:val="center"/>
          </w:tcPr>
          <w:p w:rsidR="00910BE7" w:rsidRDefault="00165ECC">
            <w:pPr>
              <w:jc w:val="center"/>
            </w:pPr>
            <w:r>
              <w:rPr>
                <w:rFonts w:eastAsiaTheme="minorEastAsia"/>
                <w:color w:val="000000"/>
                <w:kern w:val="0"/>
                <w:sz w:val="24"/>
              </w:rPr>
              <w:t>-2.12%</w:t>
            </w:r>
          </w:p>
        </w:tc>
        <w:tc>
          <w:tcPr>
            <w:tcW w:w="1216" w:type="dxa"/>
            <w:vAlign w:val="center"/>
          </w:tcPr>
          <w:p w:rsidR="00910BE7" w:rsidRDefault="00165ECC">
            <w:pPr>
              <w:jc w:val="center"/>
            </w:pPr>
            <w:r>
              <w:rPr>
                <w:rFonts w:eastAsiaTheme="minorEastAsia"/>
                <w:color w:val="000000"/>
                <w:kern w:val="0"/>
                <w:sz w:val="24"/>
              </w:rPr>
              <w:t>0.99%</w:t>
            </w:r>
          </w:p>
        </w:tc>
        <w:tc>
          <w:tcPr>
            <w:tcW w:w="1217" w:type="dxa"/>
            <w:vAlign w:val="center"/>
          </w:tcPr>
          <w:p w:rsidR="00910BE7" w:rsidRDefault="00165ECC">
            <w:pPr>
              <w:jc w:val="center"/>
            </w:pPr>
            <w:r>
              <w:rPr>
                <w:rFonts w:eastAsiaTheme="minorEastAsia"/>
                <w:color w:val="000000"/>
                <w:kern w:val="0"/>
                <w:sz w:val="24"/>
              </w:rPr>
              <w:t>0.01%</w:t>
            </w:r>
          </w:p>
        </w:tc>
        <w:tc>
          <w:tcPr>
            <w:tcW w:w="1217" w:type="dxa"/>
            <w:vAlign w:val="center"/>
          </w:tcPr>
          <w:p w:rsidR="00910BE7" w:rsidRDefault="00165ECC">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910BE7">
        <w:tc>
          <w:tcPr>
            <w:tcW w:w="952" w:type="dxa"/>
            <w:vAlign w:val="center"/>
          </w:tcPr>
          <w:p w:rsidR="00910BE7" w:rsidRDefault="00165ECC">
            <w:pPr>
              <w:jc w:val="center"/>
            </w:pPr>
            <w:r>
              <w:rPr>
                <w:rFonts w:eastAsiaTheme="minorEastAsia"/>
                <w:color w:val="000000"/>
                <w:sz w:val="24"/>
              </w:rPr>
              <w:t>蔡铮</w:t>
            </w:r>
          </w:p>
        </w:tc>
        <w:tc>
          <w:tcPr>
            <w:tcW w:w="930" w:type="dxa"/>
            <w:vAlign w:val="center"/>
          </w:tcPr>
          <w:p w:rsidR="00910BE7" w:rsidRDefault="00165ECC">
            <w:pPr>
              <w:jc w:val="center"/>
            </w:pPr>
            <w:r>
              <w:rPr>
                <w:rFonts w:eastAsiaTheme="minorEastAsia"/>
                <w:color w:val="000000"/>
                <w:sz w:val="24"/>
              </w:rPr>
              <w:t>交银环球</w:t>
            </w:r>
            <w:r>
              <w:rPr>
                <w:rFonts w:eastAsiaTheme="minorEastAsia"/>
                <w:color w:val="000000"/>
                <w:sz w:val="24"/>
              </w:rPr>
              <w:lastRenderedPageBreak/>
              <w:t>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w:t>
            </w:r>
            <w:r>
              <w:rPr>
                <w:rFonts w:eastAsiaTheme="minorEastAsia"/>
                <w:color w:val="000000"/>
                <w:sz w:val="24"/>
              </w:rPr>
              <w:lastRenderedPageBreak/>
              <w:t>境治理指数（</w:t>
            </w:r>
            <w:r>
              <w:rPr>
                <w:rFonts w:eastAsiaTheme="minorEastAsia"/>
                <w:color w:val="000000"/>
                <w:sz w:val="24"/>
              </w:rPr>
              <w:t>LOF</w:t>
            </w:r>
            <w:r>
              <w:rPr>
                <w:rFonts w:eastAsiaTheme="minorEastAsia"/>
                <w:color w:val="000000"/>
                <w:sz w:val="24"/>
              </w:rPr>
              <w:t>）的基金经理，公司量化投资部副总经理</w:t>
            </w:r>
          </w:p>
        </w:tc>
        <w:tc>
          <w:tcPr>
            <w:tcW w:w="1210" w:type="dxa"/>
            <w:vAlign w:val="center"/>
          </w:tcPr>
          <w:p w:rsidR="00910BE7" w:rsidRDefault="00165ECC">
            <w:pPr>
              <w:jc w:val="center"/>
            </w:pPr>
            <w:r>
              <w:rPr>
                <w:rFonts w:eastAsiaTheme="minorEastAsia"/>
                <w:color w:val="000000"/>
                <w:sz w:val="24"/>
              </w:rPr>
              <w:lastRenderedPageBreak/>
              <w:t>2015-06-26</w:t>
            </w:r>
          </w:p>
        </w:tc>
        <w:tc>
          <w:tcPr>
            <w:tcW w:w="1309" w:type="dxa"/>
            <w:vAlign w:val="center"/>
          </w:tcPr>
          <w:p w:rsidR="00910BE7" w:rsidRDefault="00165ECC">
            <w:pPr>
              <w:jc w:val="center"/>
            </w:pPr>
            <w:r>
              <w:rPr>
                <w:rFonts w:eastAsiaTheme="minorEastAsia"/>
                <w:color w:val="000000"/>
                <w:sz w:val="24"/>
              </w:rPr>
              <w:t>-</w:t>
            </w:r>
          </w:p>
        </w:tc>
        <w:tc>
          <w:tcPr>
            <w:tcW w:w="1254" w:type="dxa"/>
            <w:vAlign w:val="center"/>
          </w:tcPr>
          <w:p w:rsidR="00910BE7" w:rsidRDefault="00165ECC">
            <w:pPr>
              <w:jc w:val="center"/>
            </w:pPr>
            <w:r>
              <w:rPr>
                <w:rFonts w:eastAsiaTheme="minorEastAsia"/>
                <w:color w:val="000000"/>
                <w:sz w:val="24"/>
              </w:rPr>
              <w:t>7</w:t>
            </w:r>
            <w:r>
              <w:rPr>
                <w:rFonts w:eastAsiaTheme="minorEastAsia"/>
                <w:color w:val="000000"/>
                <w:sz w:val="24"/>
              </w:rPr>
              <w:t>年</w:t>
            </w:r>
          </w:p>
        </w:tc>
        <w:tc>
          <w:tcPr>
            <w:tcW w:w="3276" w:type="dxa"/>
            <w:vAlign w:val="center"/>
          </w:tcPr>
          <w:p w:rsidR="00910BE7" w:rsidRDefault="00165ECC">
            <w:r>
              <w:rPr>
                <w:rFonts w:eastAsiaTheme="minorEastAsia"/>
                <w:color w:val="000000"/>
                <w:sz w:val="24"/>
              </w:rPr>
              <w:t>蔡铮先生，中国国籍，复旦大学电子工程硕士。历任瑞士银</w:t>
            </w:r>
            <w:r>
              <w:rPr>
                <w:rFonts w:eastAsiaTheme="minorEastAsia"/>
                <w:color w:val="000000"/>
                <w:sz w:val="24"/>
              </w:rPr>
              <w:lastRenderedPageBreak/>
              <w:t>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910BE7" w:rsidRDefault="00165ECC">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10BE7" w:rsidRDefault="00165ECC">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910BE7" w:rsidRDefault="00165ECC">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w:t>
      </w:r>
      <w:r>
        <w:rPr>
          <w:rFonts w:eastAsiaTheme="minorEastAsia"/>
          <w:color w:val="000000"/>
          <w:kern w:val="0"/>
          <w:sz w:val="24"/>
        </w:rPr>
        <w:lastRenderedPageBreak/>
        <w:t>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本基金于本报告期内未发现异常交易行为。本报告期内，本公司管理的所有投资组合参与的交易所公开竞价同日反向交易成交较少的单边交易量超过该证券当日总成交量</w:t>
      </w:r>
      <w:r w:rsidRPr="005E324A">
        <w:rPr>
          <w:rFonts w:eastAsiaTheme="minorEastAsia"/>
          <w:color w:val="000000"/>
          <w:kern w:val="0"/>
          <w:sz w:val="24"/>
        </w:rPr>
        <w:t>5%</w:t>
      </w:r>
      <w:r w:rsidRPr="005E324A">
        <w:rPr>
          <w:rFonts w:eastAsiaTheme="minorEastAsia"/>
          <w:color w:val="000000"/>
          <w:kern w:val="0"/>
          <w:sz w:val="24"/>
        </w:rPr>
        <w:t>的情况有</w:t>
      </w:r>
      <w:r w:rsidRPr="005E324A">
        <w:rPr>
          <w:rFonts w:eastAsiaTheme="minorEastAsia"/>
          <w:color w:val="000000"/>
          <w:kern w:val="0"/>
          <w:sz w:val="24"/>
        </w:rPr>
        <w:t>1</w:t>
      </w:r>
      <w:r w:rsidRPr="005E324A">
        <w:rPr>
          <w:rFonts w:eastAsiaTheme="minorEastAsia"/>
          <w:color w:val="000000"/>
          <w:kern w:val="0"/>
          <w:sz w:val="24"/>
        </w:rPr>
        <w:t>次，是投资组合因投资策略需要而发生同日反向交易，未发现不公平交易和利益输送的情况。本基金与本公司管理的其他投资组合在不同时间窗下（如日内、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日内）同向交易的交易价差未发现异常。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910BE7" w:rsidRDefault="00165ECC">
      <w:pPr>
        <w:spacing w:line="360" w:lineRule="auto"/>
        <w:ind w:firstLineChars="200" w:firstLine="480"/>
        <w:rPr>
          <w:rFonts w:eastAsiaTheme="minorEastAsia"/>
          <w:color w:val="000000"/>
          <w:kern w:val="0"/>
          <w:sz w:val="24"/>
        </w:rPr>
      </w:pPr>
      <w:r>
        <w:rPr>
          <w:rFonts w:eastAsiaTheme="minorEastAsia"/>
          <w:color w:val="000000"/>
          <w:kern w:val="0"/>
          <w:sz w:val="24"/>
        </w:rPr>
        <w:t>2016</w:t>
      </w:r>
      <w:r>
        <w:rPr>
          <w:rFonts w:eastAsiaTheme="minorEastAsia"/>
          <w:color w:val="000000"/>
          <w:kern w:val="0"/>
          <w:sz w:val="24"/>
        </w:rPr>
        <w:t>年四季度，国内宏观经济延续弱势平稳的态势，货币政策中性偏紧，经济基本面对资本市场的支持力度总体较为有限。</w:t>
      </w:r>
      <w:r>
        <w:rPr>
          <w:rFonts w:eastAsiaTheme="minorEastAsia"/>
          <w:color w:val="000000"/>
          <w:kern w:val="0"/>
          <w:sz w:val="24"/>
        </w:rPr>
        <w:t>A</w:t>
      </w:r>
      <w:r>
        <w:rPr>
          <w:rFonts w:eastAsiaTheme="minorEastAsia"/>
          <w:color w:val="000000"/>
          <w:kern w:val="0"/>
          <w:sz w:val="24"/>
        </w:rPr>
        <w:t>股市场呈现出先扬后抑格局。市场从</w:t>
      </w:r>
      <w:r>
        <w:rPr>
          <w:rFonts w:eastAsiaTheme="minorEastAsia"/>
          <w:color w:val="000000"/>
          <w:kern w:val="0"/>
          <w:sz w:val="24"/>
        </w:rPr>
        <w:t>10</w:t>
      </w:r>
      <w:r>
        <w:rPr>
          <w:rFonts w:eastAsiaTheme="minorEastAsia"/>
          <w:color w:val="000000"/>
          <w:kern w:val="0"/>
          <w:sz w:val="24"/>
        </w:rPr>
        <w:t>月到</w:t>
      </w:r>
      <w:r>
        <w:rPr>
          <w:rFonts w:eastAsiaTheme="minorEastAsia"/>
          <w:color w:val="000000"/>
          <w:kern w:val="0"/>
          <w:sz w:val="24"/>
        </w:rPr>
        <w:t>11</w:t>
      </w:r>
      <w:r>
        <w:rPr>
          <w:rFonts w:eastAsiaTheme="minorEastAsia"/>
          <w:color w:val="000000"/>
          <w:kern w:val="0"/>
          <w:sz w:val="24"/>
        </w:rPr>
        <w:t>月整体表现较强，行至</w:t>
      </w:r>
      <w:r>
        <w:rPr>
          <w:rFonts w:eastAsiaTheme="minorEastAsia"/>
          <w:color w:val="000000"/>
          <w:kern w:val="0"/>
          <w:sz w:val="24"/>
        </w:rPr>
        <w:t>12</w:t>
      </w:r>
      <w:r>
        <w:rPr>
          <w:rFonts w:eastAsiaTheme="minorEastAsia"/>
          <w:color w:val="000000"/>
          <w:kern w:val="0"/>
          <w:sz w:val="24"/>
        </w:rPr>
        <w:t>月初房地产结构性调控政策、部分金融领域去杠杆引发了一定短期流动性风险，并对债券市场产生一定扰动，</w:t>
      </w:r>
      <w:r>
        <w:rPr>
          <w:rFonts w:eastAsiaTheme="minorEastAsia"/>
          <w:color w:val="000000"/>
          <w:kern w:val="0"/>
          <w:sz w:val="24"/>
        </w:rPr>
        <w:t>A</w:t>
      </w:r>
      <w:r>
        <w:rPr>
          <w:rFonts w:eastAsiaTheme="minorEastAsia"/>
          <w:color w:val="000000"/>
          <w:kern w:val="0"/>
          <w:sz w:val="24"/>
        </w:rPr>
        <w:t>股市场随之出现一定程度的调整。作为跟踪中证互联网金融指数的指数基金，在本季度总体呈现出先扬后抑的走势。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展望下一季度，在海外整体经济没有稳步向上的环境下，海外市场的不确定性仍在</w:t>
      </w:r>
      <w:r w:rsidRPr="005E324A">
        <w:rPr>
          <w:rFonts w:eastAsiaTheme="minorEastAsia"/>
          <w:color w:val="000000"/>
          <w:kern w:val="0"/>
          <w:sz w:val="24"/>
        </w:rPr>
        <w:t>,</w:t>
      </w:r>
      <w:r w:rsidRPr="005E324A">
        <w:rPr>
          <w:rFonts w:eastAsiaTheme="minorEastAsia"/>
          <w:color w:val="000000"/>
          <w:kern w:val="0"/>
          <w:sz w:val="24"/>
        </w:rPr>
        <w:t>加上整体流动性最宽松阶段似乎已过，我们总体持较为谨慎的看法。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1.065</w:t>
      </w:r>
      <w:r w:rsidRPr="005E324A">
        <w:rPr>
          <w:rFonts w:eastAsiaTheme="minorEastAsia"/>
          <w:color w:val="000000"/>
          <w:kern w:val="0"/>
          <w:sz w:val="24"/>
        </w:rPr>
        <w:t>元，本报告期份额净值增长率为</w:t>
      </w:r>
      <w:r w:rsidRPr="005E324A">
        <w:rPr>
          <w:rFonts w:eastAsiaTheme="minorEastAsia"/>
          <w:color w:val="000000"/>
          <w:kern w:val="0"/>
          <w:sz w:val="24"/>
        </w:rPr>
        <w:t>-2.11%</w:t>
      </w:r>
      <w:r w:rsidRPr="005E324A">
        <w:rPr>
          <w:rFonts w:eastAsiaTheme="minorEastAsia"/>
          <w:color w:val="000000"/>
          <w:kern w:val="0"/>
          <w:sz w:val="24"/>
        </w:rPr>
        <w:t>，同期业绩比较基准增长率为</w:t>
      </w:r>
      <w:r w:rsidRPr="005E324A">
        <w:rPr>
          <w:rFonts w:eastAsiaTheme="minorEastAsia"/>
          <w:color w:val="000000"/>
          <w:kern w:val="0"/>
          <w:sz w:val="24"/>
        </w:rPr>
        <w:t>-2.12%</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4393"/>
        <w:gridCol w:w="1941"/>
        <w:gridCol w:w="1843"/>
      </w:tblGrid>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439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1941"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153,275,517.86</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94.33</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153,275,517.86</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94.33</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0502CD">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4393"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4393"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9,192,088.84</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5.66</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4393"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1941"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15,385.08</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0.01</w:t>
            </w:r>
          </w:p>
        </w:tc>
      </w:tr>
      <w:tr w:rsidR="00804533" w:rsidRPr="005E324A" w:rsidTr="000502CD">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4393"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1941"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162,482,991.78</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E61CE4" w:rsidRPr="005E324A" w:rsidRDefault="00E61CE4" w:rsidP="0019563C">
      <w:pPr>
        <w:autoSpaceDE w:val="0"/>
        <w:autoSpaceDN w:val="0"/>
        <w:adjustRightInd w:val="0"/>
        <w:spacing w:line="360" w:lineRule="auto"/>
        <w:jc w:val="left"/>
        <w:rPr>
          <w:rFonts w:eastAsiaTheme="minorEastAsia" w:hint="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31,299,016.30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19.36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4,883,425.00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3.02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853,200.00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0.53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55,346,798.35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34.24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44,534,683.31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27.55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8,049,999.20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4.98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8,308,395.70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5.14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153,275,517.86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94.82</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E61CE4" w:rsidRPr="007674F7" w:rsidRDefault="00E61CE4" w:rsidP="0019563C">
      <w:pPr>
        <w:autoSpaceDE w:val="0"/>
        <w:autoSpaceDN w:val="0"/>
        <w:adjustRightInd w:val="0"/>
        <w:spacing w:line="360" w:lineRule="auto"/>
        <w:jc w:val="left"/>
        <w:rPr>
          <w:rFonts w:hint="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910BE7">
        <w:tc>
          <w:tcPr>
            <w:tcW w:w="817" w:type="dxa"/>
            <w:vAlign w:val="center"/>
          </w:tcPr>
          <w:p w:rsidR="00910BE7" w:rsidRDefault="00165ECC">
            <w:pPr>
              <w:jc w:val="center"/>
            </w:pPr>
            <w:r>
              <w:rPr>
                <w:rFonts w:eastAsiaTheme="minorEastAsia"/>
                <w:color w:val="000000"/>
                <w:sz w:val="24"/>
              </w:rPr>
              <w:t>1</w:t>
            </w:r>
          </w:p>
        </w:tc>
        <w:tc>
          <w:tcPr>
            <w:tcW w:w="1276" w:type="dxa"/>
            <w:vAlign w:val="center"/>
          </w:tcPr>
          <w:p w:rsidR="00910BE7" w:rsidRDefault="00165ECC">
            <w:pPr>
              <w:jc w:val="center"/>
            </w:pPr>
            <w:r>
              <w:rPr>
                <w:rFonts w:eastAsiaTheme="minorEastAsia"/>
                <w:color w:val="000000"/>
                <w:sz w:val="24"/>
              </w:rPr>
              <w:t>000712</w:t>
            </w:r>
          </w:p>
        </w:tc>
        <w:tc>
          <w:tcPr>
            <w:tcW w:w="1701" w:type="dxa"/>
            <w:vAlign w:val="center"/>
          </w:tcPr>
          <w:p w:rsidR="00910BE7" w:rsidRDefault="00165ECC">
            <w:pPr>
              <w:jc w:val="center"/>
            </w:pPr>
            <w:r>
              <w:rPr>
                <w:rFonts w:eastAsiaTheme="minorEastAsia"/>
                <w:color w:val="000000"/>
                <w:sz w:val="24"/>
              </w:rPr>
              <w:t>锦龙股份</w:t>
            </w:r>
          </w:p>
        </w:tc>
        <w:tc>
          <w:tcPr>
            <w:tcW w:w="1276" w:type="dxa"/>
            <w:vAlign w:val="center"/>
          </w:tcPr>
          <w:p w:rsidR="00910BE7" w:rsidRDefault="00165ECC">
            <w:pPr>
              <w:jc w:val="right"/>
            </w:pPr>
            <w:r>
              <w:rPr>
                <w:rFonts w:eastAsiaTheme="minorEastAsia"/>
                <w:color w:val="000000"/>
                <w:sz w:val="24"/>
              </w:rPr>
              <w:t>216,500</w:t>
            </w:r>
          </w:p>
        </w:tc>
        <w:tc>
          <w:tcPr>
            <w:tcW w:w="1842" w:type="dxa"/>
            <w:vAlign w:val="center"/>
          </w:tcPr>
          <w:p w:rsidR="00910BE7" w:rsidRDefault="00165ECC">
            <w:pPr>
              <w:jc w:val="right"/>
            </w:pPr>
            <w:r>
              <w:rPr>
                <w:rFonts w:eastAsiaTheme="minorEastAsia"/>
                <w:color w:val="000000"/>
                <w:sz w:val="24"/>
              </w:rPr>
              <w:t>5,074,760.00</w:t>
            </w:r>
          </w:p>
        </w:tc>
        <w:tc>
          <w:tcPr>
            <w:tcW w:w="1616" w:type="dxa"/>
            <w:vAlign w:val="center"/>
          </w:tcPr>
          <w:p w:rsidR="00910BE7" w:rsidRDefault="00165ECC">
            <w:pPr>
              <w:jc w:val="right"/>
            </w:pPr>
            <w:r>
              <w:rPr>
                <w:rFonts w:eastAsiaTheme="minorEastAsia"/>
                <w:color w:val="000000"/>
                <w:sz w:val="24"/>
              </w:rPr>
              <w:t>3.14</w:t>
            </w:r>
          </w:p>
        </w:tc>
      </w:tr>
      <w:tr w:rsidR="00910BE7">
        <w:tc>
          <w:tcPr>
            <w:tcW w:w="817" w:type="dxa"/>
            <w:vAlign w:val="center"/>
          </w:tcPr>
          <w:p w:rsidR="00910BE7" w:rsidRDefault="00165ECC">
            <w:pPr>
              <w:jc w:val="center"/>
            </w:pPr>
            <w:r>
              <w:rPr>
                <w:rFonts w:eastAsiaTheme="minorEastAsia"/>
                <w:color w:val="000000"/>
                <w:sz w:val="24"/>
              </w:rPr>
              <w:t>2</w:t>
            </w:r>
          </w:p>
        </w:tc>
        <w:tc>
          <w:tcPr>
            <w:tcW w:w="1276" w:type="dxa"/>
            <w:vAlign w:val="center"/>
          </w:tcPr>
          <w:p w:rsidR="00910BE7" w:rsidRDefault="00165ECC">
            <w:pPr>
              <w:jc w:val="center"/>
            </w:pPr>
            <w:r>
              <w:rPr>
                <w:rFonts w:eastAsiaTheme="minorEastAsia"/>
                <w:color w:val="000000"/>
                <w:sz w:val="24"/>
              </w:rPr>
              <w:t>601318</w:t>
            </w:r>
          </w:p>
        </w:tc>
        <w:tc>
          <w:tcPr>
            <w:tcW w:w="1701" w:type="dxa"/>
            <w:vAlign w:val="center"/>
          </w:tcPr>
          <w:p w:rsidR="00910BE7" w:rsidRDefault="00165ECC">
            <w:pPr>
              <w:jc w:val="center"/>
            </w:pPr>
            <w:r>
              <w:rPr>
                <w:rFonts w:eastAsiaTheme="minorEastAsia"/>
                <w:color w:val="000000"/>
                <w:sz w:val="24"/>
              </w:rPr>
              <w:t>中国平安</w:t>
            </w:r>
          </w:p>
        </w:tc>
        <w:tc>
          <w:tcPr>
            <w:tcW w:w="1276" w:type="dxa"/>
            <w:vAlign w:val="center"/>
          </w:tcPr>
          <w:p w:rsidR="00910BE7" w:rsidRDefault="00165ECC">
            <w:pPr>
              <w:jc w:val="right"/>
            </w:pPr>
            <w:r>
              <w:rPr>
                <w:rFonts w:eastAsiaTheme="minorEastAsia"/>
                <w:color w:val="000000"/>
                <w:sz w:val="24"/>
              </w:rPr>
              <w:t>137,900</w:t>
            </w:r>
          </w:p>
        </w:tc>
        <w:tc>
          <w:tcPr>
            <w:tcW w:w="1842" w:type="dxa"/>
            <w:vAlign w:val="center"/>
          </w:tcPr>
          <w:p w:rsidR="00910BE7" w:rsidRDefault="00165ECC">
            <w:pPr>
              <w:jc w:val="right"/>
            </w:pPr>
            <w:r>
              <w:rPr>
                <w:rFonts w:eastAsiaTheme="minorEastAsia"/>
                <w:color w:val="000000"/>
                <w:sz w:val="24"/>
              </w:rPr>
              <w:t>4,885,797.00</w:t>
            </w:r>
          </w:p>
        </w:tc>
        <w:tc>
          <w:tcPr>
            <w:tcW w:w="1616" w:type="dxa"/>
            <w:vAlign w:val="center"/>
          </w:tcPr>
          <w:p w:rsidR="00910BE7" w:rsidRDefault="00165ECC">
            <w:pPr>
              <w:jc w:val="right"/>
            </w:pPr>
            <w:r>
              <w:rPr>
                <w:rFonts w:eastAsiaTheme="minorEastAsia"/>
                <w:color w:val="000000"/>
                <w:sz w:val="24"/>
              </w:rPr>
              <w:t>3.02</w:t>
            </w:r>
          </w:p>
        </w:tc>
      </w:tr>
      <w:tr w:rsidR="00910BE7">
        <w:tc>
          <w:tcPr>
            <w:tcW w:w="817" w:type="dxa"/>
            <w:vAlign w:val="center"/>
          </w:tcPr>
          <w:p w:rsidR="00910BE7" w:rsidRDefault="00165ECC">
            <w:pPr>
              <w:jc w:val="center"/>
            </w:pPr>
            <w:r>
              <w:rPr>
                <w:rFonts w:eastAsiaTheme="minorEastAsia"/>
                <w:color w:val="000000"/>
                <w:sz w:val="24"/>
              </w:rPr>
              <w:t>3</w:t>
            </w:r>
          </w:p>
        </w:tc>
        <w:tc>
          <w:tcPr>
            <w:tcW w:w="1276" w:type="dxa"/>
            <w:vAlign w:val="center"/>
          </w:tcPr>
          <w:p w:rsidR="00910BE7" w:rsidRDefault="00165ECC">
            <w:pPr>
              <w:jc w:val="center"/>
            </w:pPr>
            <w:r>
              <w:rPr>
                <w:rFonts w:eastAsiaTheme="minorEastAsia"/>
                <w:color w:val="000000"/>
                <w:sz w:val="24"/>
              </w:rPr>
              <w:t>002024</w:t>
            </w:r>
          </w:p>
        </w:tc>
        <w:tc>
          <w:tcPr>
            <w:tcW w:w="1701" w:type="dxa"/>
            <w:vAlign w:val="center"/>
          </w:tcPr>
          <w:p w:rsidR="00910BE7" w:rsidRDefault="00165ECC">
            <w:pPr>
              <w:jc w:val="center"/>
            </w:pPr>
            <w:r>
              <w:rPr>
                <w:rFonts w:eastAsiaTheme="minorEastAsia"/>
                <w:color w:val="000000"/>
                <w:sz w:val="24"/>
              </w:rPr>
              <w:t>苏宁云商</w:t>
            </w:r>
          </w:p>
        </w:tc>
        <w:tc>
          <w:tcPr>
            <w:tcW w:w="1276" w:type="dxa"/>
            <w:vAlign w:val="center"/>
          </w:tcPr>
          <w:p w:rsidR="00910BE7" w:rsidRDefault="00165ECC">
            <w:pPr>
              <w:jc w:val="right"/>
            </w:pPr>
            <w:r>
              <w:rPr>
                <w:rFonts w:eastAsiaTheme="minorEastAsia"/>
                <w:color w:val="000000"/>
                <w:sz w:val="24"/>
              </w:rPr>
              <w:t>426,500</w:t>
            </w:r>
          </w:p>
        </w:tc>
        <w:tc>
          <w:tcPr>
            <w:tcW w:w="1842" w:type="dxa"/>
            <w:vAlign w:val="center"/>
          </w:tcPr>
          <w:p w:rsidR="00910BE7" w:rsidRDefault="00165ECC">
            <w:pPr>
              <w:jc w:val="right"/>
            </w:pPr>
            <w:r>
              <w:rPr>
                <w:rFonts w:eastAsiaTheme="minorEastAsia"/>
                <w:color w:val="000000"/>
                <w:sz w:val="24"/>
              </w:rPr>
              <w:t>4,883,425.00</w:t>
            </w:r>
          </w:p>
        </w:tc>
        <w:tc>
          <w:tcPr>
            <w:tcW w:w="1616" w:type="dxa"/>
            <w:vAlign w:val="center"/>
          </w:tcPr>
          <w:p w:rsidR="00910BE7" w:rsidRDefault="00165ECC">
            <w:pPr>
              <w:jc w:val="right"/>
            </w:pPr>
            <w:r>
              <w:rPr>
                <w:rFonts w:eastAsiaTheme="minorEastAsia"/>
                <w:color w:val="000000"/>
                <w:sz w:val="24"/>
              </w:rPr>
              <w:t>3.02</w:t>
            </w:r>
          </w:p>
        </w:tc>
      </w:tr>
      <w:tr w:rsidR="00910BE7">
        <w:tc>
          <w:tcPr>
            <w:tcW w:w="817" w:type="dxa"/>
            <w:vAlign w:val="center"/>
          </w:tcPr>
          <w:p w:rsidR="00910BE7" w:rsidRDefault="00165ECC">
            <w:pPr>
              <w:jc w:val="center"/>
            </w:pPr>
            <w:r>
              <w:rPr>
                <w:rFonts w:eastAsiaTheme="minorEastAsia"/>
                <w:color w:val="000000"/>
                <w:sz w:val="24"/>
              </w:rPr>
              <w:t>4</w:t>
            </w:r>
          </w:p>
        </w:tc>
        <w:tc>
          <w:tcPr>
            <w:tcW w:w="1276" w:type="dxa"/>
            <w:vAlign w:val="center"/>
          </w:tcPr>
          <w:p w:rsidR="00910BE7" w:rsidRDefault="00165ECC">
            <w:pPr>
              <w:jc w:val="center"/>
            </w:pPr>
            <w:r>
              <w:rPr>
                <w:rFonts w:eastAsiaTheme="minorEastAsia"/>
                <w:color w:val="000000"/>
                <w:sz w:val="24"/>
              </w:rPr>
              <w:t>601555</w:t>
            </w:r>
          </w:p>
        </w:tc>
        <w:tc>
          <w:tcPr>
            <w:tcW w:w="1701" w:type="dxa"/>
            <w:vAlign w:val="center"/>
          </w:tcPr>
          <w:p w:rsidR="00910BE7" w:rsidRDefault="00165ECC">
            <w:pPr>
              <w:jc w:val="center"/>
            </w:pPr>
            <w:r>
              <w:rPr>
                <w:rFonts w:eastAsiaTheme="minorEastAsia"/>
                <w:color w:val="000000"/>
                <w:sz w:val="24"/>
              </w:rPr>
              <w:t>东吴证券</w:t>
            </w:r>
          </w:p>
        </w:tc>
        <w:tc>
          <w:tcPr>
            <w:tcW w:w="1276" w:type="dxa"/>
            <w:vAlign w:val="center"/>
          </w:tcPr>
          <w:p w:rsidR="00910BE7" w:rsidRDefault="00165ECC">
            <w:pPr>
              <w:jc w:val="right"/>
            </w:pPr>
            <w:r>
              <w:rPr>
                <w:rFonts w:eastAsiaTheme="minorEastAsia"/>
                <w:color w:val="000000"/>
                <w:sz w:val="24"/>
              </w:rPr>
              <w:t>363,023</w:t>
            </w:r>
          </w:p>
        </w:tc>
        <w:tc>
          <w:tcPr>
            <w:tcW w:w="1842" w:type="dxa"/>
            <w:vAlign w:val="center"/>
          </w:tcPr>
          <w:p w:rsidR="00910BE7" w:rsidRDefault="00165ECC">
            <w:pPr>
              <w:jc w:val="right"/>
            </w:pPr>
            <w:r>
              <w:rPr>
                <w:rFonts w:eastAsiaTheme="minorEastAsia"/>
                <w:color w:val="000000"/>
                <w:sz w:val="24"/>
              </w:rPr>
              <w:t>4,817,315.21</w:t>
            </w:r>
          </w:p>
        </w:tc>
        <w:tc>
          <w:tcPr>
            <w:tcW w:w="1616" w:type="dxa"/>
            <w:vAlign w:val="center"/>
          </w:tcPr>
          <w:p w:rsidR="00910BE7" w:rsidRDefault="00165ECC">
            <w:pPr>
              <w:jc w:val="right"/>
            </w:pPr>
            <w:r>
              <w:rPr>
                <w:rFonts w:eastAsiaTheme="minorEastAsia"/>
                <w:color w:val="000000"/>
                <w:sz w:val="24"/>
              </w:rPr>
              <w:t>2.98</w:t>
            </w:r>
          </w:p>
        </w:tc>
      </w:tr>
      <w:tr w:rsidR="00910BE7">
        <w:tc>
          <w:tcPr>
            <w:tcW w:w="817" w:type="dxa"/>
            <w:vAlign w:val="center"/>
          </w:tcPr>
          <w:p w:rsidR="00910BE7" w:rsidRDefault="00165ECC">
            <w:pPr>
              <w:jc w:val="center"/>
            </w:pPr>
            <w:r>
              <w:rPr>
                <w:rFonts w:eastAsiaTheme="minorEastAsia"/>
                <w:color w:val="000000"/>
                <w:sz w:val="24"/>
              </w:rPr>
              <w:t>5</w:t>
            </w:r>
          </w:p>
        </w:tc>
        <w:tc>
          <w:tcPr>
            <w:tcW w:w="1276" w:type="dxa"/>
            <w:vAlign w:val="center"/>
          </w:tcPr>
          <w:p w:rsidR="00910BE7" w:rsidRDefault="00165ECC">
            <w:pPr>
              <w:jc w:val="center"/>
            </w:pPr>
            <w:r>
              <w:rPr>
                <w:rFonts w:eastAsiaTheme="minorEastAsia"/>
                <w:color w:val="000000"/>
                <w:sz w:val="24"/>
              </w:rPr>
              <w:t>000001</w:t>
            </w:r>
          </w:p>
        </w:tc>
        <w:tc>
          <w:tcPr>
            <w:tcW w:w="1701" w:type="dxa"/>
            <w:vAlign w:val="center"/>
          </w:tcPr>
          <w:p w:rsidR="00910BE7" w:rsidRDefault="00165ECC">
            <w:pPr>
              <w:jc w:val="center"/>
            </w:pPr>
            <w:r>
              <w:rPr>
                <w:rFonts w:eastAsiaTheme="minorEastAsia"/>
                <w:color w:val="000000"/>
                <w:sz w:val="24"/>
              </w:rPr>
              <w:t>平安银行</w:t>
            </w:r>
          </w:p>
        </w:tc>
        <w:tc>
          <w:tcPr>
            <w:tcW w:w="1276" w:type="dxa"/>
            <w:vAlign w:val="center"/>
          </w:tcPr>
          <w:p w:rsidR="00910BE7" w:rsidRDefault="00165ECC">
            <w:pPr>
              <w:jc w:val="right"/>
            </w:pPr>
            <w:r>
              <w:rPr>
                <w:rFonts w:eastAsiaTheme="minorEastAsia"/>
                <w:color w:val="000000"/>
                <w:sz w:val="24"/>
              </w:rPr>
              <w:t>528,400</w:t>
            </w:r>
          </w:p>
        </w:tc>
        <w:tc>
          <w:tcPr>
            <w:tcW w:w="1842" w:type="dxa"/>
            <w:vAlign w:val="center"/>
          </w:tcPr>
          <w:p w:rsidR="00910BE7" w:rsidRDefault="00165ECC">
            <w:pPr>
              <w:jc w:val="right"/>
            </w:pPr>
            <w:r>
              <w:rPr>
                <w:rFonts w:eastAsiaTheme="minorEastAsia"/>
                <w:color w:val="000000"/>
                <w:sz w:val="24"/>
              </w:rPr>
              <w:t>4,808,440.00</w:t>
            </w:r>
          </w:p>
        </w:tc>
        <w:tc>
          <w:tcPr>
            <w:tcW w:w="1616" w:type="dxa"/>
            <w:vAlign w:val="center"/>
          </w:tcPr>
          <w:p w:rsidR="00910BE7" w:rsidRDefault="00165ECC">
            <w:pPr>
              <w:jc w:val="right"/>
            </w:pPr>
            <w:r>
              <w:rPr>
                <w:rFonts w:eastAsiaTheme="minorEastAsia"/>
                <w:color w:val="000000"/>
                <w:sz w:val="24"/>
              </w:rPr>
              <w:t>2.97</w:t>
            </w:r>
          </w:p>
        </w:tc>
      </w:tr>
      <w:tr w:rsidR="00910BE7">
        <w:tc>
          <w:tcPr>
            <w:tcW w:w="817" w:type="dxa"/>
            <w:vAlign w:val="center"/>
          </w:tcPr>
          <w:p w:rsidR="00910BE7" w:rsidRDefault="00165ECC">
            <w:pPr>
              <w:jc w:val="center"/>
            </w:pPr>
            <w:r>
              <w:rPr>
                <w:rFonts w:eastAsiaTheme="minorEastAsia"/>
                <w:color w:val="000000"/>
                <w:sz w:val="24"/>
              </w:rPr>
              <w:t>6</w:t>
            </w:r>
          </w:p>
        </w:tc>
        <w:tc>
          <w:tcPr>
            <w:tcW w:w="1276" w:type="dxa"/>
            <w:vAlign w:val="center"/>
          </w:tcPr>
          <w:p w:rsidR="00910BE7" w:rsidRDefault="00165ECC">
            <w:pPr>
              <w:jc w:val="center"/>
            </w:pPr>
            <w:r>
              <w:rPr>
                <w:rFonts w:eastAsiaTheme="minorEastAsia"/>
                <w:color w:val="000000"/>
                <w:sz w:val="24"/>
              </w:rPr>
              <w:t>600109</w:t>
            </w:r>
          </w:p>
        </w:tc>
        <w:tc>
          <w:tcPr>
            <w:tcW w:w="1701" w:type="dxa"/>
            <w:vAlign w:val="center"/>
          </w:tcPr>
          <w:p w:rsidR="00910BE7" w:rsidRDefault="00165ECC">
            <w:pPr>
              <w:jc w:val="center"/>
            </w:pPr>
            <w:r>
              <w:rPr>
                <w:rFonts w:eastAsiaTheme="minorEastAsia"/>
                <w:color w:val="000000"/>
                <w:sz w:val="24"/>
              </w:rPr>
              <w:t>国金证券</w:t>
            </w:r>
          </w:p>
        </w:tc>
        <w:tc>
          <w:tcPr>
            <w:tcW w:w="1276" w:type="dxa"/>
            <w:vAlign w:val="center"/>
          </w:tcPr>
          <w:p w:rsidR="00910BE7" w:rsidRDefault="00165ECC">
            <w:pPr>
              <w:jc w:val="right"/>
            </w:pPr>
            <w:r>
              <w:rPr>
                <w:rFonts w:eastAsiaTheme="minorEastAsia"/>
                <w:color w:val="000000"/>
                <w:sz w:val="24"/>
              </w:rPr>
              <w:t>368,158</w:t>
            </w:r>
          </w:p>
        </w:tc>
        <w:tc>
          <w:tcPr>
            <w:tcW w:w="1842" w:type="dxa"/>
            <w:vAlign w:val="center"/>
          </w:tcPr>
          <w:p w:rsidR="00910BE7" w:rsidRDefault="00165ECC">
            <w:pPr>
              <w:jc w:val="right"/>
            </w:pPr>
            <w:r>
              <w:rPr>
                <w:rFonts w:eastAsiaTheme="minorEastAsia"/>
                <w:color w:val="000000"/>
                <w:sz w:val="24"/>
              </w:rPr>
              <w:t>4,797,098.74</w:t>
            </w:r>
          </w:p>
        </w:tc>
        <w:tc>
          <w:tcPr>
            <w:tcW w:w="1616" w:type="dxa"/>
            <w:vAlign w:val="center"/>
          </w:tcPr>
          <w:p w:rsidR="00910BE7" w:rsidRDefault="00165ECC">
            <w:pPr>
              <w:jc w:val="right"/>
            </w:pPr>
            <w:r>
              <w:rPr>
                <w:rFonts w:eastAsiaTheme="minorEastAsia"/>
                <w:color w:val="000000"/>
                <w:sz w:val="24"/>
              </w:rPr>
              <w:t>2.97</w:t>
            </w:r>
          </w:p>
        </w:tc>
      </w:tr>
      <w:tr w:rsidR="00910BE7">
        <w:tc>
          <w:tcPr>
            <w:tcW w:w="817" w:type="dxa"/>
            <w:vAlign w:val="center"/>
          </w:tcPr>
          <w:p w:rsidR="00910BE7" w:rsidRDefault="00165ECC">
            <w:pPr>
              <w:jc w:val="center"/>
            </w:pPr>
            <w:r>
              <w:rPr>
                <w:rFonts w:eastAsiaTheme="minorEastAsia"/>
                <w:color w:val="000000"/>
                <w:sz w:val="24"/>
              </w:rPr>
              <w:t>7</w:t>
            </w:r>
          </w:p>
        </w:tc>
        <w:tc>
          <w:tcPr>
            <w:tcW w:w="1276" w:type="dxa"/>
            <w:vAlign w:val="center"/>
          </w:tcPr>
          <w:p w:rsidR="00910BE7" w:rsidRDefault="00165ECC">
            <w:pPr>
              <w:jc w:val="center"/>
            </w:pPr>
            <w:r>
              <w:rPr>
                <w:rFonts w:eastAsiaTheme="minorEastAsia"/>
                <w:color w:val="000000"/>
                <w:sz w:val="24"/>
              </w:rPr>
              <w:t>601166</w:t>
            </w:r>
          </w:p>
        </w:tc>
        <w:tc>
          <w:tcPr>
            <w:tcW w:w="1701" w:type="dxa"/>
            <w:vAlign w:val="center"/>
          </w:tcPr>
          <w:p w:rsidR="00910BE7" w:rsidRDefault="00165ECC">
            <w:pPr>
              <w:jc w:val="center"/>
            </w:pPr>
            <w:r>
              <w:rPr>
                <w:rFonts w:eastAsiaTheme="minorEastAsia"/>
                <w:color w:val="000000"/>
                <w:sz w:val="24"/>
              </w:rPr>
              <w:t>兴业银行</w:t>
            </w:r>
          </w:p>
        </w:tc>
        <w:tc>
          <w:tcPr>
            <w:tcW w:w="1276" w:type="dxa"/>
            <w:vAlign w:val="center"/>
          </w:tcPr>
          <w:p w:rsidR="00910BE7" w:rsidRDefault="00165ECC">
            <w:pPr>
              <w:jc w:val="right"/>
            </w:pPr>
            <w:r>
              <w:rPr>
                <w:rFonts w:eastAsiaTheme="minorEastAsia"/>
                <w:color w:val="000000"/>
                <w:sz w:val="24"/>
              </w:rPr>
              <w:t>295,600</w:t>
            </w:r>
          </w:p>
        </w:tc>
        <w:tc>
          <w:tcPr>
            <w:tcW w:w="1842" w:type="dxa"/>
            <w:vAlign w:val="center"/>
          </w:tcPr>
          <w:p w:rsidR="00910BE7" w:rsidRDefault="00165ECC">
            <w:pPr>
              <w:jc w:val="right"/>
            </w:pPr>
            <w:r>
              <w:rPr>
                <w:rFonts w:eastAsiaTheme="minorEastAsia"/>
                <w:color w:val="000000"/>
                <w:sz w:val="24"/>
              </w:rPr>
              <w:t>4,770,984.00</w:t>
            </w:r>
          </w:p>
        </w:tc>
        <w:tc>
          <w:tcPr>
            <w:tcW w:w="1616" w:type="dxa"/>
            <w:vAlign w:val="center"/>
          </w:tcPr>
          <w:p w:rsidR="00910BE7" w:rsidRDefault="00165ECC">
            <w:pPr>
              <w:jc w:val="right"/>
            </w:pPr>
            <w:r>
              <w:rPr>
                <w:rFonts w:eastAsiaTheme="minorEastAsia"/>
                <w:color w:val="000000"/>
                <w:sz w:val="24"/>
              </w:rPr>
              <w:t>2.95</w:t>
            </w:r>
          </w:p>
        </w:tc>
      </w:tr>
      <w:tr w:rsidR="00910BE7">
        <w:tc>
          <w:tcPr>
            <w:tcW w:w="817" w:type="dxa"/>
            <w:vAlign w:val="center"/>
          </w:tcPr>
          <w:p w:rsidR="00910BE7" w:rsidRDefault="00165ECC">
            <w:pPr>
              <w:jc w:val="center"/>
            </w:pPr>
            <w:r>
              <w:rPr>
                <w:rFonts w:eastAsiaTheme="minorEastAsia"/>
                <w:color w:val="000000"/>
                <w:sz w:val="24"/>
              </w:rPr>
              <w:t>8</w:t>
            </w:r>
          </w:p>
        </w:tc>
        <w:tc>
          <w:tcPr>
            <w:tcW w:w="1276" w:type="dxa"/>
            <w:vAlign w:val="center"/>
          </w:tcPr>
          <w:p w:rsidR="00910BE7" w:rsidRDefault="00165ECC">
            <w:pPr>
              <w:jc w:val="center"/>
            </w:pPr>
            <w:r>
              <w:rPr>
                <w:rFonts w:eastAsiaTheme="minorEastAsia"/>
                <w:color w:val="000000"/>
                <w:sz w:val="24"/>
              </w:rPr>
              <w:t>600177</w:t>
            </w:r>
          </w:p>
        </w:tc>
        <w:tc>
          <w:tcPr>
            <w:tcW w:w="1701" w:type="dxa"/>
            <w:vAlign w:val="center"/>
          </w:tcPr>
          <w:p w:rsidR="00910BE7" w:rsidRDefault="00165ECC">
            <w:pPr>
              <w:jc w:val="center"/>
            </w:pPr>
            <w:r>
              <w:rPr>
                <w:rFonts w:eastAsiaTheme="minorEastAsia"/>
                <w:color w:val="000000"/>
                <w:sz w:val="24"/>
              </w:rPr>
              <w:t>雅戈尔</w:t>
            </w:r>
          </w:p>
        </w:tc>
        <w:tc>
          <w:tcPr>
            <w:tcW w:w="1276" w:type="dxa"/>
            <w:vAlign w:val="center"/>
          </w:tcPr>
          <w:p w:rsidR="00910BE7" w:rsidRDefault="00165ECC">
            <w:pPr>
              <w:jc w:val="right"/>
            </w:pPr>
            <w:r>
              <w:rPr>
                <w:rFonts w:eastAsiaTheme="minorEastAsia"/>
                <w:color w:val="000000"/>
                <w:sz w:val="24"/>
              </w:rPr>
              <w:t>341,200</w:t>
            </w:r>
          </w:p>
        </w:tc>
        <w:tc>
          <w:tcPr>
            <w:tcW w:w="1842" w:type="dxa"/>
            <w:vAlign w:val="center"/>
          </w:tcPr>
          <w:p w:rsidR="00910BE7" w:rsidRDefault="00165ECC">
            <w:pPr>
              <w:jc w:val="right"/>
            </w:pPr>
            <w:r>
              <w:rPr>
                <w:rFonts w:eastAsiaTheme="minorEastAsia"/>
                <w:color w:val="000000"/>
                <w:sz w:val="24"/>
              </w:rPr>
              <w:t>4,769,976.00</w:t>
            </w:r>
          </w:p>
        </w:tc>
        <w:tc>
          <w:tcPr>
            <w:tcW w:w="1616" w:type="dxa"/>
            <w:vAlign w:val="center"/>
          </w:tcPr>
          <w:p w:rsidR="00910BE7" w:rsidRDefault="00165ECC">
            <w:pPr>
              <w:jc w:val="right"/>
            </w:pPr>
            <w:r>
              <w:rPr>
                <w:rFonts w:eastAsiaTheme="minorEastAsia"/>
                <w:color w:val="000000"/>
                <w:sz w:val="24"/>
              </w:rPr>
              <w:t>2.95</w:t>
            </w:r>
          </w:p>
        </w:tc>
      </w:tr>
      <w:tr w:rsidR="00910BE7">
        <w:tc>
          <w:tcPr>
            <w:tcW w:w="817" w:type="dxa"/>
            <w:vAlign w:val="center"/>
          </w:tcPr>
          <w:p w:rsidR="00910BE7" w:rsidRDefault="00165ECC">
            <w:pPr>
              <w:jc w:val="center"/>
            </w:pPr>
            <w:r>
              <w:rPr>
                <w:rFonts w:eastAsiaTheme="minorEastAsia"/>
                <w:color w:val="000000"/>
                <w:sz w:val="24"/>
              </w:rPr>
              <w:lastRenderedPageBreak/>
              <w:t>9</w:t>
            </w:r>
          </w:p>
        </w:tc>
        <w:tc>
          <w:tcPr>
            <w:tcW w:w="1276" w:type="dxa"/>
            <w:vAlign w:val="center"/>
          </w:tcPr>
          <w:p w:rsidR="00910BE7" w:rsidRDefault="00165ECC">
            <w:pPr>
              <w:jc w:val="center"/>
            </w:pPr>
            <w:r>
              <w:rPr>
                <w:rFonts w:eastAsiaTheme="minorEastAsia"/>
                <w:color w:val="000000"/>
                <w:sz w:val="24"/>
              </w:rPr>
              <w:t>601998</w:t>
            </w:r>
          </w:p>
        </w:tc>
        <w:tc>
          <w:tcPr>
            <w:tcW w:w="1701" w:type="dxa"/>
            <w:vAlign w:val="center"/>
          </w:tcPr>
          <w:p w:rsidR="00910BE7" w:rsidRDefault="00165ECC">
            <w:pPr>
              <w:jc w:val="center"/>
            </w:pPr>
            <w:r>
              <w:rPr>
                <w:rFonts w:eastAsiaTheme="minorEastAsia"/>
                <w:color w:val="000000"/>
                <w:sz w:val="24"/>
              </w:rPr>
              <w:t>中信银行</w:t>
            </w:r>
          </w:p>
        </w:tc>
        <w:tc>
          <w:tcPr>
            <w:tcW w:w="1276" w:type="dxa"/>
            <w:vAlign w:val="center"/>
          </w:tcPr>
          <w:p w:rsidR="00910BE7" w:rsidRDefault="00165ECC">
            <w:pPr>
              <w:jc w:val="right"/>
            </w:pPr>
            <w:r>
              <w:rPr>
                <w:rFonts w:eastAsiaTheme="minorEastAsia"/>
                <w:color w:val="000000"/>
                <w:sz w:val="24"/>
              </w:rPr>
              <w:t>743,846</w:t>
            </w:r>
          </w:p>
        </w:tc>
        <w:tc>
          <w:tcPr>
            <w:tcW w:w="1842" w:type="dxa"/>
            <w:vAlign w:val="center"/>
          </w:tcPr>
          <w:p w:rsidR="00910BE7" w:rsidRDefault="00165ECC">
            <w:pPr>
              <w:jc w:val="right"/>
            </w:pPr>
            <w:r>
              <w:rPr>
                <w:rFonts w:eastAsiaTheme="minorEastAsia"/>
                <w:color w:val="000000"/>
                <w:sz w:val="24"/>
              </w:rPr>
              <w:t>4,768,052.86</w:t>
            </w:r>
          </w:p>
        </w:tc>
        <w:tc>
          <w:tcPr>
            <w:tcW w:w="1616" w:type="dxa"/>
            <w:vAlign w:val="center"/>
          </w:tcPr>
          <w:p w:rsidR="00910BE7" w:rsidRDefault="00165ECC">
            <w:pPr>
              <w:jc w:val="right"/>
            </w:pPr>
            <w:r>
              <w:rPr>
                <w:rFonts w:eastAsiaTheme="minorEastAsia"/>
                <w:color w:val="000000"/>
                <w:sz w:val="24"/>
              </w:rPr>
              <w:t>2.95</w:t>
            </w:r>
          </w:p>
        </w:tc>
      </w:tr>
      <w:tr w:rsidR="00910BE7">
        <w:tc>
          <w:tcPr>
            <w:tcW w:w="817" w:type="dxa"/>
            <w:vAlign w:val="center"/>
          </w:tcPr>
          <w:p w:rsidR="00910BE7" w:rsidRDefault="00165ECC">
            <w:pPr>
              <w:jc w:val="center"/>
            </w:pPr>
            <w:r>
              <w:rPr>
                <w:rFonts w:eastAsiaTheme="minorEastAsia"/>
                <w:color w:val="000000"/>
                <w:sz w:val="24"/>
              </w:rPr>
              <w:t>10</w:t>
            </w:r>
          </w:p>
        </w:tc>
        <w:tc>
          <w:tcPr>
            <w:tcW w:w="1276" w:type="dxa"/>
            <w:vAlign w:val="center"/>
          </w:tcPr>
          <w:p w:rsidR="00910BE7" w:rsidRDefault="00165ECC">
            <w:pPr>
              <w:jc w:val="center"/>
            </w:pPr>
            <w:r>
              <w:rPr>
                <w:rFonts w:eastAsiaTheme="minorEastAsia"/>
                <w:color w:val="000000"/>
                <w:sz w:val="24"/>
              </w:rPr>
              <w:t>000627</w:t>
            </w:r>
          </w:p>
        </w:tc>
        <w:tc>
          <w:tcPr>
            <w:tcW w:w="1701" w:type="dxa"/>
            <w:vAlign w:val="center"/>
          </w:tcPr>
          <w:p w:rsidR="00910BE7" w:rsidRDefault="00165ECC">
            <w:pPr>
              <w:jc w:val="center"/>
            </w:pPr>
            <w:r>
              <w:rPr>
                <w:rFonts w:eastAsiaTheme="minorEastAsia"/>
                <w:color w:val="000000"/>
                <w:sz w:val="24"/>
              </w:rPr>
              <w:t>天茂集团</w:t>
            </w:r>
          </w:p>
        </w:tc>
        <w:tc>
          <w:tcPr>
            <w:tcW w:w="1276" w:type="dxa"/>
            <w:vAlign w:val="center"/>
          </w:tcPr>
          <w:p w:rsidR="00910BE7" w:rsidRDefault="00165ECC">
            <w:pPr>
              <w:jc w:val="right"/>
            </w:pPr>
            <w:r>
              <w:rPr>
                <w:rFonts w:eastAsiaTheme="minorEastAsia"/>
                <w:color w:val="000000"/>
                <w:sz w:val="24"/>
              </w:rPr>
              <w:t>616,110</w:t>
            </w:r>
          </w:p>
        </w:tc>
        <w:tc>
          <w:tcPr>
            <w:tcW w:w="1842" w:type="dxa"/>
            <w:vAlign w:val="center"/>
          </w:tcPr>
          <w:p w:rsidR="00910BE7" w:rsidRDefault="00165ECC">
            <w:pPr>
              <w:jc w:val="right"/>
            </w:pPr>
            <w:r>
              <w:rPr>
                <w:rFonts w:eastAsiaTheme="minorEastAsia"/>
                <w:color w:val="000000"/>
                <w:sz w:val="24"/>
              </w:rPr>
              <w:t>4,713,241.50</w:t>
            </w:r>
          </w:p>
        </w:tc>
        <w:tc>
          <w:tcPr>
            <w:tcW w:w="1616" w:type="dxa"/>
            <w:vAlign w:val="center"/>
          </w:tcPr>
          <w:p w:rsidR="00910BE7" w:rsidRDefault="00165ECC">
            <w:pPr>
              <w:jc w:val="right"/>
            </w:pPr>
            <w:r>
              <w:rPr>
                <w:rFonts w:eastAsiaTheme="minorEastAsia"/>
                <w:color w:val="000000"/>
                <w:sz w:val="24"/>
              </w:rPr>
              <w:t>2.92</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165ECC" w:rsidRPr="005E324A" w:rsidRDefault="00165ECC"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lastRenderedPageBreak/>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6,529.05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2,393.77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6,462.26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15,385.08</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D55CE7" w:rsidRDefault="00D55CE7"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w:t>
      </w:r>
      <w:proofErr w:type="gramStart"/>
      <w:r w:rsidRPr="005E324A">
        <w:rPr>
          <w:rFonts w:eastAsiaTheme="minorEastAsia"/>
          <w:color w:val="000000"/>
          <w:sz w:val="24"/>
        </w:rPr>
        <w:t>期末前</w:t>
      </w:r>
      <w:proofErr w:type="gramEnd"/>
      <w:r w:rsidRPr="005E324A">
        <w:rPr>
          <w:rFonts w:eastAsiaTheme="minorEastAsia"/>
          <w:color w:val="000000"/>
          <w:sz w:val="24"/>
        </w:rPr>
        <w:t>十名股票中不存在流通受限情况。</w:t>
      </w:r>
    </w:p>
    <w:p w:rsidR="00E61CE4" w:rsidRPr="005E324A" w:rsidRDefault="00E61CE4" w:rsidP="00576862">
      <w:pPr>
        <w:autoSpaceDE w:val="0"/>
        <w:autoSpaceDN w:val="0"/>
        <w:adjustRightInd w:val="0"/>
        <w:spacing w:line="360" w:lineRule="auto"/>
        <w:jc w:val="left"/>
        <w:rPr>
          <w:rFonts w:eastAsiaTheme="minorEastAsia" w:hint="eastAsia"/>
          <w:color w:val="000000"/>
          <w:sz w:val="24"/>
        </w:rPr>
      </w:pPr>
      <w:bookmarkStart w:id="0" w:name="_GoBack"/>
      <w:bookmarkEnd w:id="0"/>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3E30C4">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154,099,300.69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6,304,558.00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6,304,558.00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2,003,287.25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16,877,506.95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2,401,328.00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-1,200,664.00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-1,200,664.00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141,626,408.99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5,103,894.00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5,103,894.00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674F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11EB7" w:rsidRPr="00311EB7" w:rsidRDefault="00311EB7" w:rsidP="003D4E5A">
      <w:pPr>
        <w:autoSpaceDE w:val="0"/>
        <w:autoSpaceDN w:val="0"/>
        <w:adjustRightInd w:val="0"/>
        <w:spacing w:line="360" w:lineRule="auto"/>
        <w:jc w:val="left"/>
        <w:rPr>
          <w:rFonts w:eastAsiaTheme="minorEastAsia"/>
          <w:color w:val="00000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910BE7" w:rsidRDefault="00165ECC">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56" w:rsidRDefault="00D40C56">
      <w:r>
        <w:separator/>
      </w:r>
    </w:p>
  </w:endnote>
  <w:endnote w:type="continuationSeparator" w:id="0">
    <w:p w:rsidR="00D40C56" w:rsidRDefault="00D4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F7655">
      <w:rPr>
        <w:kern w:val="0"/>
        <w:szCs w:val="21"/>
      </w:rPr>
      <w:fldChar w:fldCharType="begin"/>
    </w:r>
    <w:r>
      <w:rPr>
        <w:kern w:val="0"/>
        <w:szCs w:val="21"/>
      </w:rPr>
      <w:instrText xml:space="preserve"> PAGE </w:instrText>
    </w:r>
    <w:r w:rsidR="009F7655">
      <w:rPr>
        <w:kern w:val="0"/>
        <w:szCs w:val="21"/>
      </w:rPr>
      <w:fldChar w:fldCharType="separate"/>
    </w:r>
    <w:r w:rsidR="00E61CE4">
      <w:rPr>
        <w:noProof/>
        <w:kern w:val="0"/>
        <w:szCs w:val="21"/>
      </w:rPr>
      <w:t>1</w:t>
    </w:r>
    <w:r w:rsidR="009F7655">
      <w:rPr>
        <w:kern w:val="0"/>
        <w:szCs w:val="21"/>
      </w:rPr>
      <w:fldChar w:fldCharType="end"/>
    </w:r>
    <w:proofErr w:type="gramStart"/>
    <w:r>
      <w:rPr>
        <w:rFonts w:hint="eastAsia"/>
        <w:kern w:val="0"/>
        <w:szCs w:val="21"/>
      </w:rPr>
      <w:t>页共</w:t>
    </w:r>
    <w:proofErr w:type="gramEnd"/>
    <w:r w:rsidR="009F7655">
      <w:rPr>
        <w:kern w:val="0"/>
        <w:szCs w:val="21"/>
      </w:rPr>
      <w:fldChar w:fldCharType="begin"/>
    </w:r>
    <w:r>
      <w:rPr>
        <w:kern w:val="0"/>
        <w:szCs w:val="21"/>
      </w:rPr>
      <w:instrText xml:space="preserve"> NUMPAGES </w:instrText>
    </w:r>
    <w:r w:rsidR="009F7655">
      <w:rPr>
        <w:kern w:val="0"/>
        <w:szCs w:val="21"/>
      </w:rPr>
      <w:fldChar w:fldCharType="separate"/>
    </w:r>
    <w:r w:rsidR="00E61CE4">
      <w:rPr>
        <w:noProof/>
        <w:kern w:val="0"/>
        <w:szCs w:val="21"/>
      </w:rPr>
      <w:t>14</w:t>
    </w:r>
    <w:r w:rsidR="009F765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E61CE4">
      <w:rPr>
        <w:rStyle w:val="a7"/>
        <w:noProof/>
      </w:rPr>
      <w:t>14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56" w:rsidRDefault="00D40C56">
      <w:r>
        <w:separator/>
      </w:r>
    </w:p>
  </w:footnote>
  <w:footnote w:type="continuationSeparator" w:id="0">
    <w:p w:rsidR="00D40C56" w:rsidRDefault="00D40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02CD"/>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D264B"/>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65ECC"/>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70AD"/>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43E9"/>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11EB7"/>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645"/>
    <w:rsid w:val="003B57D3"/>
    <w:rsid w:val="003C1F58"/>
    <w:rsid w:val="003C792F"/>
    <w:rsid w:val="003D124B"/>
    <w:rsid w:val="003D18F3"/>
    <w:rsid w:val="003D4E5A"/>
    <w:rsid w:val="003D5951"/>
    <w:rsid w:val="003D78B5"/>
    <w:rsid w:val="003E1062"/>
    <w:rsid w:val="003E244F"/>
    <w:rsid w:val="003E30C4"/>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0BE7"/>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37E6"/>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7F3"/>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0C56"/>
    <w:rsid w:val="00D4205E"/>
    <w:rsid w:val="00D43EDF"/>
    <w:rsid w:val="00D45DB6"/>
    <w:rsid w:val="00D5574C"/>
    <w:rsid w:val="00D55B61"/>
    <w:rsid w:val="00D55CE7"/>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1CE4"/>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16B1D2C-7879-4478-8D81-61DEEF7F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14</Pages>
  <Words>1072</Words>
  <Characters>6114</Characters>
  <Application>Microsoft Office Word</Application>
  <DocSecurity>0</DocSecurity>
  <Lines>50</Lines>
  <Paragraphs>14</Paragraphs>
  <ScaleCrop>false</ScaleCrop>
  <Company>TRT. Ltd. Co.</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172</cp:revision>
  <cp:lastPrinted>2007-07-19T00:46:00Z</cp:lastPrinted>
  <dcterms:created xsi:type="dcterms:W3CDTF">2012-11-28T02:28:00Z</dcterms:created>
  <dcterms:modified xsi:type="dcterms:W3CDTF">2017-01-17T10:35:00Z</dcterms:modified>
</cp:coreProperties>
</file>