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029AE" w:rsidRDefault="00ED071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029AE" w:rsidRDefault="00ED0714">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029AE" w:rsidRDefault="00ED071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029AE" w:rsidRDefault="00ED071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029AE" w:rsidRDefault="00ED071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1,519,102,047.86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D0714" w:rsidRPr="00414345" w:rsidTr="00ED071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D0714" w:rsidRPr="00414345" w:rsidTr="00ED07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-7,774,340.76</w:t>
            </w:r>
          </w:p>
        </w:tc>
      </w:tr>
      <w:tr w:rsidR="00ED0714" w:rsidRPr="00414345" w:rsidTr="00ED07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-18,161,165.37</w:t>
            </w:r>
          </w:p>
        </w:tc>
      </w:tr>
      <w:tr w:rsidR="00ED0714" w:rsidRPr="00414345" w:rsidTr="00ED07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-0.0115</w:t>
            </w:r>
          </w:p>
        </w:tc>
      </w:tr>
      <w:tr w:rsidR="00ED0714" w:rsidRPr="00414345" w:rsidTr="00ED07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1,483,825,231.53</w:t>
            </w:r>
          </w:p>
        </w:tc>
      </w:tr>
      <w:tr w:rsidR="00ED0714" w:rsidRPr="00414345" w:rsidTr="00ED071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0.977</w:t>
            </w:r>
          </w:p>
        </w:tc>
      </w:tr>
    </w:tbl>
    <w:p w:rsidR="00C029AE" w:rsidRDefault="00ED071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029AE">
        <w:trPr>
          <w:jc w:val="center"/>
        </w:trPr>
        <w:tc>
          <w:tcPr>
            <w:tcW w:w="1701" w:type="dxa"/>
            <w:vAlign w:val="center"/>
          </w:tcPr>
          <w:p w:rsidR="00C029AE" w:rsidRDefault="00ED0714">
            <w:pPr>
              <w:jc w:val="left"/>
            </w:pPr>
            <w:r>
              <w:rPr>
                <w:color w:val="000000"/>
                <w:sz w:val="24"/>
                <w:szCs w:val="24"/>
              </w:rPr>
              <w:t>过去三个月</w:t>
            </w:r>
          </w:p>
        </w:tc>
        <w:tc>
          <w:tcPr>
            <w:tcW w:w="1045" w:type="dxa"/>
            <w:vAlign w:val="center"/>
          </w:tcPr>
          <w:p w:rsidR="00C029AE" w:rsidRDefault="00B20626">
            <w:pPr>
              <w:jc w:val="center"/>
            </w:pPr>
            <w:r>
              <w:rPr>
                <w:color w:val="000000"/>
                <w:sz w:val="24"/>
                <w:szCs w:val="24"/>
              </w:rPr>
              <w:t>-1.2</w:t>
            </w:r>
            <w:r w:rsidR="00ED0714">
              <w:rPr>
                <w:color w:val="000000"/>
                <w:sz w:val="24"/>
                <w:szCs w:val="24"/>
              </w:rPr>
              <w:t>1%</w:t>
            </w:r>
          </w:p>
        </w:tc>
        <w:tc>
          <w:tcPr>
            <w:tcW w:w="1344" w:type="dxa"/>
            <w:vAlign w:val="center"/>
          </w:tcPr>
          <w:p w:rsidR="00C029AE" w:rsidRDefault="00ED0714">
            <w:pPr>
              <w:jc w:val="center"/>
            </w:pPr>
            <w:r>
              <w:rPr>
                <w:color w:val="000000"/>
                <w:sz w:val="24"/>
                <w:szCs w:val="24"/>
              </w:rPr>
              <w:t>0.12%</w:t>
            </w:r>
          </w:p>
        </w:tc>
        <w:tc>
          <w:tcPr>
            <w:tcW w:w="1194" w:type="dxa"/>
            <w:vAlign w:val="center"/>
          </w:tcPr>
          <w:p w:rsidR="00C029AE" w:rsidRDefault="00B20626">
            <w:pPr>
              <w:jc w:val="center"/>
            </w:pPr>
            <w:r>
              <w:rPr>
                <w:color w:val="000000"/>
                <w:sz w:val="24"/>
                <w:szCs w:val="24"/>
              </w:rPr>
              <w:t>0.70</w:t>
            </w:r>
            <w:r w:rsidR="00ED0714">
              <w:rPr>
                <w:color w:val="000000"/>
                <w:sz w:val="24"/>
                <w:szCs w:val="24"/>
              </w:rPr>
              <w:t>%</w:t>
            </w:r>
          </w:p>
        </w:tc>
        <w:tc>
          <w:tcPr>
            <w:tcW w:w="1492" w:type="dxa"/>
            <w:vAlign w:val="center"/>
          </w:tcPr>
          <w:p w:rsidR="00C029AE" w:rsidRDefault="00ED0714">
            <w:pPr>
              <w:jc w:val="center"/>
            </w:pPr>
            <w:r>
              <w:rPr>
                <w:color w:val="000000"/>
                <w:sz w:val="24"/>
                <w:szCs w:val="24"/>
              </w:rPr>
              <w:t>0.01%</w:t>
            </w:r>
          </w:p>
        </w:tc>
        <w:tc>
          <w:tcPr>
            <w:tcW w:w="1194" w:type="dxa"/>
            <w:vAlign w:val="center"/>
          </w:tcPr>
          <w:p w:rsidR="00C029AE" w:rsidRDefault="00B20626">
            <w:pPr>
              <w:jc w:val="center"/>
            </w:pPr>
            <w:r>
              <w:rPr>
                <w:color w:val="000000"/>
                <w:sz w:val="24"/>
                <w:szCs w:val="24"/>
              </w:rPr>
              <w:t>-1.91</w:t>
            </w:r>
            <w:r w:rsidR="00ED0714">
              <w:rPr>
                <w:color w:val="000000"/>
                <w:sz w:val="24"/>
                <w:szCs w:val="24"/>
              </w:rPr>
              <w:t>%</w:t>
            </w:r>
          </w:p>
        </w:tc>
        <w:tc>
          <w:tcPr>
            <w:tcW w:w="898" w:type="dxa"/>
            <w:vAlign w:val="center"/>
          </w:tcPr>
          <w:p w:rsidR="00C029AE" w:rsidRDefault="00ED0714">
            <w:pPr>
              <w:jc w:val="center"/>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5C5808"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3206A735" wp14:editId="44496216">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029AE">
        <w:trPr>
          <w:jc w:val="center"/>
        </w:trPr>
        <w:tc>
          <w:tcPr>
            <w:tcW w:w="846" w:type="dxa"/>
            <w:vAlign w:val="center"/>
          </w:tcPr>
          <w:p w:rsidR="00C029AE" w:rsidRDefault="00ED0714">
            <w:pPr>
              <w:jc w:val="center"/>
            </w:pPr>
            <w:r>
              <w:rPr>
                <w:color w:val="000000"/>
                <w:sz w:val="24"/>
                <w:szCs w:val="24"/>
              </w:rPr>
              <w:t>王少成</w:t>
            </w:r>
          </w:p>
        </w:tc>
        <w:tc>
          <w:tcPr>
            <w:tcW w:w="845" w:type="dxa"/>
            <w:vAlign w:val="center"/>
          </w:tcPr>
          <w:p w:rsidR="00C029AE" w:rsidRDefault="00ED0714">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C029AE" w:rsidRDefault="00ED0714">
            <w:pPr>
              <w:jc w:val="center"/>
            </w:pPr>
            <w:r>
              <w:rPr>
                <w:color w:val="000000"/>
                <w:sz w:val="24"/>
                <w:szCs w:val="24"/>
              </w:rPr>
              <w:t>2015-11-07</w:t>
            </w:r>
          </w:p>
        </w:tc>
        <w:tc>
          <w:tcPr>
            <w:tcW w:w="1548" w:type="dxa"/>
            <w:vAlign w:val="center"/>
          </w:tcPr>
          <w:p w:rsidR="00C029AE" w:rsidRDefault="00ED0714">
            <w:pPr>
              <w:jc w:val="center"/>
            </w:pPr>
            <w:r>
              <w:rPr>
                <w:color w:val="000000"/>
                <w:sz w:val="24"/>
                <w:szCs w:val="24"/>
              </w:rPr>
              <w:t>-</w:t>
            </w:r>
          </w:p>
        </w:tc>
        <w:tc>
          <w:tcPr>
            <w:tcW w:w="1407" w:type="dxa"/>
            <w:vAlign w:val="center"/>
          </w:tcPr>
          <w:p w:rsidR="00C029AE" w:rsidRDefault="00ED0714">
            <w:pPr>
              <w:jc w:val="center"/>
            </w:pPr>
            <w:r>
              <w:rPr>
                <w:color w:val="000000"/>
                <w:sz w:val="24"/>
                <w:szCs w:val="24"/>
              </w:rPr>
              <w:t>12</w:t>
            </w:r>
            <w:r>
              <w:rPr>
                <w:color w:val="000000"/>
                <w:sz w:val="24"/>
                <w:szCs w:val="24"/>
              </w:rPr>
              <w:t>年</w:t>
            </w:r>
          </w:p>
        </w:tc>
        <w:tc>
          <w:tcPr>
            <w:tcW w:w="2673" w:type="dxa"/>
            <w:vAlign w:val="center"/>
          </w:tcPr>
          <w:p w:rsidR="00C029AE" w:rsidRDefault="00ED0714">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C029AE">
        <w:trPr>
          <w:jc w:val="center"/>
        </w:trPr>
        <w:tc>
          <w:tcPr>
            <w:tcW w:w="846" w:type="dxa"/>
            <w:vAlign w:val="center"/>
          </w:tcPr>
          <w:p w:rsidR="00C029AE" w:rsidRDefault="00ED0714">
            <w:pPr>
              <w:jc w:val="center"/>
            </w:pPr>
            <w:r>
              <w:rPr>
                <w:color w:val="000000"/>
                <w:sz w:val="24"/>
                <w:szCs w:val="24"/>
              </w:rPr>
              <w:t>唐赟</w:t>
            </w:r>
          </w:p>
        </w:tc>
        <w:tc>
          <w:tcPr>
            <w:tcW w:w="845" w:type="dxa"/>
            <w:vAlign w:val="center"/>
          </w:tcPr>
          <w:p w:rsidR="00C029AE" w:rsidRDefault="00ED0714">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、交银双利债券、交银双轮动债券、交银荣和保本混合的基金经理</w:t>
            </w:r>
          </w:p>
        </w:tc>
        <w:tc>
          <w:tcPr>
            <w:tcW w:w="1549" w:type="dxa"/>
            <w:vAlign w:val="center"/>
          </w:tcPr>
          <w:p w:rsidR="00C029AE" w:rsidRDefault="00ED0714">
            <w:pPr>
              <w:jc w:val="center"/>
            </w:pPr>
            <w:r>
              <w:rPr>
                <w:color w:val="000000"/>
                <w:sz w:val="24"/>
                <w:szCs w:val="24"/>
              </w:rPr>
              <w:t>2015-11-07</w:t>
            </w:r>
          </w:p>
        </w:tc>
        <w:tc>
          <w:tcPr>
            <w:tcW w:w="1548" w:type="dxa"/>
            <w:vAlign w:val="center"/>
          </w:tcPr>
          <w:p w:rsidR="00C029AE" w:rsidRDefault="00ED0714">
            <w:pPr>
              <w:jc w:val="center"/>
            </w:pPr>
            <w:r>
              <w:rPr>
                <w:color w:val="000000"/>
                <w:sz w:val="24"/>
                <w:szCs w:val="24"/>
              </w:rPr>
              <w:t>-</w:t>
            </w:r>
          </w:p>
        </w:tc>
        <w:tc>
          <w:tcPr>
            <w:tcW w:w="1407" w:type="dxa"/>
            <w:vAlign w:val="center"/>
          </w:tcPr>
          <w:p w:rsidR="00C029AE" w:rsidRDefault="00ED0714">
            <w:pPr>
              <w:jc w:val="center"/>
            </w:pPr>
            <w:r>
              <w:rPr>
                <w:color w:val="000000"/>
                <w:sz w:val="24"/>
                <w:szCs w:val="24"/>
              </w:rPr>
              <w:t>4</w:t>
            </w:r>
            <w:r>
              <w:rPr>
                <w:color w:val="000000"/>
                <w:sz w:val="24"/>
                <w:szCs w:val="24"/>
              </w:rPr>
              <w:t>年</w:t>
            </w:r>
          </w:p>
        </w:tc>
        <w:tc>
          <w:tcPr>
            <w:tcW w:w="2673" w:type="dxa"/>
            <w:vAlign w:val="center"/>
          </w:tcPr>
          <w:p w:rsidR="00C029AE" w:rsidRDefault="00ED0714">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029AE" w:rsidRDefault="00ED071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029AE" w:rsidRDefault="00ED071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029AE" w:rsidRDefault="00ED071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029AE" w:rsidRDefault="00ED0714">
      <w:pPr>
        <w:spacing w:before="29" w:line="288" w:lineRule="auto"/>
        <w:ind w:firstLineChars="200" w:firstLine="480"/>
        <w:rPr>
          <w:color w:val="000000"/>
          <w:sz w:val="24"/>
          <w:szCs w:val="24"/>
        </w:rPr>
      </w:pPr>
      <w:r>
        <w:rPr>
          <w:color w:val="000000"/>
          <w:sz w:val="24"/>
          <w:szCs w:val="24"/>
        </w:rPr>
        <w:t>本报告期内，受货币政策边际上收紧以及对金融去杠杆的影响，债券长短端收益率都出现了明显的上行。权益类资产仍然不改区间震荡的行情，</w:t>
      </w:r>
      <w:r>
        <w:rPr>
          <w:color w:val="000000"/>
          <w:sz w:val="24"/>
          <w:szCs w:val="24"/>
        </w:rPr>
        <w:t>2016</w:t>
      </w:r>
      <w:r>
        <w:rPr>
          <w:color w:val="000000"/>
          <w:sz w:val="24"/>
          <w:szCs w:val="24"/>
        </w:rPr>
        <w:t>年</w:t>
      </w:r>
      <w:r>
        <w:rPr>
          <w:color w:val="000000"/>
          <w:sz w:val="24"/>
          <w:szCs w:val="24"/>
        </w:rPr>
        <w:t>10-11</w:t>
      </w:r>
      <w:r>
        <w:rPr>
          <w:color w:val="000000"/>
          <w:sz w:val="24"/>
          <w:szCs w:val="24"/>
        </w:rPr>
        <w:t>月小幅上行，</w:t>
      </w:r>
      <w:r>
        <w:rPr>
          <w:color w:val="000000"/>
          <w:sz w:val="24"/>
          <w:szCs w:val="24"/>
        </w:rPr>
        <w:t>12</w:t>
      </w:r>
      <w:r>
        <w:rPr>
          <w:color w:val="000000"/>
          <w:sz w:val="24"/>
          <w:szCs w:val="24"/>
        </w:rPr>
        <w:t>月则持续回落。</w:t>
      </w:r>
    </w:p>
    <w:p w:rsidR="00C029AE" w:rsidRDefault="00ED0714">
      <w:pPr>
        <w:spacing w:before="29" w:line="288" w:lineRule="auto"/>
        <w:ind w:firstLineChars="200" w:firstLine="480"/>
        <w:rPr>
          <w:color w:val="000000"/>
          <w:sz w:val="24"/>
          <w:szCs w:val="24"/>
        </w:rPr>
      </w:pPr>
      <w:r>
        <w:rPr>
          <w:color w:val="000000"/>
          <w:sz w:val="24"/>
          <w:szCs w:val="24"/>
        </w:rPr>
        <w:t>本报告期内，本基金在</w:t>
      </w:r>
      <w:r>
        <w:rPr>
          <w:color w:val="000000"/>
          <w:sz w:val="24"/>
          <w:szCs w:val="24"/>
        </w:rPr>
        <w:t>2016</w:t>
      </w:r>
      <w:r>
        <w:rPr>
          <w:color w:val="000000"/>
          <w:sz w:val="24"/>
          <w:szCs w:val="24"/>
        </w:rPr>
        <w:t>年</w:t>
      </w:r>
      <w:r>
        <w:rPr>
          <w:color w:val="000000"/>
          <w:sz w:val="24"/>
          <w:szCs w:val="24"/>
        </w:rPr>
        <w:t>10</w:t>
      </w:r>
      <w:r>
        <w:rPr>
          <w:color w:val="000000"/>
          <w:sz w:val="24"/>
          <w:szCs w:val="24"/>
        </w:rPr>
        <w:t>月中下旬减持了大部分利率债，明显降低了组合久期，有效避免了长端品种下跌对组合净值的影响。但由于短端收益率上行幅度同样较大，短期内组合净值也出现了一定幅度的回撤。在短端收益明显回升后，本基金在</w:t>
      </w:r>
      <w:r>
        <w:rPr>
          <w:color w:val="000000"/>
          <w:sz w:val="24"/>
          <w:szCs w:val="24"/>
        </w:rPr>
        <w:t>12</w:t>
      </w:r>
      <w:r>
        <w:rPr>
          <w:color w:val="000000"/>
          <w:sz w:val="24"/>
          <w:szCs w:val="24"/>
        </w:rPr>
        <w:t>月下旬开始陆续将组合中持仓调整为与保本剩余期限匹配的高等级信用债。</w:t>
      </w:r>
    </w:p>
    <w:p w:rsidR="00C029AE" w:rsidRDefault="00ED0714">
      <w:pPr>
        <w:spacing w:before="29" w:line="288" w:lineRule="auto"/>
        <w:ind w:firstLineChars="200" w:firstLine="480"/>
        <w:rPr>
          <w:color w:val="000000"/>
          <w:sz w:val="24"/>
          <w:szCs w:val="24"/>
        </w:rPr>
      </w:pPr>
      <w:r>
        <w:rPr>
          <w:color w:val="000000"/>
          <w:sz w:val="24"/>
          <w:szCs w:val="24"/>
        </w:rPr>
        <w:t>展望</w:t>
      </w:r>
      <w:r>
        <w:rPr>
          <w:color w:val="000000"/>
          <w:sz w:val="24"/>
          <w:szCs w:val="24"/>
        </w:rPr>
        <w:t>2017</w:t>
      </w:r>
      <w:r>
        <w:rPr>
          <w:color w:val="000000"/>
          <w:sz w:val="24"/>
          <w:szCs w:val="24"/>
        </w:rPr>
        <w:t>年一季度，经济及通胀在一季度有望继续反弹，在一季度末之前也无法在数据层面证伪复苏的预期。叠加金融去杠杆及稳定汇率的需求，一季度货币政策转向继续放松的可能性不大，判断一季度债券市场可能将受到基本面的压力。虽然经过</w:t>
      </w:r>
      <w:r>
        <w:rPr>
          <w:color w:val="000000"/>
          <w:sz w:val="24"/>
          <w:szCs w:val="24"/>
        </w:rPr>
        <w:t>2016</w:t>
      </w:r>
      <w:r>
        <w:rPr>
          <w:color w:val="000000"/>
          <w:sz w:val="24"/>
          <w:szCs w:val="24"/>
        </w:rPr>
        <w:t>年四季度的上行后，利率债收益率从长期来看已体现一定的配置价值，但预计一季度出现明显下行的概率不大。另外，虽然</w:t>
      </w:r>
      <w:r>
        <w:rPr>
          <w:color w:val="000000"/>
          <w:sz w:val="24"/>
          <w:szCs w:val="24"/>
        </w:rPr>
        <w:t>2016</w:t>
      </w:r>
      <w:r>
        <w:rPr>
          <w:color w:val="000000"/>
          <w:sz w:val="24"/>
          <w:szCs w:val="24"/>
        </w:rPr>
        <w:t>年四季度中信用债的利差有一定上行，但仍处于历史地位。尤其是低等级信用债利差恐未能充分反映未来的信用风险。</w:t>
      </w:r>
      <w:r>
        <w:rPr>
          <w:color w:val="000000"/>
          <w:sz w:val="24"/>
          <w:szCs w:val="24"/>
        </w:rPr>
        <w:t>2017</w:t>
      </w:r>
      <w:r>
        <w:rPr>
          <w:color w:val="000000"/>
          <w:sz w:val="24"/>
          <w:szCs w:val="24"/>
        </w:rPr>
        <w:t>年一季度本基金仍然继续采取与保本剩余期限匹配的久期策略，尽力规避未来的利率风险和再投资风险。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对于权益资产，我们认为目前市场仍未走出窄幅震荡盘整的态势，短期内依靠权益类资产为组合净值带来明显贡献的机会较小。但转债经历过</w:t>
      </w:r>
      <w:r w:rsidRPr="00414345">
        <w:rPr>
          <w:color w:val="000000"/>
          <w:sz w:val="24"/>
          <w:szCs w:val="24"/>
        </w:rPr>
        <w:t>2016</w:t>
      </w:r>
      <w:r w:rsidRPr="00414345">
        <w:rPr>
          <w:color w:val="000000"/>
          <w:sz w:val="24"/>
          <w:szCs w:val="24"/>
        </w:rPr>
        <w:t>年四季度的大幅调整之后，安全边际已有所提升。我们也看好未来在汇率和地产调控的风险阶段性的化解之后，权益类资产有望重拾强势。</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0.977</w:t>
      </w:r>
      <w:r w:rsidRPr="00414345">
        <w:rPr>
          <w:color w:val="000000"/>
          <w:sz w:val="24"/>
          <w:szCs w:val="24"/>
        </w:rPr>
        <w:t>元，本报告期份额净值增长率为</w:t>
      </w:r>
      <w:r w:rsidRPr="00414345">
        <w:rPr>
          <w:color w:val="000000"/>
          <w:sz w:val="24"/>
          <w:szCs w:val="24"/>
        </w:rPr>
        <w:t>-1.21%</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37,272,479.51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37,272,479.51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2,070,371,000.00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2,070,371,000.00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51,722,971.44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38,508,774.20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2,197,875,225.15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8,522,238.49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5,075,400.00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9,097,177.70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5,126,000.00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9,451,663.32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37,272,479.51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w:t>
            </w:r>
          </w:p>
        </w:tc>
      </w:tr>
    </w:tbl>
    <w:p w:rsidR="005F2BE6" w:rsidRDefault="005F2BE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E762F7">
        <w:rPr>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029AE">
        <w:trPr>
          <w:jc w:val="center"/>
        </w:trPr>
        <w:tc>
          <w:tcPr>
            <w:tcW w:w="855" w:type="dxa"/>
            <w:vAlign w:val="center"/>
          </w:tcPr>
          <w:p w:rsidR="00C029AE" w:rsidRDefault="00ED0714">
            <w:pPr>
              <w:jc w:val="center"/>
            </w:pPr>
            <w:r>
              <w:rPr>
                <w:color w:val="000000"/>
                <w:sz w:val="24"/>
                <w:szCs w:val="24"/>
              </w:rPr>
              <w:t>1</w:t>
            </w:r>
          </w:p>
        </w:tc>
        <w:tc>
          <w:tcPr>
            <w:tcW w:w="1334" w:type="dxa"/>
            <w:vAlign w:val="center"/>
          </w:tcPr>
          <w:p w:rsidR="00C029AE" w:rsidRDefault="00ED0714">
            <w:pPr>
              <w:jc w:val="center"/>
            </w:pPr>
            <w:r>
              <w:rPr>
                <w:color w:val="000000"/>
                <w:sz w:val="24"/>
                <w:szCs w:val="24"/>
              </w:rPr>
              <w:t>300347</w:t>
            </w:r>
          </w:p>
        </w:tc>
        <w:tc>
          <w:tcPr>
            <w:tcW w:w="1777" w:type="dxa"/>
            <w:vAlign w:val="center"/>
          </w:tcPr>
          <w:p w:rsidR="00C029AE" w:rsidRDefault="00ED0714">
            <w:pPr>
              <w:jc w:val="center"/>
            </w:pPr>
            <w:r>
              <w:rPr>
                <w:color w:val="000000"/>
                <w:sz w:val="24"/>
                <w:szCs w:val="24"/>
              </w:rPr>
              <w:t>泰格医药</w:t>
            </w:r>
          </w:p>
        </w:tc>
        <w:tc>
          <w:tcPr>
            <w:tcW w:w="1334" w:type="dxa"/>
            <w:vAlign w:val="center"/>
          </w:tcPr>
          <w:p w:rsidR="00C029AE" w:rsidRDefault="00ED0714">
            <w:pPr>
              <w:jc w:val="right"/>
            </w:pPr>
            <w:r>
              <w:rPr>
                <w:color w:val="000000"/>
                <w:sz w:val="24"/>
                <w:szCs w:val="24"/>
              </w:rPr>
              <w:t>349,932</w:t>
            </w:r>
          </w:p>
        </w:tc>
        <w:tc>
          <w:tcPr>
            <w:tcW w:w="1924" w:type="dxa"/>
            <w:vAlign w:val="center"/>
          </w:tcPr>
          <w:p w:rsidR="00C029AE" w:rsidRDefault="00ED0714">
            <w:pPr>
              <w:jc w:val="right"/>
            </w:pPr>
            <w:r>
              <w:rPr>
                <w:color w:val="000000"/>
                <w:sz w:val="24"/>
                <w:szCs w:val="24"/>
              </w:rPr>
              <w:t>9,451,663.32</w:t>
            </w:r>
          </w:p>
        </w:tc>
        <w:tc>
          <w:tcPr>
            <w:tcW w:w="1644" w:type="dxa"/>
            <w:vAlign w:val="center"/>
          </w:tcPr>
          <w:p w:rsidR="00C029AE" w:rsidRDefault="00ED0714">
            <w:pPr>
              <w:jc w:val="right"/>
            </w:pPr>
            <w:r>
              <w:rPr>
                <w:color w:val="000000"/>
                <w:sz w:val="24"/>
                <w:szCs w:val="24"/>
              </w:rPr>
              <w:t>0.64</w:t>
            </w:r>
          </w:p>
        </w:tc>
      </w:tr>
      <w:tr w:rsidR="00C029AE">
        <w:trPr>
          <w:jc w:val="center"/>
        </w:trPr>
        <w:tc>
          <w:tcPr>
            <w:tcW w:w="855" w:type="dxa"/>
            <w:vAlign w:val="center"/>
          </w:tcPr>
          <w:p w:rsidR="00C029AE" w:rsidRDefault="00ED0714">
            <w:pPr>
              <w:jc w:val="center"/>
            </w:pPr>
            <w:r>
              <w:rPr>
                <w:color w:val="000000"/>
                <w:sz w:val="24"/>
                <w:szCs w:val="24"/>
              </w:rPr>
              <w:t>2</w:t>
            </w:r>
          </w:p>
        </w:tc>
        <w:tc>
          <w:tcPr>
            <w:tcW w:w="1334" w:type="dxa"/>
            <w:vAlign w:val="center"/>
          </w:tcPr>
          <w:p w:rsidR="00C029AE" w:rsidRDefault="00ED0714">
            <w:pPr>
              <w:jc w:val="center"/>
            </w:pPr>
            <w:r>
              <w:rPr>
                <w:color w:val="000000"/>
                <w:sz w:val="24"/>
                <w:szCs w:val="24"/>
              </w:rPr>
              <w:t>000411</w:t>
            </w:r>
          </w:p>
        </w:tc>
        <w:tc>
          <w:tcPr>
            <w:tcW w:w="1777" w:type="dxa"/>
            <w:vAlign w:val="center"/>
          </w:tcPr>
          <w:p w:rsidR="00C029AE" w:rsidRDefault="00ED0714">
            <w:pPr>
              <w:jc w:val="center"/>
            </w:pPr>
            <w:r>
              <w:rPr>
                <w:color w:val="000000"/>
                <w:sz w:val="24"/>
                <w:szCs w:val="24"/>
              </w:rPr>
              <w:t>英特集团</w:t>
            </w:r>
          </w:p>
        </w:tc>
        <w:tc>
          <w:tcPr>
            <w:tcW w:w="1334" w:type="dxa"/>
            <w:vAlign w:val="center"/>
          </w:tcPr>
          <w:p w:rsidR="00C029AE" w:rsidRDefault="00ED0714">
            <w:pPr>
              <w:jc w:val="right"/>
            </w:pPr>
            <w:r>
              <w:rPr>
                <w:color w:val="000000"/>
                <w:sz w:val="24"/>
                <w:szCs w:val="24"/>
              </w:rPr>
              <w:t>411,637</w:t>
            </w:r>
          </w:p>
        </w:tc>
        <w:tc>
          <w:tcPr>
            <w:tcW w:w="1924" w:type="dxa"/>
            <w:vAlign w:val="center"/>
          </w:tcPr>
          <w:p w:rsidR="00C029AE" w:rsidRDefault="00ED0714">
            <w:pPr>
              <w:jc w:val="right"/>
            </w:pPr>
            <w:r>
              <w:rPr>
                <w:color w:val="000000"/>
                <w:sz w:val="24"/>
                <w:szCs w:val="24"/>
              </w:rPr>
              <w:t>9,097,177.70</w:t>
            </w:r>
          </w:p>
        </w:tc>
        <w:tc>
          <w:tcPr>
            <w:tcW w:w="1644" w:type="dxa"/>
            <w:vAlign w:val="center"/>
          </w:tcPr>
          <w:p w:rsidR="00C029AE" w:rsidRDefault="00ED0714">
            <w:pPr>
              <w:jc w:val="right"/>
            </w:pPr>
            <w:r>
              <w:rPr>
                <w:color w:val="000000"/>
                <w:sz w:val="24"/>
                <w:szCs w:val="24"/>
              </w:rPr>
              <w:t>0.61</w:t>
            </w:r>
          </w:p>
        </w:tc>
      </w:tr>
      <w:tr w:rsidR="00C029AE">
        <w:trPr>
          <w:jc w:val="center"/>
        </w:trPr>
        <w:tc>
          <w:tcPr>
            <w:tcW w:w="855" w:type="dxa"/>
            <w:vAlign w:val="center"/>
          </w:tcPr>
          <w:p w:rsidR="00C029AE" w:rsidRDefault="00ED0714">
            <w:pPr>
              <w:jc w:val="center"/>
            </w:pPr>
            <w:r>
              <w:rPr>
                <w:color w:val="000000"/>
                <w:sz w:val="24"/>
                <w:szCs w:val="24"/>
              </w:rPr>
              <w:t>3</w:t>
            </w:r>
          </w:p>
        </w:tc>
        <w:tc>
          <w:tcPr>
            <w:tcW w:w="1334" w:type="dxa"/>
            <w:vAlign w:val="center"/>
          </w:tcPr>
          <w:p w:rsidR="00C029AE" w:rsidRDefault="00ED0714">
            <w:pPr>
              <w:jc w:val="center"/>
            </w:pPr>
            <w:r>
              <w:rPr>
                <w:color w:val="000000"/>
                <w:sz w:val="24"/>
                <w:szCs w:val="24"/>
              </w:rPr>
              <w:t>002065</w:t>
            </w:r>
          </w:p>
        </w:tc>
        <w:tc>
          <w:tcPr>
            <w:tcW w:w="1777" w:type="dxa"/>
            <w:vAlign w:val="center"/>
          </w:tcPr>
          <w:p w:rsidR="00C029AE" w:rsidRDefault="00ED0714">
            <w:pPr>
              <w:jc w:val="center"/>
            </w:pPr>
            <w:r>
              <w:rPr>
                <w:color w:val="000000"/>
                <w:sz w:val="24"/>
                <w:szCs w:val="24"/>
              </w:rPr>
              <w:t>东华软件</w:t>
            </w:r>
          </w:p>
        </w:tc>
        <w:tc>
          <w:tcPr>
            <w:tcW w:w="1334" w:type="dxa"/>
            <w:vAlign w:val="center"/>
          </w:tcPr>
          <w:p w:rsidR="00C029AE" w:rsidRDefault="00ED0714">
            <w:pPr>
              <w:jc w:val="right"/>
            </w:pPr>
            <w:r>
              <w:rPr>
                <w:color w:val="000000"/>
                <w:sz w:val="24"/>
                <w:szCs w:val="24"/>
              </w:rPr>
              <w:t>220,000</w:t>
            </w:r>
          </w:p>
        </w:tc>
        <w:tc>
          <w:tcPr>
            <w:tcW w:w="1924" w:type="dxa"/>
            <w:vAlign w:val="center"/>
          </w:tcPr>
          <w:p w:rsidR="00C029AE" w:rsidRDefault="00ED0714">
            <w:pPr>
              <w:jc w:val="right"/>
            </w:pPr>
            <w:r>
              <w:rPr>
                <w:color w:val="000000"/>
                <w:sz w:val="24"/>
                <w:szCs w:val="24"/>
              </w:rPr>
              <w:t>5,126,000.00</w:t>
            </w:r>
          </w:p>
        </w:tc>
        <w:tc>
          <w:tcPr>
            <w:tcW w:w="1644" w:type="dxa"/>
            <w:vAlign w:val="center"/>
          </w:tcPr>
          <w:p w:rsidR="00C029AE" w:rsidRDefault="00ED0714">
            <w:pPr>
              <w:jc w:val="right"/>
            </w:pPr>
            <w:r>
              <w:rPr>
                <w:color w:val="000000"/>
                <w:sz w:val="24"/>
                <w:szCs w:val="24"/>
              </w:rPr>
              <w:t>0.35</w:t>
            </w:r>
          </w:p>
        </w:tc>
      </w:tr>
      <w:tr w:rsidR="00C029AE">
        <w:trPr>
          <w:jc w:val="center"/>
        </w:trPr>
        <w:tc>
          <w:tcPr>
            <w:tcW w:w="855" w:type="dxa"/>
            <w:vAlign w:val="center"/>
          </w:tcPr>
          <w:p w:rsidR="00C029AE" w:rsidRDefault="00ED0714">
            <w:pPr>
              <w:jc w:val="center"/>
            </w:pPr>
            <w:r>
              <w:rPr>
                <w:color w:val="000000"/>
                <w:sz w:val="24"/>
                <w:szCs w:val="24"/>
              </w:rPr>
              <w:t>4</w:t>
            </w:r>
          </w:p>
        </w:tc>
        <w:tc>
          <w:tcPr>
            <w:tcW w:w="1334" w:type="dxa"/>
            <w:vAlign w:val="center"/>
          </w:tcPr>
          <w:p w:rsidR="00C029AE" w:rsidRDefault="00ED0714">
            <w:pPr>
              <w:jc w:val="center"/>
            </w:pPr>
            <w:r>
              <w:rPr>
                <w:color w:val="000000"/>
                <w:sz w:val="24"/>
                <w:szCs w:val="24"/>
              </w:rPr>
              <w:t>002659</w:t>
            </w:r>
          </w:p>
        </w:tc>
        <w:tc>
          <w:tcPr>
            <w:tcW w:w="1777" w:type="dxa"/>
            <w:vAlign w:val="center"/>
          </w:tcPr>
          <w:p w:rsidR="00C029AE" w:rsidRDefault="00ED0714">
            <w:pPr>
              <w:jc w:val="center"/>
            </w:pPr>
            <w:r>
              <w:rPr>
                <w:color w:val="000000"/>
                <w:sz w:val="24"/>
                <w:szCs w:val="24"/>
              </w:rPr>
              <w:t>中泰桥梁</w:t>
            </w:r>
          </w:p>
        </w:tc>
        <w:tc>
          <w:tcPr>
            <w:tcW w:w="1334" w:type="dxa"/>
            <w:vAlign w:val="center"/>
          </w:tcPr>
          <w:p w:rsidR="00C029AE" w:rsidRDefault="00ED0714">
            <w:pPr>
              <w:jc w:val="right"/>
            </w:pPr>
            <w:r>
              <w:rPr>
                <w:color w:val="000000"/>
                <w:sz w:val="24"/>
                <w:szCs w:val="24"/>
              </w:rPr>
              <w:t>220,000</w:t>
            </w:r>
          </w:p>
        </w:tc>
        <w:tc>
          <w:tcPr>
            <w:tcW w:w="1924" w:type="dxa"/>
            <w:vAlign w:val="center"/>
          </w:tcPr>
          <w:p w:rsidR="00C029AE" w:rsidRDefault="00ED0714">
            <w:pPr>
              <w:jc w:val="right"/>
            </w:pPr>
            <w:r>
              <w:rPr>
                <w:color w:val="000000"/>
                <w:sz w:val="24"/>
                <w:szCs w:val="24"/>
              </w:rPr>
              <w:t>5,075,400.00</w:t>
            </w:r>
          </w:p>
        </w:tc>
        <w:tc>
          <w:tcPr>
            <w:tcW w:w="1644" w:type="dxa"/>
            <w:vAlign w:val="center"/>
          </w:tcPr>
          <w:p w:rsidR="00C029AE" w:rsidRDefault="00ED0714">
            <w:pPr>
              <w:jc w:val="right"/>
            </w:pPr>
            <w:r>
              <w:rPr>
                <w:color w:val="000000"/>
                <w:sz w:val="24"/>
                <w:szCs w:val="24"/>
              </w:rPr>
              <w:t>0.34</w:t>
            </w:r>
          </w:p>
        </w:tc>
      </w:tr>
      <w:tr w:rsidR="00C029AE">
        <w:trPr>
          <w:jc w:val="center"/>
        </w:trPr>
        <w:tc>
          <w:tcPr>
            <w:tcW w:w="855" w:type="dxa"/>
            <w:vAlign w:val="center"/>
          </w:tcPr>
          <w:p w:rsidR="00C029AE" w:rsidRDefault="00ED0714">
            <w:pPr>
              <w:jc w:val="center"/>
            </w:pPr>
            <w:r>
              <w:rPr>
                <w:color w:val="000000"/>
                <w:sz w:val="24"/>
                <w:szCs w:val="24"/>
              </w:rPr>
              <w:t>5</w:t>
            </w:r>
          </w:p>
        </w:tc>
        <w:tc>
          <w:tcPr>
            <w:tcW w:w="1334" w:type="dxa"/>
            <w:vAlign w:val="center"/>
          </w:tcPr>
          <w:p w:rsidR="00C029AE" w:rsidRDefault="00ED0714">
            <w:pPr>
              <w:jc w:val="center"/>
            </w:pPr>
            <w:r>
              <w:rPr>
                <w:color w:val="000000"/>
                <w:sz w:val="24"/>
                <w:szCs w:val="24"/>
              </w:rPr>
              <w:t>000423</w:t>
            </w:r>
          </w:p>
        </w:tc>
        <w:tc>
          <w:tcPr>
            <w:tcW w:w="1777" w:type="dxa"/>
            <w:vAlign w:val="center"/>
          </w:tcPr>
          <w:p w:rsidR="00C029AE" w:rsidRDefault="00ED0714">
            <w:pPr>
              <w:jc w:val="center"/>
            </w:pPr>
            <w:r>
              <w:rPr>
                <w:color w:val="000000"/>
                <w:sz w:val="24"/>
                <w:szCs w:val="24"/>
              </w:rPr>
              <w:t>东阿阿胶</w:t>
            </w:r>
          </w:p>
        </w:tc>
        <w:tc>
          <w:tcPr>
            <w:tcW w:w="1334" w:type="dxa"/>
            <w:vAlign w:val="center"/>
          </w:tcPr>
          <w:p w:rsidR="00C029AE" w:rsidRDefault="00ED0714">
            <w:pPr>
              <w:jc w:val="right"/>
            </w:pPr>
            <w:r>
              <w:rPr>
                <w:color w:val="000000"/>
                <w:sz w:val="24"/>
                <w:szCs w:val="24"/>
              </w:rPr>
              <w:t>85,983</w:t>
            </w:r>
          </w:p>
        </w:tc>
        <w:tc>
          <w:tcPr>
            <w:tcW w:w="1924" w:type="dxa"/>
            <w:vAlign w:val="center"/>
          </w:tcPr>
          <w:p w:rsidR="00C029AE" w:rsidRDefault="00ED0714">
            <w:pPr>
              <w:jc w:val="right"/>
            </w:pPr>
            <w:r>
              <w:rPr>
                <w:color w:val="000000"/>
                <w:sz w:val="24"/>
                <w:szCs w:val="24"/>
              </w:rPr>
              <w:t>4,631,904.21</w:t>
            </w:r>
          </w:p>
        </w:tc>
        <w:tc>
          <w:tcPr>
            <w:tcW w:w="1644" w:type="dxa"/>
            <w:vAlign w:val="center"/>
          </w:tcPr>
          <w:p w:rsidR="00C029AE" w:rsidRDefault="00ED0714">
            <w:pPr>
              <w:jc w:val="right"/>
            </w:pPr>
            <w:r>
              <w:rPr>
                <w:color w:val="000000"/>
                <w:sz w:val="24"/>
                <w:szCs w:val="24"/>
              </w:rPr>
              <w:t>0.31</w:t>
            </w:r>
          </w:p>
        </w:tc>
      </w:tr>
      <w:tr w:rsidR="00C029AE">
        <w:trPr>
          <w:jc w:val="center"/>
        </w:trPr>
        <w:tc>
          <w:tcPr>
            <w:tcW w:w="855" w:type="dxa"/>
            <w:vAlign w:val="center"/>
          </w:tcPr>
          <w:p w:rsidR="00C029AE" w:rsidRDefault="00ED0714">
            <w:pPr>
              <w:jc w:val="center"/>
            </w:pPr>
            <w:r>
              <w:rPr>
                <w:color w:val="000000"/>
                <w:sz w:val="24"/>
                <w:szCs w:val="24"/>
              </w:rPr>
              <w:t>6</w:t>
            </w:r>
          </w:p>
        </w:tc>
        <w:tc>
          <w:tcPr>
            <w:tcW w:w="1334" w:type="dxa"/>
            <w:vAlign w:val="center"/>
          </w:tcPr>
          <w:p w:rsidR="00C029AE" w:rsidRDefault="00ED0714">
            <w:pPr>
              <w:jc w:val="center"/>
            </w:pPr>
            <w:r>
              <w:rPr>
                <w:color w:val="000000"/>
                <w:sz w:val="24"/>
                <w:szCs w:val="24"/>
              </w:rPr>
              <w:t>001696</w:t>
            </w:r>
          </w:p>
        </w:tc>
        <w:tc>
          <w:tcPr>
            <w:tcW w:w="1777" w:type="dxa"/>
            <w:vAlign w:val="center"/>
          </w:tcPr>
          <w:p w:rsidR="00C029AE" w:rsidRDefault="00ED0714">
            <w:pPr>
              <w:jc w:val="center"/>
            </w:pPr>
            <w:r>
              <w:rPr>
                <w:color w:val="000000"/>
                <w:sz w:val="24"/>
                <w:szCs w:val="24"/>
              </w:rPr>
              <w:t>宗申动力</w:t>
            </w:r>
          </w:p>
        </w:tc>
        <w:tc>
          <w:tcPr>
            <w:tcW w:w="1334" w:type="dxa"/>
            <w:vAlign w:val="center"/>
          </w:tcPr>
          <w:p w:rsidR="00C029AE" w:rsidRDefault="00ED0714">
            <w:pPr>
              <w:jc w:val="right"/>
            </w:pPr>
            <w:r>
              <w:rPr>
                <w:color w:val="000000"/>
                <w:sz w:val="24"/>
                <w:szCs w:val="24"/>
              </w:rPr>
              <w:t>380,000</w:t>
            </w:r>
          </w:p>
        </w:tc>
        <w:tc>
          <w:tcPr>
            <w:tcW w:w="1924" w:type="dxa"/>
            <w:vAlign w:val="center"/>
          </w:tcPr>
          <w:p w:rsidR="00C029AE" w:rsidRDefault="00ED0714">
            <w:pPr>
              <w:jc w:val="right"/>
            </w:pPr>
            <w:r>
              <w:rPr>
                <w:color w:val="000000"/>
                <w:sz w:val="24"/>
                <w:szCs w:val="24"/>
              </w:rPr>
              <w:t>3,572,000.00</w:t>
            </w:r>
          </w:p>
        </w:tc>
        <w:tc>
          <w:tcPr>
            <w:tcW w:w="1644" w:type="dxa"/>
            <w:vAlign w:val="center"/>
          </w:tcPr>
          <w:p w:rsidR="00C029AE" w:rsidRDefault="00ED0714">
            <w:pPr>
              <w:jc w:val="right"/>
            </w:pPr>
            <w:r>
              <w:rPr>
                <w:color w:val="000000"/>
                <w:sz w:val="24"/>
                <w:szCs w:val="24"/>
              </w:rPr>
              <w:t>0.24</w:t>
            </w:r>
          </w:p>
        </w:tc>
      </w:tr>
      <w:tr w:rsidR="00C029AE">
        <w:trPr>
          <w:jc w:val="center"/>
        </w:trPr>
        <w:tc>
          <w:tcPr>
            <w:tcW w:w="855" w:type="dxa"/>
            <w:vAlign w:val="center"/>
          </w:tcPr>
          <w:p w:rsidR="00C029AE" w:rsidRDefault="00ED0714">
            <w:pPr>
              <w:jc w:val="center"/>
            </w:pPr>
            <w:r>
              <w:rPr>
                <w:color w:val="000000"/>
                <w:sz w:val="24"/>
                <w:szCs w:val="24"/>
              </w:rPr>
              <w:t>7</w:t>
            </w:r>
          </w:p>
        </w:tc>
        <w:tc>
          <w:tcPr>
            <w:tcW w:w="1334" w:type="dxa"/>
            <w:vAlign w:val="center"/>
          </w:tcPr>
          <w:p w:rsidR="00C029AE" w:rsidRDefault="00ED0714">
            <w:pPr>
              <w:jc w:val="center"/>
            </w:pPr>
            <w:r>
              <w:rPr>
                <w:color w:val="000000"/>
                <w:sz w:val="24"/>
                <w:szCs w:val="24"/>
              </w:rPr>
              <w:t>603986</w:t>
            </w:r>
          </w:p>
        </w:tc>
        <w:tc>
          <w:tcPr>
            <w:tcW w:w="1777" w:type="dxa"/>
            <w:vAlign w:val="center"/>
          </w:tcPr>
          <w:p w:rsidR="00C029AE" w:rsidRDefault="00ED0714">
            <w:pPr>
              <w:jc w:val="center"/>
            </w:pPr>
            <w:r>
              <w:rPr>
                <w:color w:val="000000"/>
                <w:sz w:val="24"/>
                <w:szCs w:val="24"/>
              </w:rPr>
              <w:t>兆易创新</w:t>
            </w:r>
          </w:p>
        </w:tc>
        <w:tc>
          <w:tcPr>
            <w:tcW w:w="1334" w:type="dxa"/>
            <w:vAlign w:val="center"/>
          </w:tcPr>
          <w:p w:rsidR="00C029AE" w:rsidRDefault="00ED0714">
            <w:pPr>
              <w:jc w:val="right"/>
            </w:pPr>
            <w:r>
              <w:rPr>
                <w:color w:val="000000"/>
                <w:sz w:val="24"/>
                <w:szCs w:val="24"/>
              </w:rPr>
              <w:t>1,133</w:t>
            </w:r>
          </w:p>
        </w:tc>
        <w:tc>
          <w:tcPr>
            <w:tcW w:w="1924" w:type="dxa"/>
            <w:vAlign w:val="center"/>
          </w:tcPr>
          <w:p w:rsidR="00C029AE" w:rsidRDefault="00ED0714">
            <w:pPr>
              <w:jc w:val="right"/>
            </w:pPr>
            <w:r>
              <w:rPr>
                <w:color w:val="000000"/>
                <w:sz w:val="24"/>
                <w:szCs w:val="24"/>
              </w:rPr>
              <w:t>201,640.01</w:t>
            </w:r>
          </w:p>
        </w:tc>
        <w:tc>
          <w:tcPr>
            <w:tcW w:w="1644" w:type="dxa"/>
            <w:vAlign w:val="center"/>
          </w:tcPr>
          <w:p w:rsidR="00C029AE" w:rsidRDefault="00ED0714">
            <w:pPr>
              <w:jc w:val="right"/>
            </w:pPr>
            <w:r>
              <w:rPr>
                <w:color w:val="000000"/>
                <w:sz w:val="24"/>
                <w:szCs w:val="24"/>
              </w:rPr>
              <w:t>0.01</w:t>
            </w:r>
          </w:p>
        </w:tc>
      </w:tr>
      <w:tr w:rsidR="00C029AE">
        <w:trPr>
          <w:jc w:val="center"/>
        </w:trPr>
        <w:tc>
          <w:tcPr>
            <w:tcW w:w="855" w:type="dxa"/>
            <w:vAlign w:val="center"/>
          </w:tcPr>
          <w:p w:rsidR="00C029AE" w:rsidRDefault="00ED0714">
            <w:pPr>
              <w:jc w:val="center"/>
            </w:pPr>
            <w:r>
              <w:rPr>
                <w:color w:val="000000"/>
                <w:sz w:val="24"/>
                <w:szCs w:val="24"/>
              </w:rPr>
              <w:t>8</w:t>
            </w:r>
          </w:p>
        </w:tc>
        <w:tc>
          <w:tcPr>
            <w:tcW w:w="1334" w:type="dxa"/>
            <w:vAlign w:val="center"/>
          </w:tcPr>
          <w:p w:rsidR="00C029AE" w:rsidRDefault="00ED0714">
            <w:pPr>
              <w:jc w:val="center"/>
            </w:pPr>
            <w:r>
              <w:rPr>
                <w:color w:val="000000"/>
                <w:sz w:val="24"/>
                <w:szCs w:val="24"/>
              </w:rPr>
              <w:t>002826</w:t>
            </w:r>
          </w:p>
        </w:tc>
        <w:tc>
          <w:tcPr>
            <w:tcW w:w="1777" w:type="dxa"/>
            <w:vAlign w:val="center"/>
          </w:tcPr>
          <w:p w:rsidR="00C029AE" w:rsidRDefault="00ED0714">
            <w:pPr>
              <w:jc w:val="center"/>
            </w:pPr>
            <w:r>
              <w:rPr>
                <w:color w:val="000000"/>
                <w:sz w:val="24"/>
                <w:szCs w:val="24"/>
              </w:rPr>
              <w:t>易明医药</w:t>
            </w:r>
          </w:p>
        </w:tc>
        <w:tc>
          <w:tcPr>
            <w:tcW w:w="1334" w:type="dxa"/>
            <w:vAlign w:val="center"/>
          </w:tcPr>
          <w:p w:rsidR="00C029AE" w:rsidRDefault="00ED0714">
            <w:pPr>
              <w:jc w:val="right"/>
            </w:pPr>
            <w:r>
              <w:rPr>
                <w:color w:val="000000"/>
                <w:sz w:val="24"/>
                <w:szCs w:val="24"/>
              </w:rPr>
              <w:t>2,181</w:t>
            </w:r>
          </w:p>
        </w:tc>
        <w:tc>
          <w:tcPr>
            <w:tcW w:w="1924" w:type="dxa"/>
            <w:vAlign w:val="center"/>
          </w:tcPr>
          <w:p w:rsidR="00C029AE" w:rsidRDefault="00ED0714">
            <w:pPr>
              <w:jc w:val="right"/>
            </w:pPr>
            <w:r>
              <w:rPr>
                <w:color w:val="000000"/>
                <w:sz w:val="24"/>
                <w:szCs w:val="24"/>
              </w:rPr>
              <w:t>57,316.68</w:t>
            </w:r>
          </w:p>
        </w:tc>
        <w:tc>
          <w:tcPr>
            <w:tcW w:w="1644" w:type="dxa"/>
            <w:vAlign w:val="center"/>
          </w:tcPr>
          <w:p w:rsidR="00C029AE" w:rsidRDefault="00ED0714">
            <w:pPr>
              <w:jc w:val="right"/>
            </w:pPr>
            <w:r>
              <w:rPr>
                <w:color w:val="000000"/>
                <w:sz w:val="24"/>
                <w:szCs w:val="24"/>
              </w:rPr>
              <w:t>0.00</w:t>
            </w:r>
          </w:p>
        </w:tc>
      </w:tr>
      <w:tr w:rsidR="00C029AE">
        <w:trPr>
          <w:jc w:val="center"/>
        </w:trPr>
        <w:tc>
          <w:tcPr>
            <w:tcW w:w="855" w:type="dxa"/>
            <w:vAlign w:val="center"/>
          </w:tcPr>
          <w:p w:rsidR="00C029AE" w:rsidRDefault="00ED0714">
            <w:pPr>
              <w:jc w:val="center"/>
            </w:pPr>
            <w:r>
              <w:rPr>
                <w:color w:val="000000"/>
                <w:sz w:val="24"/>
                <w:szCs w:val="24"/>
              </w:rPr>
              <w:t>9</w:t>
            </w:r>
          </w:p>
        </w:tc>
        <w:tc>
          <w:tcPr>
            <w:tcW w:w="1334" w:type="dxa"/>
            <w:vAlign w:val="center"/>
          </w:tcPr>
          <w:p w:rsidR="00C029AE" w:rsidRDefault="00ED0714">
            <w:pPr>
              <w:jc w:val="center"/>
            </w:pPr>
            <w:r>
              <w:rPr>
                <w:color w:val="000000"/>
                <w:sz w:val="24"/>
                <w:szCs w:val="24"/>
              </w:rPr>
              <w:t>300582</w:t>
            </w:r>
          </w:p>
        </w:tc>
        <w:tc>
          <w:tcPr>
            <w:tcW w:w="1777" w:type="dxa"/>
            <w:vAlign w:val="center"/>
          </w:tcPr>
          <w:p w:rsidR="00C029AE" w:rsidRDefault="00ED0714">
            <w:pPr>
              <w:jc w:val="center"/>
            </w:pPr>
            <w:r>
              <w:rPr>
                <w:color w:val="000000"/>
                <w:sz w:val="24"/>
                <w:szCs w:val="24"/>
              </w:rPr>
              <w:t>英飞特</w:t>
            </w:r>
          </w:p>
        </w:tc>
        <w:tc>
          <w:tcPr>
            <w:tcW w:w="1334" w:type="dxa"/>
            <w:vAlign w:val="center"/>
          </w:tcPr>
          <w:p w:rsidR="00C029AE" w:rsidRDefault="00ED0714">
            <w:pPr>
              <w:jc w:val="right"/>
            </w:pPr>
            <w:r>
              <w:rPr>
                <w:color w:val="000000"/>
                <w:sz w:val="24"/>
                <w:szCs w:val="24"/>
              </w:rPr>
              <w:t>1,359</w:t>
            </w:r>
          </w:p>
        </w:tc>
        <w:tc>
          <w:tcPr>
            <w:tcW w:w="1924" w:type="dxa"/>
            <w:vAlign w:val="center"/>
          </w:tcPr>
          <w:p w:rsidR="00C029AE" w:rsidRDefault="00ED0714">
            <w:pPr>
              <w:jc w:val="right"/>
            </w:pPr>
            <w:r>
              <w:rPr>
                <w:color w:val="000000"/>
                <w:sz w:val="24"/>
                <w:szCs w:val="24"/>
              </w:rPr>
              <w:t>35,157.33</w:t>
            </w:r>
          </w:p>
        </w:tc>
        <w:tc>
          <w:tcPr>
            <w:tcW w:w="1644" w:type="dxa"/>
            <w:vAlign w:val="center"/>
          </w:tcPr>
          <w:p w:rsidR="00C029AE" w:rsidRDefault="00ED0714">
            <w:pPr>
              <w:jc w:val="right"/>
            </w:pPr>
            <w:r>
              <w:rPr>
                <w:color w:val="000000"/>
                <w:sz w:val="24"/>
                <w:szCs w:val="24"/>
              </w:rPr>
              <w:t>0.00</w:t>
            </w:r>
          </w:p>
        </w:tc>
      </w:tr>
      <w:tr w:rsidR="00C029AE">
        <w:trPr>
          <w:jc w:val="center"/>
        </w:trPr>
        <w:tc>
          <w:tcPr>
            <w:tcW w:w="855" w:type="dxa"/>
            <w:vAlign w:val="center"/>
          </w:tcPr>
          <w:p w:rsidR="00C029AE" w:rsidRDefault="00ED0714">
            <w:pPr>
              <w:jc w:val="center"/>
            </w:pPr>
            <w:r>
              <w:rPr>
                <w:color w:val="000000"/>
                <w:sz w:val="24"/>
                <w:szCs w:val="24"/>
              </w:rPr>
              <w:t>10</w:t>
            </w:r>
          </w:p>
        </w:tc>
        <w:tc>
          <w:tcPr>
            <w:tcW w:w="1334" w:type="dxa"/>
            <w:vAlign w:val="center"/>
          </w:tcPr>
          <w:p w:rsidR="00C029AE" w:rsidRDefault="00ED0714">
            <w:pPr>
              <w:jc w:val="center"/>
            </w:pPr>
            <w:r>
              <w:rPr>
                <w:color w:val="000000"/>
                <w:sz w:val="24"/>
                <w:szCs w:val="24"/>
              </w:rPr>
              <w:t>002835</w:t>
            </w:r>
          </w:p>
        </w:tc>
        <w:tc>
          <w:tcPr>
            <w:tcW w:w="1777" w:type="dxa"/>
            <w:vAlign w:val="center"/>
          </w:tcPr>
          <w:p w:rsidR="00C029AE" w:rsidRDefault="00ED0714">
            <w:pPr>
              <w:jc w:val="center"/>
            </w:pPr>
            <w:r>
              <w:rPr>
                <w:color w:val="000000"/>
                <w:sz w:val="24"/>
                <w:szCs w:val="24"/>
              </w:rPr>
              <w:t>同为股份</w:t>
            </w:r>
          </w:p>
        </w:tc>
        <w:tc>
          <w:tcPr>
            <w:tcW w:w="1334" w:type="dxa"/>
            <w:vAlign w:val="center"/>
          </w:tcPr>
          <w:p w:rsidR="00C029AE" w:rsidRDefault="00ED0714">
            <w:pPr>
              <w:jc w:val="right"/>
            </w:pPr>
            <w:r>
              <w:rPr>
                <w:color w:val="000000"/>
                <w:sz w:val="24"/>
                <w:szCs w:val="24"/>
              </w:rPr>
              <w:t>1,126</w:t>
            </w:r>
          </w:p>
        </w:tc>
        <w:tc>
          <w:tcPr>
            <w:tcW w:w="1924" w:type="dxa"/>
            <w:vAlign w:val="center"/>
          </w:tcPr>
          <w:p w:rsidR="00C029AE" w:rsidRDefault="00ED0714">
            <w:pPr>
              <w:jc w:val="right"/>
            </w:pPr>
            <w:r>
              <w:rPr>
                <w:color w:val="000000"/>
                <w:sz w:val="24"/>
                <w:szCs w:val="24"/>
              </w:rPr>
              <w:t>24,220.26</w:t>
            </w:r>
          </w:p>
        </w:tc>
        <w:tc>
          <w:tcPr>
            <w:tcW w:w="1644" w:type="dxa"/>
            <w:vAlign w:val="center"/>
          </w:tcPr>
          <w:p w:rsidR="00C029AE" w:rsidRDefault="00ED0714">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89,883,000.00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453,587,000.00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453,587,000.00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315,755,000.00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619,213,000.00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41.73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591,933,000.00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39.89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2,070,371,000.00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139.53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029AE">
        <w:trPr>
          <w:jc w:val="center"/>
        </w:trPr>
        <w:tc>
          <w:tcPr>
            <w:tcW w:w="850" w:type="dxa"/>
            <w:vAlign w:val="center"/>
          </w:tcPr>
          <w:p w:rsidR="00C029AE" w:rsidRDefault="00ED0714">
            <w:pPr>
              <w:jc w:val="center"/>
            </w:pPr>
            <w:r>
              <w:rPr>
                <w:color w:val="000000"/>
                <w:sz w:val="24"/>
                <w:szCs w:val="24"/>
              </w:rPr>
              <w:t>1</w:t>
            </w:r>
          </w:p>
        </w:tc>
        <w:tc>
          <w:tcPr>
            <w:tcW w:w="1475" w:type="dxa"/>
            <w:vAlign w:val="center"/>
          </w:tcPr>
          <w:p w:rsidR="00C029AE" w:rsidRDefault="00ED0714">
            <w:pPr>
              <w:jc w:val="center"/>
            </w:pPr>
            <w:r>
              <w:rPr>
                <w:color w:val="000000"/>
                <w:sz w:val="24"/>
                <w:szCs w:val="24"/>
              </w:rPr>
              <w:t>150309</w:t>
            </w:r>
          </w:p>
        </w:tc>
        <w:tc>
          <w:tcPr>
            <w:tcW w:w="1769" w:type="dxa"/>
            <w:vAlign w:val="center"/>
          </w:tcPr>
          <w:p w:rsidR="00C029AE" w:rsidRDefault="00ED0714">
            <w:pPr>
              <w:jc w:val="center"/>
            </w:pPr>
            <w:r>
              <w:rPr>
                <w:color w:val="000000"/>
                <w:sz w:val="24"/>
                <w:szCs w:val="24"/>
              </w:rPr>
              <w:t>15</w:t>
            </w:r>
            <w:r>
              <w:rPr>
                <w:color w:val="000000"/>
                <w:sz w:val="24"/>
                <w:szCs w:val="24"/>
              </w:rPr>
              <w:t>进出</w:t>
            </w:r>
            <w:r>
              <w:rPr>
                <w:color w:val="000000"/>
                <w:sz w:val="24"/>
                <w:szCs w:val="24"/>
              </w:rPr>
              <w:t>09</w:t>
            </w:r>
          </w:p>
        </w:tc>
        <w:tc>
          <w:tcPr>
            <w:tcW w:w="1387" w:type="dxa"/>
            <w:vAlign w:val="center"/>
          </w:tcPr>
          <w:p w:rsidR="00C029AE" w:rsidRDefault="00ED0714">
            <w:pPr>
              <w:jc w:val="right"/>
            </w:pPr>
            <w:r>
              <w:rPr>
                <w:color w:val="000000"/>
                <w:sz w:val="24"/>
                <w:szCs w:val="24"/>
              </w:rPr>
              <w:t>1,500,000</w:t>
            </w:r>
          </w:p>
        </w:tc>
        <w:tc>
          <w:tcPr>
            <w:tcW w:w="2150" w:type="dxa"/>
            <w:vAlign w:val="center"/>
          </w:tcPr>
          <w:p w:rsidR="00C029AE" w:rsidRDefault="00ED0714">
            <w:pPr>
              <w:jc w:val="right"/>
            </w:pPr>
            <w:r>
              <w:rPr>
                <w:color w:val="000000"/>
                <w:sz w:val="24"/>
                <w:szCs w:val="24"/>
              </w:rPr>
              <w:t>150,945,000.00</w:t>
            </w:r>
          </w:p>
        </w:tc>
        <w:tc>
          <w:tcPr>
            <w:tcW w:w="1237" w:type="dxa"/>
            <w:vAlign w:val="center"/>
          </w:tcPr>
          <w:p w:rsidR="00C029AE" w:rsidRDefault="00ED0714">
            <w:pPr>
              <w:jc w:val="right"/>
            </w:pPr>
            <w:r>
              <w:rPr>
                <w:color w:val="000000"/>
                <w:sz w:val="24"/>
                <w:szCs w:val="24"/>
              </w:rPr>
              <w:t>10.17</w:t>
            </w:r>
          </w:p>
        </w:tc>
      </w:tr>
      <w:tr w:rsidR="00C029AE">
        <w:trPr>
          <w:jc w:val="center"/>
        </w:trPr>
        <w:tc>
          <w:tcPr>
            <w:tcW w:w="850" w:type="dxa"/>
            <w:vAlign w:val="center"/>
          </w:tcPr>
          <w:p w:rsidR="00C029AE" w:rsidRDefault="00ED0714">
            <w:pPr>
              <w:jc w:val="center"/>
            </w:pPr>
            <w:r>
              <w:rPr>
                <w:color w:val="000000"/>
                <w:sz w:val="24"/>
                <w:szCs w:val="24"/>
              </w:rPr>
              <w:t>2</w:t>
            </w:r>
          </w:p>
        </w:tc>
        <w:tc>
          <w:tcPr>
            <w:tcW w:w="1475" w:type="dxa"/>
            <w:vAlign w:val="center"/>
          </w:tcPr>
          <w:p w:rsidR="00C029AE" w:rsidRDefault="00ED0714">
            <w:pPr>
              <w:jc w:val="center"/>
            </w:pPr>
            <w:r>
              <w:rPr>
                <w:color w:val="000000"/>
                <w:sz w:val="24"/>
                <w:szCs w:val="24"/>
              </w:rPr>
              <w:t>1180093</w:t>
            </w:r>
          </w:p>
        </w:tc>
        <w:tc>
          <w:tcPr>
            <w:tcW w:w="1769" w:type="dxa"/>
            <w:vAlign w:val="center"/>
          </w:tcPr>
          <w:p w:rsidR="00C029AE" w:rsidRDefault="00ED0714">
            <w:pPr>
              <w:jc w:val="center"/>
            </w:pPr>
            <w:r>
              <w:rPr>
                <w:color w:val="000000"/>
                <w:sz w:val="24"/>
                <w:szCs w:val="24"/>
              </w:rPr>
              <w:t>11</w:t>
            </w:r>
            <w:r>
              <w:rPr>
                <w:color w:val="000000"/>
                <w:sz w:val="24"/>
                <w:szCs w:val="24"/>
              </w:rPr>
              <w:t>丰国资债</w:t>
            </w:r>
          </w:p>
        </w:tc>
        <w:tc>
          <w:tcPr>
            <w:tcW w:w="1387" w:type="dxa"/>
            <w:vAlign w:val="center"/>
          </w:tcPr>
          <w:p w:rsidR="00C029AE" w:rsidRDefault="00ED0714">
            <w:pPr>
              <w:jc w:val="right"/>
            </w:pPr>
            <w:r>
              <w:rPr>
                <w:color w:val="000000"/>
                <w:sz w:val="24"/>
                <w:szCs w:val="24"/>
              </w:rPr>
              <w:t>1,300,000</w:t>
            </w:r>
          </w:p>
        </w:tc>
        <w:tc>
          <w:tcPr>
            <w:tcW w:w="2150" w:type="dxa"/>
            <w:vAlign w:val="center"/>
          </w:tcPr>
          <w:p w:rsidR="00C029AE" w:rsidRDefault="00ED0714">
            <w:pPr>
              <w:jc w:val="right"/>
            </w:pPr>
            <w:r>
              <w:rPr>
                <w:color w:val="000000"/>
                <w:sz w:val="24"/>
                <w:szCs w:val="24"/>
              </w:rPr>
              <w:t>132,964,000.00</w:t>
            </w:r>
          </w:p>
        </w:tc>
        <w:tc>
          <w:tcPr>
            <w:tcW w:w="1237" w:type="dxa"/>
            <w:vAlign w:val="center"/>
          </w:tcPr>
          <w:p w:rsidR="00C029AE" w:rsidRDefault="00ED0714">
            <w:pPr>
              <w:jc w:val="right"/>
            </w:pPr>
            <w:r>
              <w:rPr>
                <w:color w:val="000000"/>
                <w:sz w:val="24"/>
                <w:szCs w:val="24"/>
              </w:rPr>
              <w:t>8.96</w:t>
            </w:r>
          </w:p>
        </w:tc>
      </w:tr>
      <w:tr w:rsidR="00C029AE">
        <w:trPr>
          <w:jc w:val="center"/>
        </w:trPr>
        <w:tc>
          <w:tcPr>
            <w:tcW w:w="850" w:type="dxa"/>
            <w:vAlign w:val="center"/>
          </w:tcPr>
          <w:p w:rsidR="00C029AE" w:rsidRDefault="00ED0714">
            <w:pPr>
              <w:jc w:val="center"/>
            </w:pPr>
            <w:r>
              <w:rPr>
                <w:color w:val="000000"/>
                <w:sz w:val="24"/>
                <w:szCs w:val="24"/>
              </w:rPr>
              <w:t>3</w:t>
            </w:r>
          </w:p>
        </w:tc>
        <w:tc>
          <w:tcPr>
            <w:tcW w:w="1475" w:type="dxa"/>
            <w:vAlign w:val="center"/>
          </w:tcPr>
          <w:p w:rsidR="00C029AE" w:rsidRDefault="00ED0714">
            <w:pPr>
              <w:jc w:val="center"/>
            </w:pPr>
            <w:r>
              <w:rPr>
                <w:color w:val="000000"/>
                <w:sz w:val="24"/>
                <w:szCs w:val="24"/>
              </w:rPr>
              <w:t>150418</w:t>
            </w:r>
          </w:p>
        </w:tc>
        <w:tc>
          <w:tcPr>
            <w:tcW w:w="1769" w:type="dxa"/>
            <w:vAlign w:val="center"/>
          </w:tcPr>
          <w:p w:rsidR="00C029AE" w:rsidRDefault="00ED0714">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C029AE" w:rsidRDefault="00ED0714">
            <w:pPr>
              <w:jc w:val="right"/>
            </w:pPr>
            <w:r>
              <w:rPr>
                <w:color w:val="000000"/>
                <w:sz w:val="24"/>
                <w:szCs w:val="24"/>
              </w:rPr>
              <w:t>1,200,000</w:t>
            </w:r>
          </w:p>
        </w:tc>
        <w:tc>
          <w:tcPr>
            <w:tcW w:w="2150" w:type="dxa"/>
            <w:vAlign w:val="center"/>
          </w:tcPr>
          <w:p w:rsidR="00C029AE" w:rsidRDefault="00ED0714">
            <w:pPr>
              <w:jc w:val="right"/>
            </w:pPr>
            <w:r>
              <w:rPr>
                <w:color w:val="000000"/>
                <w:sz w:val="24"/>
                <w:szCs w:val="24"/>
              </w:rPr>
              <w:t>120,012,000.00</w:t>
            </w:r>
          </w:p>
        </w:tc>
        <w:tc>
          <w:tcPr>
            <w:tcW w:w="1237" w:type="dxa"/>
            <w:vAlign w:val="center"/>
          </w:tcPr>
          <w:p w:rsidR="00C029AE" w:rsidRDefault="00ED0714">
            <w:pPr>
              <w:jc w:val="right"/>
            </w:pPr>
            <w:r>
              <w:rPr>
                <w:color w:val="000000"/>
                <w:sz w:val="24"/>
                <w:szCs w:val="24"/>
              </w:rPr>
              <w:t>8.09</w:t>
            </w:r>
          </w:p>
        </w:tc>
      </w:tr>
      <w:tr w:rsidR="00C029AE">
        <w:trPr>
          <w:jc w:val="center"/>
        </w:trPr>
        <w:tc>
          <w:tcPr>
            <w:tcW w:w="850" w:type="dxa"/>
            <w:vAlign w:val="center"/>
          </w:tcPr>
          <w:p w:rsidR="00C029AE" w:rsidRDefault="00ED0714">
            <w:pPr>
              <w:jc w:val="center"/>
            </w:pPr>
            <w:r>
              <w:rPr>
                <w:color w:val="000000"/>
                <w:sz w:val="24"/>
                <w:szCs w:val="24"/>
              </w:rPr>
              <w:t>4</w:t>
            </w:r>
          </w:p>
        </w:tc>
        <w:tc>
          <w:tcPr>
            <w:tcW w:w="1475" w:type="dxa"/>
            <w:vAlign w:val="center"/>
          </w:tcPr>
          <w:p w:rsidR="00C029AE" w:rsidRDefault="00ED0714">
            <w:pPr>
              <w:jc w:val="center"/>
            </w:pPr>
            <w:r>
              <w:rPr>
                <w:color w:val="000000"/>
                <w:sz w:val="24"/>
                <w:szCs w:val="24"/>
              </w:rPr>
              <w:t>101576002</w:t>
            </w:r>
          </w:p>
        </w:tc>
        <w:tc>
          <w:tcPr>
            <w:tcW w:w="1769" w:type="dxa"/>
            <w:vAlign w:val="center"/>
          </w:tcPr>
          <w:p w:rsidR="00C029AE" w:rsidRDefault="00ED0714">
            <w:pPr>
              <w:jc w:val="center"/>
            </w:pPr>
            <w:r>
              <w:rPr>
                <w:color w:val="000000"/>
                <w:sz w:val="24"/>
                <w:szCs w:val="24"/>
              </w:rPr>
              <w:t>15</w:t>
            </w:r>
            <w:r>
              <w:rPr>
                <w:color w:val="000000"/>
                <w:sz w:val="24"/>
                <w:szCs w:val="24"/>
              </w:rPr>
              <w:t>义国资运</w:t>
            </w:r>
            <w:r>
              <w:rPr>
                <w:color w:val="000000"/>
                <w:sz w:val="24"/>
                <w:szCs w:val="24"/>
              </w:rPr>
              <w:t>MTN001</w:t>
            </w:r>
          </w:p>
        </w:tc>
        <w:tc>
          <w:tcPr>
            <w:tcW w:w="1387" w:type="dxa"/>
            <w:vAlign w:val="center"/>
          </w:tcPr>
          <w:p w:rsidR="00C029AE" w:rsidRDefault="00ED0714">
            <w:pPr>
              <w:jc w:val="right"/>
            </w:pPr>
            <w:r>
              <w:rPr>
                <w:color w:val="000000"/>
                <w:sz w:val="24"/>
                <w:szCs w:val="24"/>
              </w:rPr>
              <w:t>1,000,000</w:t>
            </w:r>
          </w:p>
        </w:tc>
        <w:tc>
          <w:tcPr>
            <w:tcW w:w="2150" w:type="dxa"/>
            <w:vAlign w:val="center"/>
          </w:tcPr>
          <w:p w:rsidR="00C029AE" w:rsidRDefault="00ED0714">
            <w:pPr>
              <w:jc w:val="right"/>
            </w:pPr>
            <w:r>
              <w:rPr>
                <w:color w:val="000000"/>
                <w:sz w:val="24"/>
                <w:szCs w:val="24"/>
              </w:rPr>
              <w:t>101,160,000.00</w:t>
            </w:r>
          </w:p>
        </w:tc>
        <w:tc>
          <w:tcPr>
            <w:tcW w:w="1237" w:type="dxa"/>
            <w:vAlign w:val="center"/>
          </w:tcPr>
          <w:p w:rsidR="00C029AE" w:rsidRDefault="00ED0714">
            <w:pPr>
              <w:jc w:val="right"/>
            </w:pPr>
            <w:r>
              <w:rPr>
                <w:color w:val="000000"/>
                <w:sz w:val="24"/>
                <w:szCs w:val="24"/>
              </w:rPr>
              <w:t>6.82</w:t>
            </w:r>
          </w:p>
        </w:tc>
      </w:tr>
      <w:tr w:rsidR="00C029AE">
        <w:trPr>
          <w:jc w:val="center"/>
        </w:trPr>
        <w:tc>
          <w:tcPr>
            <w:tcW w:w="850" w:type="dxa"/>
            <w:vAlign w:val="center"/>
          </w:tcPr>
          <w:p w:rsidR="00C029AE" w:rsidRDefault="00ED0714">
            <w:pPr>
              <w:jc w:val="center"/>
            </w:pPr>
            <w:r>
              <w:rPr>
                <w:color w:val="000000"/>
                <w:sz w:val="24"/>
                <w:szCs w:val="24"/>
              </w:rPr>
              <w:t>5</w:t>
            </w:r>
          </w:p>
        </w:tc>
        <w:tc>
          <w:tcPr>
            <w:tcW w:w="1475" w:type="dxa"/>
            <w:vAlign w:val="center"/>
          </w:tcPr>
          <w:p w:rsidR="00C029AE" w:rsidRDefault="00ED0714">
            <w:pPr>
              <w:jc w:val="center"/>
            </w:pPr>
            <w:r>
              <w:rPr>
                <w:color w:val="000000"/>
                <w:sz w:val="24"/>
                <w:szCs w:val="24"/>
              </w:rPr>
              <w:t>111619193</w:t>
            </w:r>
          </w:p>
        </w:tc>
        <w:tc>
          <w:tcPr>
            <w:tcW w:w="1769" w:type="dxa"/>
            <w:vAlign w:val="center"/>
          </w:tcPr>
          <w:p w:rsidR="00C029AE" w:rsidRDefault="00ED0714">
            <w:pPr>
              <w:jc w:val="center"/>
            </w:pPr>
            <w:r>
              <w:rPr>
                <w:color w:val="000000"/>
                <w:sz w:val="24"/>
                <w:szCs w:val="24"/>
              </w:rPr>
              <w:t>16</w:t>
            </w:r>
            <w:r>
              <w:rPr>
                <w:color w:val="000000"/>
                <w:sz w:val="24"/>
                <w:szCs w:val="24"/>
              </w:rPr>
              <w:t>恒丰银行</w:t>
            </w:r>
            <w:r>
              <w:rPr>
                <w:color w:val="000000"/>
                <w:sz w:val="24"/>
                <w:szCs w:val="24"/>
              </w:rPr>
              <w:t>CD193</w:t>
            </w:r>
          </w:p>
        </w:tc>
        <w:tc>
          <w:tcPr>
            <w:tcW w:w="1387" w:type="dxa"/>
            <w:vAlign w:val="center"/>
          </w:tcPr>
          <w:p w:rsidR="00C029AE" w:rsidRDefault="00ED0714">
            <w:pPr>
              <w:jc w:val="right"/>
            </w:pPr>
            <w:r>
              <w:rPr>
                <w:color w:val="000000"/>
                <w:sz w:val="24"/>
                <w:szCs w:val="24"/>
              </w:rPr>
              <w:t>1,000,000</w:t>
            </w:r>
          </w:p>
        </w:tc>
        <w:tc>
          <w:tcPr>
            <w:tcW w:w="2150" w:type="dxa"/>
            <w:vAlign w:val="center"/>
          </w:tcPr>
          <w:p w:rsidR="00C029AE" w:rsidRDefault="00ED0714">
            <w:pPr>
              <w:jc w:val="right"/>
            </w:pPr>
            <w:r>
              <w:rPr>
                <w:color w:val="000000"/>
                <w:sz w:val="24"/>
                <w:szCs w:val="24"/>
              </w:rPr>
              <w:t>97,990,000.00</w:t>
            </w:r>
          </w:p>
        </w:tc>
        <w:tc>
          <w:tcPr>
            <w:tcW w:w="1237" w:type="dxa"/>
            <w:vAlign w:val="center"/>
          </w:tcPr>
          <w:p w:rsidR="00C029AE" w:rsidRDefault="00ED0714">
            <w:pPr>
              <w:jc w:val="right"/>
            </w:pPr>
            <w:r>
              <w:rPr>
                <w:color w:val="000000"/>
                <w:sz w:val="24"/>
                <w:szCs w:val="24"/>
              </w:rPr>
              <w:t>6.60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70,522.99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38,437,951.21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38,508,774.20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5F2BE6">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029AE">
        <w:trPr>
          <w:jc w:val="center"/>
        </w:trPr>
        <w:tc>
          <w:tcPr>
            <w:tcW w:w="1129" w:type="dxa"/>
            <w:vAlign w:val="center"/>
          </w:tcPr>
          <w:p w:rsidR="00C029AE" w:rsidRDefault="005F2BE6" w:rsidP="005F2BE6">
            <w:pPr>
              <w:jc w:val="center"/>
            </w:pPr>
            <w:r>
              <w:rPr>
                <w:color w:val="000000"/>
                <w:sz w:val="24"/>
                <w:szCs w:val="24"/>
              </w:rPr>
              <w:t>1</w:t>
            </w:r>
          </w:p>
        </w:tc>
        <w:tc>
          <w:tcPr>
            <w:tcW w:w="1356" w:type="dxa"/>
            <w:vAlign w:val="center"/>
          </w:tcPr>
          <w:p w:rsidR="00C029AE" w:rsidRDefault="00ED0714">
            <w:pPr>
              <w:jc w:val="center"/>
            </w:pPr>
            <w:r>
              <w:rPr>
                <w:color w:val="000000"/>
                <w:sz w:val="24"/>
                <w:szCs w:val="24"/>
              </w:rPr>
              <w:t>000411</w:t>
            </w:r>
          </w:p>
        </w:tc>
        <w:tc>
          <w:tcPr>
            <w:tcW w:w="1355" w:type="dxa"/>
            <w:vAlign w:val="center"/>
          </w:tcPr>
          <w:p w:rsidR="00C029AE" w:rsidRDefault="00ED0714">
            <w:pPr>
              <w:jc w:val="center"/>
            </w:pPr>
            <w:r>
              <w:rPr>
                <w:color w:val="000000"/>
                <w:sz w:val="24"/>
                <w:szCs w:val="24"/>
              </w:rPr>
              <w:t>英特集团</w:t>
            </w:r>
          </w:p>
        </w:tc>
        <w:tc>
          <w:tcPr>
            <w:tcW w:w="1880" w:type="dxa"/>
            <w:vAlign w:val="center"/>
          </w:tcPr>
          <w:p w:rsidR="00C029AE" w:rsidRDefault="00ED0714">
            <w:pPr>
              <w:jc w:val="right"/>
            </w:pPr>
            <w:r>
              <w:rPr>
                <w:color w:val="000000"/>
                <w:sz w:val="24"/>
                <w:szCs w:val="24"/>
              </w:rPr>
              <w:t>9,097,177.70</w:t>
            </w:r>
          </w:p>
        </w:tc>
        <w:tc>
          <w:tcPr>
            <w:tcW w:w="1724" w:type="dxa"/>
            <w:vAlign w:val="center"/>
          </w:tcPr>
          <w:p w:rsidR="00C029AE" w:rsidRDefault="00ED0714">
            <w:pPr>
              <w:jc w:val="right"/>
            </w:pPr>
            <w:r>
              <w:rPr>
                <w:color w:val="000000"/>
                <w:sz w:val="24"/>
                <w:szCs w:val="24"/>
              </w:rPr>
              <w:t>0.61</w:t>
            </w:r>
          </w:p>
        </w:tc>
        <w:tc>
          <w:tcPr>
            <w:tcW w:w="1424" w:type="dxa"/>
            <w:vAlign w:val="center"/>
          </w:tcPr>
          <w:p w:rsidR="00C029AE" w:rsidRDefault="00ED002A">
            <w:pPr>
              <w:jc w:val="right"/>
            </w:pPr>
            <w:r>
              <w:rPr>
                <w:rFonts w:hint="eastAsia"/>
                <w:color w:val="000000"/>
                <w:sz w:val="24"/>
                <w:szCs w:val="24"/>
              </w:rPr>
              <w:t>重大事项</w:t>
            </w:r>
          </w:p>
        </w:tc>
      </w:tr>
      <w:tr w:rsidR="00D306C5" w:rsidRPr="00D306C5" w:rsidTr="00D306C5">
        <w:trPr>
          <w:jc w:val="center"/>
        </w:trPr>
        <w:tc>
          <w:tcPr>
            <w:tcW w:w="1129" w:type="dxa"/>
          </w:tcPr>
          <w:p w:rsidR="00D306C5" w:rsidRDefault="00D306C5" w:rsidP="00D306C5">
            <w:pPr>
              <w:jc w:val="center"/>
              <w:rPr>
                <w:color w:val="000000"/>
                <w:sz w:val="24"/>
                <w:szCs w:val="24"/>
              </w:rPr>
            </w:pPr>
            <w:r>
              <w:rPr>
                <w:color w:val="000000"/>
                <w:sz w:val="24"/>
                <w:szCs w:val="24"/>
              </w:rPr>
              <w:t>2</w:t>
            </w:r>
          </w:p>
        </w:tc>
        <w:tc>
          <w:tcPr>
            <w:tcW w:w="1356" w:type="dxa"/>
          </w:tcPr>
          <w:p w:rsidR="00D306C5" w:rsidRDefault="00D306C5" w:rsidP="00D306C5">
            <w:pPr>
              <w:jc w:val="center"/>
              <w:rPr>
                <w:color w:val="000000"/>
                <w:sz w:val="24"/>
                <w:szCs w:val="24"/>
              </w:rPr>
            </w:pPr>
            <w:r w:rsidRPr="00D306C5">
              <w:rPr>
                <w:rFonts w:hint="eastAsia"/>
                <w:color w:val="000000"/>
                <w:sz w:val="24"/>
                <w:szCs w:val="24"/>
              </w:rPr>
              <w:t>002659</w:t>
            </w:r>
          </w:p>
        </w:tc>
        <w:tc>
          <w:tcPr>
            <w:tcW w:w="1355" w:type="dxa"/>
          </w:tcPr>
          <w:p w:rsidR="00D306C5" w:rsidRDefault="00D306C5" w:rsidP="00D306C5">
            <w:pPr>
              <w:jc w:val="center"/>
              <w:rPr>
                <w:color w:val="000000"/>
                <w:sz w:val="24"/>
                <w:szCs w:val="24"/>
              </w:rPr>
            </w:pPr>
            <w:r w:rsidRPr="00D306C5">
              <w:rPr>
                <w:rFonts w:hint="eastAsia"/>
                <w:color w:val="000000"/>
                <w:sz w:val="24"/>
                <w:szCs w:val="24"/>
              </w:rPr>
              <w:t>中泰桥梁</w:t>
            </w:r>
          </w:p>
        </w:tc>
        <w:tc>
          <w:tcPr>
            <w:tcW w:w="1880" w:type="dxa"/>
          </w:tcPr>
          <w:p w:rsidR="00D306C5" w:rsidRDefault="00D306C5" w:rsidP="00D306C5">
            <w:pPr>
              <w:jc w:val="right"/>
              <w:rPr>
                <w:color w:val="000000"/>
                <w:sz w:val="24"/>
                <w:szCs w:val="24"/>
              </w:rPr>
            </w:pPr>
            <w:r w:rsidRPr="00D306C5">
              <w:rPr>
                <w:rFonts w:hint="eastAsia"/>
                <w:color w:val="000000"/>
                <w:sz w:val="24"/>
                <w:szCs w:val="24"/>
              </w:rPr>
              <w:t>5,075,400.00</w:t>
            </w:r>
          </w:p>
        </w:tc>
        <w:tc>
          <w:tcPr>
            <w:tcW w:w="1724" w:type="dxa"/>
          </w:tcPr>
          <w:p w:rsidR="00D306C5" w:rsidRDefault="00D306C5" w:rsidP="00D306C5">
            <w:pPr>
              <w:jc w:val="right"/>
              <w:rPr>
                <w:color w:val="000000"/>
                <w:sz w:val="24"/>
                <w:szCs w:val="24"/>
              </w:rPr>
            </w:pPr>
            <w:r w:rsidRPr="00D306C5">
              <w:rPr>
                <w:rFonts w:hint="eastAsia"/>
                <w:color w:val="000000"/>
                <w:sz w:val="24"/>
                <w:szCs w:val="24"/>
              </w:rPr>
              <w:t>0.34</w:t>
            </w:r>
          </w:p>
        </w:tc>
        <w:tc>
          <w:tcPr>
            <w:tcW w:w="1424" w:type="dxa"/>
          </w:tcPr>
          <w:p w:rsidR="00D306C5" w:rsidRDefault="00D306C5" w:rsidP="00D306C5">
            <w:pPr>
              <w:jc w:val="right"/>
              <w:rPr>
                <w:color w:val="000000"/>
                <w:sz w:val="24"/>
                <w:szCs w:val="24"/>
              </w:rPr>
            </w:pPr>
            <w:r w:rsidRPr="00D306C5">
              <w:rPr>
                <w:rFonts w:hint="eastAsia"/>
                <w:color w:val="000000"/>
                <w:sz w:val="24"/>
                <w:szCs w:val="24"/>
              </w:rPr>
              <w:t>重大事项</w:t>
            </w:r>
          </w:p>
        </w:tc>
      </w:tr>
      <w:tr w:rsidR="005F2BE6">
        <w:trPr>
          <w:jc w:val="center"/>
        </w:trPr>
        <w:tc>
          <w:tcPr>
            <w:tcW w:w="1129" w:type="dxa"/>
            <w:vAlign w:val="center"/>
          </w:tcPr>
          <w:p w:rsidR="005F2BE6" w:rsidRDefault="00D306C5" w:rsidP="00D306C5">
            <w:pPr>
              <w:jc w:val="center"/>
              <w:rPr>
                <w:color w:val="000000"/>
                <w:sz w:val="24"/>
                <w:szCs w:val="24"/>
              </w:rPr>
            </w:pPr>
            <w:r>
              <w:rPr>
                <w:color w:val="000000"/>
                <w:sz w:val="24"/>
                <w:szCs w:val="24"/>
              </w:rPr>
              <w:t>3</w:t>
            </w:r>
          </w:p>
        </w:tc>
        <w:tc>
          <w:tcPr>
            <w:tcW w:w="1356" w:type="dxa"/>
            <w:vAlign w:val="center"/>
          </w:tcPr>
          <w:p w:rsidR="005F2BE6" w:rsidRDefault="005F2BE6" w:rsidP="005F2BE6">
            <w:pPr>
              <w:jc w:val="center"/>
              <w:rPr>
                <w:color w:val="000000"/>
                <w:sz w:val="24"/>
                <w:szCs w:val="24"/>
              </w:rPr>
            </w:pPr>
            <w:r>
              <w:rPr>
                <w:color w:val="000000"/>
                <w:sz w:val="24"/>
                <w:szCs w:val="24"/>
              </w:rPr>
              <w:t>603986</w:t>
            </w:r>
          </w:p>
        </w:tc>
        <w:tc>
          <w:tcPr>
            <w:tcW w:w="1355" w:type="dxa"/>
            <w:vAlign w:val="center"/>
          </w:tcPr>
          <w:p w:rsidR="005F2BE6" w:rsidRDefault="005F2BE6" w:rsidP="005F2BE6">
            <w:pPr>
              <w:jc w:val="center"/>
              <w:rPr>
                <w:color w:val="000000"/>
                <w:sz w:val="24"/>
                <w:szCs w:val="24"/>
              </w:rPr>
            </w:pPr>
            <w:r>
              <w:rPr>
                <w:color w:val="000000"/>
                <w:sz w:val="24"/>
                <w:szCs w:val="24"/>
              </w:rPr>
              <w:t>兆易创新</w:t>
            </w:r>
          </w:p>
        </w:tc>
        <w:tc>
          <w:tcPr>
            <w:tcW w:w="1880" w:type="dxa"/>
            <w:vAlign w:val="center"/>
          </w:tcPr>
          <w:p w:rsidR="005F2BE6" w:rsidRDefault="005F2BE6" w:rsidP="005F2BE6">
            <w:pPr>
              <w:jc w:val="right"/>
              <w:rPr>
                <w:color w:val="000000"/>
                <w:sz w:val="24"/>
                <w:szCs w:val="24"/>
              </w:rPr>
            </w:pPr>
            <w:r>
              <w:rPr>
                <w:color w:val="000000"/>
                <w:sz w:val="24"/>
                <w:szCs w:val="24"/>
              </w:rPr>
              <w:t>201,640.01</w:t>
            </w:r>
          </w:p>
        </w:tc>
        <w:tc>
          <w:tcPr>
            <w:tcW w:w="1724" w:type="dxa"/>
            <w:vAlign w:val="center"/>
          </w:tcPr>
          <w:p w:rsidR="005F2BE6" w:rsidRDefault="005F2BE6" w:rsidP="005F2BE6">
            <w:pPr>
              <w:jc w:val="right"/>
              <w:rPr>
                <w:color w:val="000000"/>
                <w:sz w:val="24"/>
                <w:szCs w:val="24"/>
              </w:rPr>
            </w:pPr>
            <w:r>
              <w:rPr>
                <w:color w:val="000000"/>
                <w:sz w:val="24"/>
                <w:szCs w:val="24"/>
              </w:rPr>
              <w:t>0.01</w:t>
            </w:r>
          </w:p>
        </w:tc>
        <w:tc>
          <w:tcPr>
            <w:tcW w:w="1424" w:type="dxa"/>
            <w:vAlign w:val="center"/>
          </w:tcPr>
          <w:p w:rsidR="005F2BE6" w:rsidRDefault="005F2BE6" w:rsidP="005F2BE6">
            <w:pPr>
              <w:jc w:val="right"/>
              <w:rPr>
                <w:color w:val="000000"/>
                <w:sz w:val="24"/>
                <w:szCs w:val="24"/>
              </w:rPr>
            </w:pPr>
            <w:r>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1,646,703,124.88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56,693.70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127,657,770.72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1,519,102,047.86</w:t>
            </w:r>
          </w:p>
        </w:tc>
      </w:tr>
    </w:tbl>
    <w:p w:rsidR="00C029AE" w:rsidRDefault="00ED071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029AE" w:rsidRDefault="00ED071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C029AE" w:rsidRDefault="00ED071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、《交银施罗德荣和保本混合型证券投资基金基金合同》；</w:t>
      </w:r>
    </w:p>
    <w:p w:rsidR="00C029AE" w:rsidRDefault="00ED071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、《交银施罗德荣和保本混合型证券投资基金招募说明书》；</w:t>
      </w:r>
      <w:r>
        <w:rPr>
          <w:color w:val="000000"/>
          <w:sz w:val="24"/>
          <w:szCs w:val="24"/>
        </w:rPr>
        <w:t xml:space="preserve"> </w:t>
      </w:r>
    </w:p>
    <w:p w:rsidR="00C029AE" w:rsidRDefault="00ED071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、《交银施罗德荣和保本混合型证券投资基金托管协议》；</w:t>
      </w:r>
      <w:r>
        <w:rPr>
          <w:color w:val="000000"/>
          <w:sz w:val="24"/>
          <w:szCs w:val="24"/>
        </w:rPr>
        <w:t xml:space="preserve"> </w:t>
      </w:r>
    </w:p>
    <w:p w:rsidR="00C029AE" w:rsidRDefault="00ED071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C029AE" w:rsidRDefault="00ED071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C029AE" w:rsidRDefault="00ED071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、关于申请募集注册交银施罗德荣和保本混合型证券投资基金的法律意见书；</w:t>
      </w:r>
    </w:p>
    <w:p w:rsidR="00C029AE" w:rsidRDefault="00ED071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029AE" w:rsidRDefault="00ED071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762F7">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762F7">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C5808"/>
    <w:rsid w:val="005D2B36"/>
    <w:rsid w:val="005E475E"/>
    <w:rsid w:val="005F118D"/>
    <w:rsid w:val="005F2BE6"/>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0626"/>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029AE"/>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06C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762F7"/>
    <w:rsid w:val="00E84C7E"/>
    <w:rsid w:val="00E85E4B"/>
    <w:rsid w:val="00E8670B"/>
    <w:rsid w:val="00EA70F1"/>
    <w:rsid w:val="00EB2516"/>
    <w:rsid w:val="00EB2C07"/>
    <w:rsid w:val="00EB572B"/>
    <w:rsid w:val="00EC14ED"/>
    <w:rsid w:val="00EC1E04"/>
    <w:rsid w:val="00ED002A"/>
    <w:rsid w:val="00ED0328"/>
    <w:rsid w:val="00ED0714"/>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5F2BE6"/>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1221-5058-4D1B-A101-2AE80709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孙艳</cp:lastModifiedBy>
  <cp:revision>2</cp:revision>
  <dcterms:created xsi:type="dcterms:W3CDTF">2017-01-17T10:31:00Z</dcterms:created>
  <dcterms:modified xsi:type="dcterms:W3CDTF">2017-01-17T10:31:00Z</dcterms:modified>
</cp:coreProperties>
</file>