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B1A94" w:rsidRDefault="004C5FE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44,481,269.20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C5FEC" w:rsidRPr="00414345" w:rsidTr="004C5FE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C5FEC" w:rsidRPr="00414345" w:rsidTr="004C5F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4,927,880.57</w:t>
            </w:r>
          </w:p>
        </w:tc>
      </w:tr>
      <w:tr w:rsidR="004C5FEC" w:rsidRPr="00414345" w:rsidTr="004C5F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3,382,262.81</w:t>
            </w:r>
          </w:p>
        </w:tc>
      </w:tr>
      <w:tr w:rsidR="004C5FEC" w:rsidRPr="00414345" w:rsidTr="004C5F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0.0737</w:t>
            </w:r>
          </w:p>
        </w:tc>
      </w:tr>
      <w:tr w:rsidR="004C5FEC" w:rsidRPr="00414345" w:rsidTr="004C5F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92,378,580.54</w:t>
            </w:r>
          </w:p>
        </w:tc>
      </w:tr>
      <w:tr w:rsidR="004C5FEC" w:rsidRPr="00414345" w:rsidTr="004C5FE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2.077</w:t>
            </w:r>
          </w:p>
        </w:tc>
      </w:tr>
    </w:tbl>
    <w:p w:rsidR="00CB1A94" w:rsidRDefault="004C5F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B1A94">
        <w:trPr>
          <w:jc w:val="center"/>
        </w:trPr>
        <w:tc>
          <w:tcPr>
            <w:tcW w:w="1701" w:type="dxa"/>
            <w:vAlign w:val="center"/>
          </w:tcPr>
          <w:p w:rsidR="00CB1A94" w:rsidRDefault="004C5FEC">
            <w:pPr>
              <w:jc w:val="left"/>
            </w:pPr>
            <w:r>
              <w:rPr>
                <w:color w:val="000000"/>
                <w:sz w:val="24"/>
                <w:szCs w:val="24"/>
              </w:rPr>
              <w:t>过去三个月</w:t>
            </w:r>
          </w:p>
        </w:tc>
        <w:tc>
          <w:tcPr>
            <w:tcW w:w="1045" w:type="dxa"/>
            <w:vAlign w:val="center"/>
          </w:tcPr>
          <w:p w:rsidR="00CB1A94" w:rsidRDefault="004C5FEC">
            <w:pPr>
              <w:jc w:val="center"/>
            </w:pPr>
            <w:r>
              <w:rPr>
                <w:color w:val="000000"/>
                <w:sz w:val="24"/>
                <w:szCs w:val="24"/>
              </w:rPr>
              <w:t>3.69%</w:t>
            </w:r>
          </w:p>
        </w:tc>
        <w:tc>
          <w:tcPr>
            <w:tcW w:w="1344" w:type="dxa"/>
            <w:vAlign w:val="center"/>
          </w:tcPr>
          <w:p w:rsidR="00CB1A94" w:rsidRDefault="004C5FEC" w:rsidP="004C5FEC">
            <w:pPr>
              <w:jc w:val="center"/>
            </w:pPr>
            <w:r>
              <w:rPr>
                <w:color w:val="000000"/>
                <w:sz w:val="24"/>
                <w:szCs w:val="24"/>
              </w:rPr>
              <w:t>0.78%</w:t>
            </w:r>
          </w:p>
        </w:tc>
        <w:tc>
          <w:tcPr>
            <w:tcW w:w="1194" w:type="dxa"/>
            <w:vAlign w:val="center"/>
          </w:tcPr>
          <w:p w:rsidR="00CB1A94" w:rsidRDefault="004C5FEC" w:rsidP="004C5FEC">
            <w:pPr>
              <w:jc w:val="center"/>
            </w:pPr>
            <w:r>
              <w:rPr>
                <w:color w:val="000000"/>
                <w:sz w:val="24"/>
                <w:szCs w:val="24"/>
              </w:rPr>
              <w:t>0.32%</w:t>
            </w:r>
          </w:p>
        </w:tc>
        <w:tc>
          <w:tcPr>
            <w:tcW w:w="1492" w:type="dxa"/>
            <w:vAlign w:val="center"/>
          </w:tcPr>
          <w:p w:rsidR="00CB1A94" w:rsidRDefault="004C5FEC">
            <w:pPr>
              <w:jc w:val="center"/>
            </w:pPr>
            <w:r>
              <w:rPr>
                <w:color w:val="000000"/>
                <w:sz w:val="24"/>
                <w:szCs w:val="24"/>
              </w:rPr>
              <w:t>0.39%</w:t>
            </w:r>
          </w:p>
        </w:tc>
        <w:tc>
          <w:tcPr>
            <w:tcW w:w="1194" w:type="dxa"/>
            <w:vAlign w:val="center"/>
          </w:tcPr>
          <w:p w:rsidR="00CB1A94" w:rsidRDefault="004C5FEC" w:rsidP="004C5FEC">
            <w:pPr>
              <w:jc w:val="center"/>
            </w:pPr>
            <w:r>
              <w:rPr>
                <w:color w:val="000000"/>
                <w:sz w:val="24"/>
                <w:szCs w:val="24"/>
              </w:rPr>
              <w:t>3.37%</w:t>
            </w:r>
          </w:p>
        </w:tc>
        <w:tc>
          <w:tcPr>
            <w:tcW w:w="898" w:type="dxa"/>
            <w:vAlign w:val="center"/>
          </w:tcPr>
          <w:p w:rsidR="00CB1A94" w:rsidRDefault="004C5FEC" w:rsidP="004C5FEC">
            <w:pPr>
              <w:jc w:val="center"/>
            </w:pPr>
            <w:r>
              <w:rPr>
                <w:color w:val="000000"/>
                <w:sz w:val="24"/>
                <w:szCs w:val="24"/>
              </w:rPr>
              <w:t>0.39%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4C5FEC"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1D7F1747" wp14:editId="2FACC394">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B1A94">
        <w:trPr>
          <w:jc w:val="center"/>
        </w:trPr>
        <w:tc>
          <w:tcPr>
            <w:tcW w:w="846" w:type="dxa"/>
            <w:vAlign w:val="center"/>
          </w:tcPr>
          <w:p w:rsidR="00CB1A94" w:rsidRDefault="004C5FEC">
            <w:pPr>
              <w:jc w:val="center"/>
            </w:pPr>
            <w:r>
              <w:rPr>
                <w:color w:val="000000"/>
                <w:sz w:val="24"/>
                <w:szCs w:val="24"/>
              </w:rPr>
              <w:t>杨浩</w:t>
            </w:r>
          </w:p>
        </w:tc>
        <w:tc>
          <w:tcPr>
            <w:tcW w:w="845" w:type="dxa"/>
            <w:vAlign w:val="center"/>
          </w:tcPr>
          <w:p w:rsidR="00CB1A94" w:rsidRDefault="004C5FEC">
            <w:pPr>
              <w:jc w:val="center"/>
            </w:pPr>
            <w:r>
              <w:rPr>
                <w:color w:val="000000"/>
                <w:sz w:val="24"/>
                <w:szCs w:val="24"/>
              </w:rPr>
              <w:t>交银定期支付双息平衡混合、交银新生活力灵活配置混合的基金经理</w:t>
            </w:r>
          </w:p>
        </w:tc>
        <w:tc>
          <w:tcPr>
            <w:tcW w:w="1549" w:type="dxa"/>
            <w:vAlign w:val="center"/>
          </w:tcPr>
          <w:p w:rsidR="00CB1A94" w:rsidRDefault="004C5FEC">
            <w:pPr>
              <w:jc w:val="center"/>
            </w:pPr>
            <w:r>
              <w:rPr>
                <w:color w:val="000000"/>
                <w:sz w:val="24"/>
                <w:szCs w:val="24"/>
              </w:rPr>
              <w:t>2015-08-15</w:t>
            </w:r>
          </w:p>
        </w:tc>
        <w:tc>
          <w:tcPr>
            <w:tcW w:w="1548" w:type="dxa"/>
            <w:vAlign w:val="center"/>
          </w:tcPr>
          <w:p w:rsidR="00CB1A94" w:rsidRDefault="004C5FEC">
            <w:pPr>
              <w:jc w:val="center"/>
            </w:pPr>
            <w:r>
              <w:rPr>
                <w:color w:val="000000"/>
                <w:sz w:val="24"/>
                <w:szCs w:val="24"/>
              </w:rPr>
              <w:t>-</w:t>
            </w:r>
          </w:p>
        </w:tc>
        <w:tc>
          <w:tcPr>
            <w:tcW w:w="1407" w:type="dxa"/>
            <w:vAlign w:val="center"/>
          </w:tcPr>
          <w:p w:rsidR="00CB1A94" w:rsidRDefault="004C5FEC">
            <w:pPr>
              <w:jc w:val="center"/>
            </w:pPr>
            <w:r>
              <w:rPr>
                <w:color w:val="000000"/>
                <w:sz w:val="24"/>
                <w:szCs w:val="24"/>
              </w:rPr>
              <w:t>6</w:t>
            </w:r>
            <w:r>
              <w:rPr>
                <w:color w:val="000000"/>
                <w:sz w:val="24"/>
                <w:szCs w:val="24"/>
              </w:rPr>
              <w:t>年</w:t>
            </w:r>
          </w:p>
        </w:tc>
        <w:tc>
          <w:tcPr>
            <w:tcW w:w="2673" w:type="dxa"/>
            <w:vAlign w:val="center"/>
          </w:tcPr>
          <w:p w:rsidR="00CB1A94" w:rsidRDefault="004C5FEC">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B1A94" w:rsidRDefault="004C5FE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B1A94" w:rsidRDefault="004C5FE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B1A94" w:rsidRDefault="004C5FE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B1A94" w:rsidRDefault="004C5FEC">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市场先扬后抑。国庆期间的高强度地产调控政策对资金的挤出效应，保险资金的举牌效应，拉动上半段市场走强。但随着全球无风险利率的持续上行，阶段性的贬值压力，以及金融监管的持续深化，市场在后半段出现了持续的资金紧张。整体而言，中小板、创业板明显跑输主板。体制改革和部分具有绝对意义的行业龙头表现优秀，而过去盛于资本泡沫的行业与公司，也衰于此。</w:t>
      </w:r>
    </w:p>
    <w:p w:rsidR="00CB1A94" w:rsidRDefault="004C5FEC">
      <w:pPr>
        <w:spacing w:before="29" w:line="288" w:lineRule="auto"/>
        <w:ind w:firstLineChars="200" w:firstLine="480"/>
        <w:rPr>
          <w:color w:val="000000"/>
          <w:sz w:val="24"/>
          <w:szCs w:val="24"/>
        </w:rPr>
      </w:pPr>
      <w:r>
        <w:rPr>
          <w:color w:val="000000"/>
          <w:sz w:val="24"/>
          <w:szCs w:val="24"/>
        </w:rPr>
        <w:t>本基金</w:t>
      </w:r>
      <w:r>
        <w:rPr>
          <w:color w:val="000000"/>
          <w:sz w:val="24"/>
          <w:szCs w:val="24"/>
        </w:rPr>
        <w:t>2016</w:t>
      </w:r>
      <w:r>
        <w:rPr>
          <w:color w:val="000000"/>
          <w:sz w:val="24"/>
          <w:szCs w:val="24"/>
        </w:rPr>
        <w:t>年四季度权益部分保持较高仓位，债券部分仓位较低，整体跑赢业绩比较基准。主要源于，增加了物流、通信、化工、军工、零售等行业的配置，增加了对体制改革和行业龙头的持仓比重，对竞争激烈、依赖金融资本弯道超车的中小创公司进一步减持。</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我们认为虽然市场的流动性仍然较为紧张，但预期已经有了较为充分的反应，有望整体重回升势。但同时我们认为新的生产力技术尚不清晰，金融去杠杆的趋势仍在，产业资本减持压力较大的情况仍然对品种的选择有比较高的要求。本基金重点关注体制改革、供需关系向好的绝对行业龙头、科技基础设施等相关领域。</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w:t>
      </w:r>
      <w:r w:rsidR="004C5FEC">
        <w:rPr>
          <w:color w:val="000000"/>
          <w:sz w:val="24"/>
          <w:szCs w:val="24"/>
        </w:rPr>
        <w:t>1</w:t>
      </w:r>
      <w:r w:rsidRPr="00414345">
        <w:rPr>
          <w:color w:val="000000"/>
          <w:sz w:val="24"/>
          <w:szCs w:val="24"/>
        </w:rPr>
        <w:t>日，本基金份额净值为</w:t>
      </w:r>
      <w:r w:rsidRPr="00414345">
        <w:rPr>
          <w:color w:val="000000"/>
          <w:sz w:val="24"/>
          <w:szCs w:val="24"/>
        </w:rPr>
        <w:t>2.077</w:t>
      </w:r>
      <w:r w:rsidRPr="00414345">
        <w:rPr>
          <w:color w:val="000000"/>
          <w:sz w:val="24"/>
          <w:szCs w:val="24"/>
        </w:rPr>
        <w:t>元，本报告期份额净值增长率为</w:t>
      </w:r>
      <w:r w:rsidRPr="00414345">
        <w:rPr>
          <w:color w:val="000000"/>
          <w:sz w:val="24"/>
          <w:szCs w:val="24"/>
        </w:rPr>
        <w:t>3.69%</w:t>
      </w:r>
      <w:r w:rsidRPr="00414345">
        <w:rPr>
          <w:color w:val="000000"/>
          <w:sz w:val="24"/>
          <w:szCs w:val="24"/>
        </w:rPr>
        <w:t>，同期业绩比较基准增长率为</w:t>
      </w:r>
      <w:r w:rsidR="00342684">
        <w:rPr>
          <w:color w:val="000000"/>
          <w:sz w:val="24"/>
          <w:szCs w:val="24"/>
        </w:rPr>
        <w:t>0.32%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62,027,023.71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62,027,023.71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10,046,000.00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10,046,000.00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20,244,234.06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21.81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495,053.71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0.53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92,812,311.48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59,248,790.95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2,778,232.76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62,027,023.71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67.14</w:t>
            </w:r>
          </w:p>
        </w:tc>
      </w:tr>
    </w:tbl>
    <w:p w:rsidR="00342684" w:rsidRDefault="0034268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BF3814">
        <w:rPr>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B1A94">
        <w:trPr>
          <w:jc w:val="center"/>
        </w:trPr>
        <w:tc>
          <w:tcPr>
            <w:tcW w:w="855" w:type="dxa"/>
            <w:vAlign w:val="center"/>
          </w:tcPr>
          <w:p w:rsidR="00CB1A94" w:rsidRDefault="004C5FEC">
            <w:pPr>
              <w:jc w:val="center"/>
            </w:pPr>
            <w:r>
              <w:rPr>
                <w:color w:val="000000"/>
                <w:sz w:val="24"/>
                <w:szCs w:val="24"/>
              </w:rPr>
              <w:t>1</w:t>
            </w:r>
          </w:p>
        </w:tc>
        <w:tc>
          <w:tcPr>
            <w:tcW w:w="1334" w:type="dxa"/>
            <w:vAlign w:val="center"/>
          </w:tcPr>
          <w:p w:rsidR="00CB1A94" w:rsidRDefault="004C5FEC">
            <w:pPr>
              <w:jc w:val="center"/>
            </w:pPr>
            <w:r>
              <w:rPr>
                <w:color w:val="000000"/>
                <w:sz w:val="24"/>
                <w:szCs w:val="24"/>
              </w:rPr>
              <w:t>002583</w:t>
            </w:r>
          </w:p>
        </w:tc>
        <w:tc>
          <w:tcPr>
            <w:tcW w:w="1777" w:type="dxa"/>
            <w:vAlign w:val="center"/>
          </w:tcPr>
          <w:p w:rsidR="00CB1A94" w:rsidRDefault="004C5FEC">
            <w:pPr>
              <w:jc w:val="center"/>
            </w:pPr>
            <w:r>
              <w:rPr>
                <w:color w:val="000000"/>
                <w:sz w:val="24"/>
                <w:szCs w:val="24"/>
              </w:rPr>
              <w:t>海能达</w:t>
            </w:r>
          </w:p>
        </w:tc>
        <w:tc>
          <w:tcPr>
            <w:tcW w:w="1334" w:type="dxa"/>
            <w:vAlign w:val="center"/>
          </w:tcPr>
          <w:p w:rsidR="00CB1A94" w:rsidRDefault="004C5FEC">
            <w:pPr>
              <w:jc w:val="right"/>
            </w:pPr>
            <w:r>
              <w:rPr>
                <w:color w:val="000000"/>
                <w:sz w:val="24"/>
                <w:szCs w:val="24"/>
              </w:rPr>
              <w:t>497,200</w:t>
            </w:r>
          </w:p>
        </w:tc>
        <w:tc>
          <w:tcPr>
            <w:tcW w:w="1924" w:type="dxa"/>
            <w:vAlign w:val="center"/>
          </w:tcPr>
          <w:p w:rsidR="00CB1A94" w:rsidRDefault="004C5FEC">
            <w:pPr>
              <w:jc w:val="right"/>
            </w:pPr>
            <w:r>
              <w:rPr>
                <w:color w:val="000000"/>
                <w:sz w:val="24"/>
                <w:szCs w:val="24"/>
              </w:rPr>
              <w:t>6,568,012.00</w:t>
            </w:r>
          </w:p>
        </w:tc>
        <w:tc>
          <w:tcPr>
            <w:tcW w:w="1644" w:type="dxa"/>
            <w:vAlign w:val="center"/>
          </w:tcPr>
          <w:p w:rsidR="00CB1A94" w:rsidRDefault="004C5FEC">
            <w:pPr>
              <w:jc w:val="right"/>
            </w:pPr>
            <w:r>
              <w:rPr>
                <w:color w:val="000000"/>
                <w:sz w:val="24"/>
                <w:szCs w:val="24"/>
              </w:rPr>
              <w:t>7.11</w:t>
            </w:r>
          </w:p>
        </w:tc>
      </w:tr>
      <w:tr w:rsidR="00CB1A94">
        <w:trPr>
          <w:jc w:val="center"/>
        </w:trPr>
        <w:tc>
          <w:tcPr>
            <w:tcW w:w="855" w:type="dxa"/>
            <w:vAlign w:val="center"/>
          </w:tcPr>
          <w:p w:rsidR="00CB1A94" w:rsidRDefault="004C5FEC">
            <w:pPr>
              <w:jc w:val="center"/>
            </w:pPr>
            <w:r>
              <w:rPr>
                <w:color w:val="000000"/>
                <w:sz w:val="24"/>
                <w:szCs w:val="24"/>
              </w:rPr>
              <w:t>2</w:t>
            </w:r>
          </w:p>
        </w:tc>
        <w:tc>
          <w:tcPr>
            <w:tcW w:w="1334" w:type="dxa"/>
            <w:vAlign w:val="center"/>
          </w:tcPr>
          <w:p w:rsidR="00CB1A94" w:rsidRDefault="004C5FEC">
            <w:pPr>
              <w:jc w:val="center"/>
            </w:pPr>
            <w:r>
              <w:rPr>
                <w:color w:val="000000"/>
                <w:sz w:val="24"/>
                <w:szCs w:val="24"/>
              </w:rPr>
              <w:t>000821</w:t>
            </w:r>
          </w:p>
        </w:tc>
        <w:tc>
          <w:tcPr>
            <w:tcW w:w="1777" w:type="dxa"/>
            <w:vAlign w:val="center"/>
          </w:tcPr>
          <w:p w:rsidR="00CB1A94" w:rsidRDefault="004C5FEC">
            <w:pPr>
              <w:jc w:val="center"/>
            </w:pPr>
            <w:r>
              <w:rPr>
                <w:color w:val="000000"/>
                <w:sz w:val="24"/>
                <w:szCs w:val="24"/>
              </w:rPr>
              <w:t>京山轻机</w:t>
            </w:r>
          </w:p>
        </w:tc>
        <w:tc>
          <w:tcPr>
            <w:tcW w:w="1334" w:type="dxa"/>
            <w:vAlign w:val="center"/>
          </w:tcPr>
          <w:p w:rsidR="00CB1A94" w:rsidRDefault="004C5FEC">
            <w:pPr>
              <w:jc w:val="right"/>
            </w:pPr>
            <w:r>
              <w:rPr>
                <w:color w:val="000000"/>
                <w:sz w:val="24"/>
                <w:szCs w:val="24"/>
              </w:rPr>
              <w:t>342,100</w:t>
            </w:r>
          </w:p>
        </w:tc>
        <w:tc>
          <w:tcPr>
            <w:tcW w:w="1924" w:type="dxa"/>
            <w:vAlign w:val="center"/>
          </w:tcPr>
          <w:p w:rsidR="00CB1A94" w:rsidRDefault="004C5FEC">
            <w:pPr>
              <w:jc w:val="right"/>
            </w:pPr>
            <w:r>
              <w:rPr>
                <w:color w:val="000000"/>
                <w:sz w:val="24"/>
                <w:szCs w:val="24"/>
              </w:rPr>
              <w:t>5,247,814.00</w:t>
            </w:r>
          </w:p>
        </w:tc>
        <w:tc>
          <w:tcPr>
            <w:tcW w:w="1644" w:type="dxa"/>
            <w:vAlign w:val="center"/>
          </w:tcPr>
          <w:p w:rsidR="00CB1A94" w:rsidRDefault="004C5FEC">
            <w:pPr>
              <w:jc w:val="right"/>
            </w:pPr>
            <w:r>
              <w:rPr>
                <w:color w:val="000000"/>
                <w:sz w:val="24"/>
                <w:szCs w:val="24"/>
              </w:rPr>
              <w:t>5.68</w:t>
            </w:r>
          </w:p>
        </w:tc>
      </w:tr>
      <w:tr w:rsidR="00CB1A94">
        <w:trPr>
          <w:jc w:val="center"/>
        </w:trPr>
        <w:tc>
          <w:tcPr>
            <w:tcW w:w="855" w:type="dxa"/>
            <w:vAlign w:val="center"/>
          </w:tcPr>
          <w:p w:rsidR="00CB1A94" w:rsidRDefault="004C5FEC">
            <w:pPr>
              <w:jc w:val="center"/>
            </w:pPr>
            <w:r>
              <w:rPr>
                <w:color w:val="000000"/>
                <w:sz w:val="24"/>
                <w:szCs w:val="24"/>
              </w:rPr>
              <w:t>3</w:t>
            </w:r>
          </w:p>
        </w:tc>
        <w:tc>
          <w:tcPr>
            <w:tcW w:w="1334" w:type="dxa"/>
            <w:vAlign w:val="center"/>
          </w:tcPr>
          <w:p w:rsidR="00CB1A94" w:rsidRDefault="004C5FEC">
            <w:pPr>
              <w:jc w:val="center"/>
            </w:pPr>
            <w:r>
              <w:rPr>
                <w:color w:val="000000"/>
                <w:sz w:val="24"/>
                <w:szCs w:val="24"/>
              </w:rPr>
              <w:t>002045</w:t>
            </w:r>
          </w:p>
        </w:tc>
        <w:tc>
          <w:tcPr>
            <w:tcW w:w="1777" w:type="dxa"/>
            <w:vAlign w:val="center"/>
          </w:tcPr>
          <w:p w:rsidR="00CB1A94" w:rsidRDefault="004C5FEC">
            <w:pPr>
              <w:jc w:val="center"/>
            </w:pPr>
            <w:r>
              <w:rPr>
                <w:color w:val="000000"/>
                <w:sz w:val="24"/>
                <w:szCs w:val="24"/>
              </w:rPr>
              <w:t>国光电器</w:t>
            </w:r>
          </w:p>
        </w:tc>
        <w:tc>
          <w:tcPr>
            <w:tcW w:w="1334" w:type="dxa"/>
            <w:vAlign w:val="center"/>
          </w:tcPr>
          <w:p w:rsidR="00CB1A94" w:rsidRDefault="004C5FEC">
            <w:pPr>
              <w:jc w:val="right"/>
            </w:pPr>
            <w:r>
              <w:rPr>
                <w:color w:val="000000"/>
                <w:sz w:val="24"/>
                <w:szCs w:val="24"/>
              </w:rPr>
              <w:t>419,600</w:t>
            </w:r>
          </w:p>
        </w:tc>
        <w:tc>
          <w:tcPr>
            <w:tcW w:w="1924" w:type="dxa"/>
            <w:vAlign w:val="center"/>
          </w:tcPr>
          <w:p w:rsidR="00CB1A94" w:rsidRDefault="004C5FEC">
            <w:pPr>
              <w:jc w:val="right"/>
            </w:pPr>
            <w:r>
              <w:rPr>
                <w:color w:val="000000"/>
                <w:sz w:val="24"/>
                <w:szCs w:val="24"/>
              </w:rPr>
              <w:t>5,224,020.00</w:t>
            </w:r>
          </w:p>
        </w:tc>
        <w:tc>
          <w:tcPr>
            <w:tcW w:w="1644" w:type="dxa"/>
            <w:vAlign w:val="center"/>
          </w:tcPr>
          <w:p w:rsidR="00CB1A94" w:rsidRDefault="004C5FEC">
            <w:pPr>
              <w:jc w:val="right"/>
            </w:pPr>
            <w:r>
              <w:rPr>
                <w:color w:val="000000"/>
                <w:sz w:val="24"/>
                <w:szCs w:val="24"/>
              </w:rPr>
              <w:t>5.66</w:t>
            </w:r>
          </w:p>
        </w:tc>
      </w:tr>
      <w:tr w:rsidR="00CB1A94">
        <w:trPr>
          <w:jc w:val="center"/>
        </w:trPr>
        <w:tc>
          <w:tcPr>
            <w:tcW w:w="855" w:type="dxa"/>
            <w:vAlign w:val="center"/>
          </w:tcPr>
          <w:p w:rsidR="00CB1A94" w:rsidRDefault="004C5FEC">
            <w:pPr>
              <w:jc w:val="center"/>
            </w:pPr>
            <w:r>
              <w:rPr>
                <w:color w:val="000000"/>
                <w:sz w:val="24"/>
                <w:szCs w:val="24"/>
              </w:rPr>
              <w:t>4</w:t>
            </w:r>
          </w:p>
        </w:tc>
        <w:tc>
          <w:tcPr>
            <w:tcW w:w="1334" w:type="dxa"/>
            <w:vAlign w:val="center"/>
          </w:tcPr>
          <w:p w:rsidR="00CB1A94" w:rsidRDefault="004C5FEC">
            <w:pPr>
              <w:jc w:val="center"/>
            </w:pPr>
            <w:r>
              <w:rPr>
                <w:color w:val="000000"/>
                <w:sz w:val="24"/>
                <w:szCs w:val="24"/>
              </w:rPr>
              <w:t>300129</w:t>
            </w:r>
          </w:p>
        </w:tc>
        <w:tc>
          <w:tcPr>
            <w:tcW w:w="1777" w:type="dxa"/>
            <w:vAlign w:val="center"/>
          </w:tcPr>
          <w:p w:rsidR="00CB1A94" w:rsidRDefault="004C5FEC">
            <w:pPr>
              <w:jc w:val="center"/>
            </w:pPr>
            <w:r>
              <w:rPr>
                <w:color w:val="000000"/>
                <w:sz w:val="24"/>
                <w:szCs w:val="24"/>
              </w:rPr>
              <w:t>泰胜风能</w:t>
            </w:r>
          </w:p>
        </w:tc>
        <w:tc>
          <w:tcPr>
            <w:tcW w:w="1334" w:type="dxa"/>
            <w:vAlign w:val="center"/>
          </w:tcPr>
          <w:p w:rsidR="00CB1A94" w:rsidRDefault="004C5FEC">
            <w:pPr>
              <w:jc w:val="right"/>
            </w:pPr>
            <w:r>
              <w:rPr>
                <w:color w:val="000000"/>
                <w:sz w:val="24"/>
                <w:szCs w:val="24"/>
              </w:rPr>
              <w:t>546,500</w:t>
            </w:r>
          </w:p>
        </w:tc>
        <w:tc>
          <w:tcPr>
            <w:tcW w:w="1924" w:type="dxa"/>
            <w:vAlign w:val="center"/>
          </w:tcPr>
          <w:p w:rsidR="00CB1A94" w:rsidRDefault="004C5FEC">
            <w:pPr>
              <w:jc w:val="right"/>
            </w:pPr>
            <w:r>
              <w:rPr>
                <w:color w:val="000000"/>
                <w:sz w:val="24"/>
                <w:szCs w:val="24"/>
              </w:rPr>
              <w:t>4,781,875.00</w:t>
            </w:r>
          </w:p>
        </w:tc>
        <w:tc>
          <w:tcPr>
            <w:tcW w:w="1644" w:type="dxa"/>
            <w:vAlign w:val="center"/>
          </w:tcPr>
          <w:p w:rsidR="00CB1A94" w:rsidRDefault="004C5FEC">
            <w:pPr>
              <w:jc w:val="right"/>
            </w:pPr>
            <w:r>
              <w:rPr>
                <w:color w:val="000000"/>
                <w:sz w:val="24"/>
                <w:szCs w:val="24"/>
              </w:rPr>
              <w:t>5.18</w:t>
            </w:r>
          </w:p>
        </w:tc>
      </w:tr>
      <w:tr w:rsidR="00CB1A94">
        <w:trPr>
          <w:jc w:val="center"/>
        </w:trPr>
        <w:tc>
          <w:tcPr>
            <w:tcW w:w="855" w:type="dxa"/>
            <w:vAlign w:val="center"/>
          </w:tcPr>
          <w:p w:rsidR="00CB1A94" w:rsidRDefault="004C5FEC">
            <w:pPr>
              <w:jc w:val="center"/>
            </w:pPr>
            <w:r>
              <w:rPr>
                <w:color w:val="000000"/>
                <w:sz w:val="24"/>
                <w:szCs w:val="24"/>
              </w:rPr>
              <w:t>5</w:t>
            </w:r>
          </w:p>
        </w:tc>
        <w:tc>
          <w:tcPr>
            <w:tcW w:w="1334" w:type="dxa"/>
            <w:vAlign w:val="center"/>
          </w:tcPr>
          <w:p w:rsidR="00CB1A94" w:rsidRDefault="004C5FEC">
            <w:pPr>
              <w:jc w:val="center"/>
            </w:pPr>
            <w:r>
              <w:rPr>
                <w:color w:val="000000"/>
                <w:sz w:val="24"/>
                <w:szCs w:val="24"/>
              </w:rPr>
              <w:t>002281</w:t>
            </w:r>
          </w:p>
        </w:tc>
        <w:tc>
          <w:tcPr>
            <w:tcW w:w="1777" w:type="dxa"/>
            <w:vAlign w:val="center"/>
          </w:tcPr>
          <w:p w:rsidR="00CB1A94" w:rsidRDefault="004C5FEC">
            <w:pPr>
              <w:jc w:val="center"/>
            </w:pPr>
            <w:r>
              <w:rPr>
                <w:color w:val="000000"/>
                <w:sz w:val="24"/>
                <w:szCs w:val="24"/>
              </w:rPr>
              <w:t>光迅科技</w:t>
            </w:r>
          </w:p>
        </w:tc>
        <w:tc>
          <w:tcPr>
            <w:tcW w:w="1334" w:type="dxa"/>
            <w:vAlign w:val="center"/>
          </w:tcPr>
          <w:p w:rsidR="00CB1A94" w:rsidRDefault="004C5FEC">
            <w:pPr>
              <w:jc w:val="right"/>
            </w:pPr>
            <w:r>
              <w:rPr>
                <w:color w:val="000000"/>
                <w:sz w:val="24"/>
                <w:szCs w:val="24"/>
              </w:rPr>
              <w:t>59,125</w:t>
            </w:r>
          </w:p>
        </w:tc>
        <w:tc>
          <w:tcPr>
            <w:tcW w:w="1924" w:type="dxa"/>
            <w:vAlign w:val="center"/>
          </w:tcPr>
          <w:p w:rsidR="00CB1A94" w:rsidRDefault="004C5FEC">
            <w:pPr>
              <w:jc w:val="right"/>
            </w:pPr>
            <w:r>
              <w:rPr>
                <w:color w:val="000000"/>
                <w:sz w:val="24"/>
                <w:szCs w:val="24"/>
              </w:rPr>
              <w:t>4,641,312.50</w:t>
            </w:r>
          </w:p>
        </w:tc>
        <w:tc>
          <w:tcPr>
            <w:tcW w:w="1644" w:type="dxa"/>
            <w:vAlign w:val="center"/>
          </w:tcPr>
          <w:p w:rsidR="00CB1A94" w:rsidRDefault="004C5FEC">
            <w:pPr>
              <w:jc w:val="right"/>
            </w:pPr>
            <w:r>
              <w:rPr>
                <w:color w:val="000000"/>
                <w:sz w:val="24"/>
                <w:szCs w:val="24"/>
              </w:rPr>
              <w:t>5.02</w:t>
            </w:r>
          </w:p>
        </w:tc>
      </w:tr>
      <w:tr w:rsidR="00CB1A94">
        <w:trPr>
          <w:jc w:val="center"/>
        </w:trPr>
        <w:tc>
          <w:tcPr>
            <w:tcW w:w="855" w:type="dxa"/>
            <w:vAlign w:val="center"/>
          </w:tcPr>
          <w:p w:rsidR="00CB1A94" w:rsidRDefault="004C5FEC">
            <w:pPr>
              <w:jc w:val="center"/>
            </w:pPr>
            <w:r>
              <w:rPr>
                <w:color w:val="000000"/>
                <w:sz w:val="24"/>
                <w:szCs w:val="24"/>
              </w:rPr>
              <w:t>6</w:t>
            </w:r>
          </w:p>
        </w:tc>
        <w:tc>
          <w:tcPr>
            <w:tcW w:w="1334" w:type="dxa"/>
            <w:vAlign w:val="center"/>
          </w:tcPr>
          <w:p w:rsidR="00CB1A94" w:rsidRDefault="004C5FEC">
            <w:pPr>
              <w:jc w:val="center"/>
            </w:pPr>
            <w:r>
              <w:rPr>
                <w:color w:val="000000"/>
                <w:sz w:val="24"/>
                <w:szCs w:val="24"/>
              </w:rPr>
              <w:t>300458</w:t>
            </w:r>
          </w:p>
        </w:tc>
        <w:tc>
          <w:tcPr>
            <w:tcW w:w="1777" w:type="dxa"/>
            <w:vAlign w:val="center"/>
          </w:tcPr>
          <w:p w:rsidR="00CB1A94" w:rsidRDefault="004C5FEC">
            <w:pPr>
              <w:jc w:val="center"/>
            </w:pPr>
            <w:r>
              <w:rPr>
                <w:color w:val="000000"/>
                <w:sz w:val="24"/>
                <w:szCs w:val="24"/>
              </w:rPr>
              <w:t>全志科技</w:t>
            </w:r>
          </w:p>
        </w:tc>
        <w:tc>
          <w:tcPr>
            <w:tcW w:w="1334" w:type="dxa"/>
            <w:vAlign w:val="center"/>
          </w:tcPr>
          <w:p w:rsidR="00CB1A94" w:rsidRDefault="004C5FEC">
            <w:pPr>
              <w:jc w:val="right"/>
            </w:pPr>
            <w:r>
              <w:rPr>
                <w:color w:val="000000"/>
                <w:sz w:val="24"/>
                <w:szCs w:val="24"/>
              </w:rPr>
              <w:t>48,052</w:t>
            </w:r>
          </w:p>
        </w:tc>
        <w:tc>
          <w:tcPr>
            <w:tcW w:w="1924" w:type="dxa"/>
            <w:vAlign w:val="center"/>
          </w:tcPr>
          <w:p w:rsidR="00CB1A94" w:rsidRDefault="004C5FEC">
            <w:pPr>
              <w:jc w:val="right"/>
            </w:pPr>
            <w:r>
              <w:rPr>
                <w:color w:val="000000"/>
                <w:sz w:val="24"/>
                <w:szCs w:val="24"/>
              </w:rPr>
              <w:t>4,393,394.36</w:t>
            </w:r>
          </w:p>
        </w:tc>
        <w:tc>
          <w:tcPr>
            <w:tcW w:w="1644" w:type="dxa"/>
            <w:vAlign w:val="center"/>
          </w:tcPr>
          <w:p w:rsidR="00CB1A94" w:rsidRDefault="004C5FEC">
            <w:pPr>
              <w:jc w:val="right"/>
            </w:pPr>
            <w:r>
              <w:rPr>
                <w:color w:val="000000"/>
                <w:sz w:val="24"/>
                <w:szCs w:val="24"/>
              </w:rPr>
              <w:t>4.76</w:t>
            </w:r>
          </w:p>
        </w:tc>
      </w:tr>
      <w:tr w:rsidR="00CB1A94">
        <w:trPr>
          <w:jc w:val="center"/>
        </w:trPr>
        <w:tc>
          <w:tcPr>
            <w:tcW w:w="855" w:type="dxa"/>
            <w:vAlign w:val="center"/>
          </w:tcPr>
          <w:p w:rsidR="00CB1A94" w:rsidRDefault="004C5FEC">
            <w:pPr>
              <w:jc w:val="center"/>
            </w:pPr>
            <w:r>
              <w:rPr>
                <w:color w:val="000000"/>
                <w:sz w:val="24"/>
                <w:szCs w:val="24"/>
              </w:rPr>
              <w:t>7</w:t>
            </w:r>
          </w:p>
        </w:tc>
        <w:tc>
          <w:tcPr>
            <w:tcW w:w="1334" w:type="dxa"/>
            <w:vAlign w:val="center"/>
          </w:tcPr>
          <w:p w:rsidR="00CB1A94" w:rsidRDefault="004C5FEC">
            <w:pPr>
              <w:jc w:val="center"/>
            </w:pPr>
            <w:r>
              <w:rPr>
                <w:color w:val="000000"/>
                <w:sz w:val="24"/>
                <w:szCs w:val="24"/>
              </w:rPr>
              <w:t>300161</w:t>
            </w:r>
          </w:p>
        </w:tc>
        <w:tc>
          <w:tcPr>
            <w:tcW w:w="1777" w:type="dxa"/>
            <w:vAlign w:val="center"/>
          </w:tcPr>
          <w:p w:rsidR="00CB1A94" w:rsidRDefault="004C5FEC">
            <w:pPr>
              <w:jc w:val="center"/>
            </w:pPr>
            <w:r>
              <w:rPr>
                <w:color w:val="000000"/>
                <w:sz w:val="24"/>
                <w:szCs w:val="24"/>
              </w:rPr>
              <w:t>华中数控</w:t>
            </w:r>
          </w:p>
        </w:tc>
        <w:tc>
          <w:tcPr>
            <w:tcW w:w="1334" w:type="dxa"/>
            <w:vAlign w:val="center"/>
          </w:tcPr>
          <w:p w:rsidR="00CB1A94" w:rsidRDefault="004C5FEC">
            <w:pPr>
              <w:jc w:val="right"/>
            </w:pPr>
            <w:r>
              <w:rPr>
                <w:color w:val="000000"/>
                <w:sz w:val="24"/>
                <w:szCs w:val="24"/>
              </w:rPr>
              <w:t>166,744</w:t>
            </w:r>
          </w:p>
        </w:tc>
        <w:tc>
          <w:tcPr>
            <w:tcW w:w="1924" w:type="dxa"/>
            <w:vAlign w:val="center"/>
          </w:tcPr>
          <w:p w:rsidR="00CB1A94" w:rsidRDefault="004C5FEC">
            <w:pPr>
              <w:jc w:val="right"/>
            </w:pPr>
            <w:r>
              <w:rPr>
                <w:color w:val="000000"/>
                <w:sz w:val="24"/>
                <w:szCs w:val="24"/>
              </w:rPr>
              <w:t>4,335,344.00</w:t>
            </w:r>
          </w:p>
        </w:tc>
        <w:tc>
          <w:tcPr>
            <w:tcW w:w="1644" w:type="dxa"/>
            <w:vAlign w:val="center"/>
          </w:tcPr>
          <w:p w:rsidR="00CB1A94" w:rsidRDefault="004C5FEC">
            <w:pPr>
              <w:jc w:val="right"/>
            </w:pPr>
            <w:r>
              <w:rPr>
                <w:color w:val="000000"/>
                <w:sz w:val="24"/>
                <w:szCs w:val="24"/>
              </w:rPr>
              <w:t>4.69</w:t>
            </w:r>
          </w:p>
        </w:tc>
      </w:tr>
      <w:tr w:rsidR="00CB1A94">
        <w:trPr>
          <w:jc w:val="center"/>
        </w:trPr>
        <w:tc>
          <w:tcPr>
            <w:tcW w:w="855" w:type="dxa"/>
            <w:vAlign w:val="center"/>
          </w:tcPr>
          <w:p w:rsidR="00CB1A94" w:rsidRDefault="004C5FEC">
            <w:pPr>
              <w:jc w:val="center"/>
            </w:pPr>
            <w:r>
              <w:rPr>
                <w:color w:val="000000"/>
                <w:sz w:val="24"/>
                <w:szCs w:val="24"/>
              </w:rPr>
              <w:t>8</w:t>
            </w:r>
          </w:p>
        </w:tc>
        <w:tc>
          <w:tcPr>
            <w:tcW w:w="1334" w:type="dxa"/>
            <w:vAlign w:val="center"/>
          </w:tcPr>
          <w:p w:rsidR="00CB1A94" w:rsidRDefault="004C5FEC">
            <w:pPr>
              <w:jc w:val="center"/>
            </w:pPr>
            <w:r>
              <w:rPr>
                <w:color w:val="000000"/>
                <w:sz w:val="24"/>
                <w:szCs w:val="24"/>
              </w:rPr>
              <w:t>600389</w:t>
            </w:r>
          </w:p>
        </w:tc>
        <w:tc>
          <w:tcPr>
            <w:tcW w:w="1777" w:type="dxa"/>
            <w:vAlign w:val="center"/>
          </w:tcPr>
          <w:p w:rsidR="00CB1A94" w:rsidRDefault="004C5FEC">
            <w:pPr>
              <w:jc w:val="center"/>
            </w:pPr>
            <w:r>
              <w:rPr>
                <w:color w:val="000000"/>
                <w:sz w:val="24"/>
                <w:szCs w:val="24"/>
              </w:rPr>
              <w:t>江山股份</w:t>
            </w:r>
          </w:p>
        </w:tc>
        <w:tc>
          <w:tcPr>
            <w:tcW w:w="1334" w:type="dxa"/>
            <w:vAlign w:val="center"/>
          </w:tcPr>
          <w:p w:rsidR="00CB1A94" w:rsidRDefault="004C5FEC">
            <w:pPr>
              <w:jc w:val="right"/>
            </w:pPr>
            <w:r>
              <w:rPr>
                <w:color w:val="000000"/>
                <w:sz w:val="24"/>
                <w:szCs w:val="24"/>
              </w:rPr>
              <w:t>195,350</w:t>
            </w:r>
          </w:p>
        </w:tc>
        <w:tc>
          <w:tcPr>
            <w:tcW w:w="1924" w:type="dxa"/>
            <w:vAlign w:val="center"/>
          </w:tcPr>
          <w:p w:rsidR="00CB1A94" w:rsidRDefault="004C5FEC">
            <w:pPr>
              <w:jc w:val="right"/>
            </w:pPr>
            <w:r>
              <w:rPr>
                <w:color w:val="000000"/>
                <w:sz w:val="24"/>
                <w:szCs w:val="24"/>
              </w:rPr>
              <w:t>3,856,209.00</w:t>
            </w:r>
          </w:p>
        </w:tc>
        <w:tc>
          <w:tcPr>
            <w:tcW w:w="1644" w:type="dxa"/>
            <w:vAlign w:val="center"/>
          </w:tcPr>
          <w:p w:rsidR="00CB1A94" w:rsidRDefault="004C5FEC">
            <w:pPr>
              <w:jc w:val="right"/>
            </w:pPr>
            <w:r>
              <w:rPr>
                <w:color w:val="000000"/>
                <w:sz w:val="24"/>
                <w:szCs w:val="24"/>
              </w:rPr>
              <w:t>4.17</w:t>
            </w:r>
          </w:p>
        </w:tc>
      </w:tr>
      <w:tr w:rsidR="00CB1A94">
        <w:trPr>
          <w:jc w:val="center"/>
        </w:trPr>
        <w:tc>
          <w:tcPr>
            <w:tcW w:w="855" w:type="dxa"/>
            <w:vAlign w:val="center"/>
          </w:tcPr>
          <w:p w:rsidR="00CB1A94" w:rsidRDefault="004C5FEC">
            <w:pPr>
              <w:jc w:val="center"/>
            </w:pPr>
            <w:r>
              <w:rPr>
                <w:color w:val="000000"/>
                <w:sz w:val="24"/>
                <w:szCs w:val="24"/>
              </w:rPr>
              <w:t>9</w:t>
            </w:r>
          </w:p>
        </w:tc>
        <w:tc>
          <w:tcPr>
            <w:tcW w:w="1334" w:type="dxa"/>
            <w:vAlign w:val="center"/>
          </w:tcPr>
          <w:p w:rsidR="00CB1A94" w:rsidRDefault="004C5FEC">
            <w:pPr>
              <w:jc w:val="center"/>
            </w:pPr>
            <w:r>
              <w:rPr>
                <w:color w:val="000000"/>
                <w:sz w:val="24"/>
                <w:szCs w:val="24"/>
              </w:rPr>
              <w:t>600967</w:t>
            </w:r>
          </w:p>
        </w:tc>
        <w:tc>
          <w:tcPr>
            <w:tcW w:w="1777" w:type="dxa"/>
            <w:vAlign w:val="center"/>
          </w:tcPr>
          <w:p w:rsidR="00CB1A94" w:rsidRDefault="004C5FEC">
            <w:pPr>
              <w:jc w:val="center"/>
            </w:pPr>
            <w:r>
              <w:rPr>
                <w:color w:val="000000"/>
                <w:sz w:val="24"/>
                <w:szCs w:val="24"/>
              </w:rPr>
              <w:t>北方创业</w:t>
            </w:r>
          </w:p>
        </w:tc>
        <w:tc>
          <w:tcPr>
            <w:tcW w:w="1334" w:type="dxa"/>
            <w:vAlign w:val="center"/>
          </w:tcPr>
          <w:p w:rsidR="00CB1A94" w:rsidRDefault="004C5FEC">
            <w:pPr>
              <w:jc w:val="right"/>
            </w:pPr>
            <w:r>
              <w:rPr>
                <w:color w:val="000000"/>
                <w:sz w:val="24"/>
                <w:szCs w:val="24"/>
              </w:rPr>
              <w:t>280,303</w:t>
            </w:r>
          </w:p>
        </w:tc>
        <w:tc>
          <w:tcPr>
            <w:tcW w:w="1924" w:type="dxa"/>
            <w:vAlign w:val="center"/>
          </w:tcPr>
          <w:p w:rsidR="00CB1A94" w:rsidRDefault="004C5FEC">
            <w:pPr>
              <w:jc w:val="right"/>
            </w:pPr>
            <w:r>
              <w:rPr>
                <w:color w:val="000000"/>
                <w:sz w:val="24"/>
                <w:szCs w:val="24"/>
              </w:rPr>
              <w:t>3,803,711.71</w:t>
            </w:r>
          </w:p>
        </w:tc>
        <w:tc>
          <w:tcPr>
            <w:tcW w:w="1644" w:type="dxa"/>
            <w:vAlign w:val="center"/>
          </w:tcPr>
          <w:p w:rsidR="00CB1A94" w:rsidRDefault="004C5FEC">
            <w:pPr>
              <w:jc w:val="right"/>
            </w:pPr>
            <w:r>
              <w:rPr>
                <w:color w:val="000000"/>
                <w:sz w:val="24"/>
                <w:szCs w:val="24"/>
              </w:rPr>
              <w:t>4.12</w:t>
            </w:r>
          </w:p>
        </w:tc>
      </w:tr>
      <w:tr w:rsidR="00CB1A94">
        <w:trPr>
          <w:jc w:val="center"/>
        </w:trPr>
        <w:tc>
          <w:tcPr>
            <w:tcW w:w="855" w:type="dxa"/>
            <w:vAlign w:val="center"/>
          </w:tcPr>
          <w:p w:rsidR="00CB1A94" w:rsidRDefault="004C5FEC">
            <w:pPr>
              <w:jc w:val="center"/>
            </w:pPr>
            <w:r>
              <w:rPr>
                <w:color w:val="000000"/>
                <w:sz w:val="24"/>
                <w:szCs w:val="24"/>
              </w:rPr>
              <w:t>10</w:t>
            </w:r>
          </w:p>
        </w:tc>
        <w:tc>
          <w:tcPr>
            <w:tcW w:w="1334" w:type="dxa"/>
            <w:vAlign w:val="center"/>
          </w:tcPr>
          <w:p w:rsidR="00CB1A94" w:rsidRDefault="004C5FEC">
            <w:pPr>
              <w:jc w:val="center"/>
            </w:pPr>
            <w:r>
              <w:rPr>
                <w:color w:val="000000"/>
                <w:sz w:val="24"/>
                <w:szCs w:val="24"/>
              </w:rPr>
              <w:t>600500</w:t>
            </w:r>
          </w:p>
        </w:tc>
        <w:tc>
          <w:tcPr>
            <w:tcW w:w="1777" w:type="dxa"/>
            <w:vAlign w:val="center"/>
          </w:tcPr>
          <w:p w:rsidR="00CB1A94" w:rsidRDefault="004C5FEC">
            <w:pPr>
              <w:jc w:val="center"/>
            </w:pPr>
            <w:r>
              <w:rPr>
                <w:color w:val="000000"/>
                <w:sz w:val="24"/>
                <w:szCs w:val="24"/>
              </w:rPr>
              <w:t>中化国际</w:t>
            </w:r>
          </w:p>
        </w:tc>
        <w:tc>
          <w:tcPr>
            <w:tcW w:w="1334" w:type="dxa"/>
            <w:vAlign w:val="center"/>
          </w:tcPr>
          <w:p w:rsidR="00CB1A94" w:rsidRDefault="004C5FEC">
            <w:pPr>
              <w:jc w:val="right"/>
            </w:pPr>
            <w:r>
              <w:rPr>
                <w:color w:val="000000"/>
                <w:sz w:val="24"/>
                <w:szCs w:val="24"/>
              </w:rPr>
              <w:t>297,905</w:t>
            </w:r>
          </w:p>
        </w:tc>
        <w:tc>
          <w:tcPr>
            <w:tcW w:w="1924" w:type="dxa"/>
            <w:vAlign w:val="center"/>
          </w:tcPr>
          <w:p w:rsidR="00CB1A94" w:rsidRDefault="004C5FEC">
            <w:pPr>
              <w:jc w:val="right"/>
            </w:pPr>
            <w:r>
              <w:rPr>
                <w:color w:val="000000"/>
                <w:sz w:val="24"/>
                <w:szCs w:val="24"/>
              </w:rPr>
              <w:t>3,473,572.30</w:t>
            </w:r>
          </w:p>
        </w:tc>
        <w:tc>
          <w:tcPr>
            <w:tcW w:w="1644" w:type="dxa"/>
            <w:vAlign w:val="center"/>
          </w:tcPr>
          <w:p w:rsidR="00CB1A94" w:rsidRDefault="004C5FEC">
            <w:pPr>
              <w:jc w:val="right"/>
            </w:pPr>
            <w:r>
              <w:rPr>
                <w:color w:val="000000"/>
                <w:sz w:val="24"/>
                <w:szCs w:val="24"/>
              </w:rPr>
              <w:t>3.76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B1A94">
        <w:trPr>
          <w:jc w:val="center"/>
        </w:trPr>
        <w:tc>
          <w:tcPr>
            <w:tcW w:w="850" w:type="dxa"/>
            <w:vAlign w:val="center"/>
          </w:tcPr>
          <w:p w:rsidR="00CB1A94" w:rsidRDefault="004C5FEC">
            <w:pPr>
              <w:jc w:val="center"/>
            </w:pPr>
            <w:r>
              <w:rPr>
                <w:color w:val="000000"/>
                <w:sz w:val="24"/>
                <w:szCs w:val="24"/>
              </w:rPr>
              <w:t>1</w:t>
            </w:r>
          </w:p>
        </w:tc>
        <w:tc>
          <w:tcPr>
            <w:tcW w:w="1475" w:type="dxa"/>
            <w:vAlign w:val="center"/>
          </w:tcPr>
          <w:p w:rsidR="00CB1A94" w:rsidRDefault="004C5FEC">
            <w:pPr>
              <w:jc w:val="center"/>
            </w:pPr>
            <w:r>
              <w:rPr>
                <w:color w:val="000000"/>
                <w:sz w:val="24"/>
                <w:szCs w:val="24"/>
              </w:rPr>
              <w:t>150201</w:t>
            </w:r>
          </w:p>
        </w:tc>
        <w:tc>
          <w:tcPr>
            <w:tcW w:w="1769" w:type="dxa"/>
            <w:vAlign w:val="center"/>
          </w:tcPr>
          <w:p w:rsidR="00CB1A94" w:rsidRDefault="004C5FEC">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CB1A94" w:rsidRDefault="004C5FEC">
            <w:pPr>
              <w:jc w:val="right"/>
            </w:pPr>
            <w:r>
              <w:rPr>
                <w:color w:val="000000"/>
                <w:sz w:val="24"/>
                <w:szCs w:val="24"/>
              </w:rPr>
              <w:t>100,000</w:t>
            </w:r>
          </w:p>
        </w:tc>
        <w:tc>
          <w:tcPr>
            <w:tcW w:w="2150" w:type="dxa"/>
            <w:vAlign w:val="center"/>
          </w:tcPr>
          <w:p w:rsidR="00CB1A94" w:rsidRDefault="004C5FEC">
            <w:pPr>
              <w:jc w:val="right"/>
            </w:pPr>
            <w:r>
              <w:rPr>
                <w:color w:val="000000"/>
                <w:sz w:val="24"/>
                <w:szCs w:val="24"/>
              </w:rPr>
              <w:t>10,046,000.00</w:t>
            </w:r>
          </w:p>
        </w:tc>
        <w:tc>
          <w:tcPr>
            <w:tcW w:w="1237" w:type="dxa"/>
            <w:vAlign w:val="center"/>
          </w:tcPr>
          <w:p w:rsidR="00CB1A94" w:rsidRDefault="004C5FEC">
            <w:pPr>
              <w:jc w:val="right"/>
            </w:pPr>
            <w:r>
              <w:rPr>
                <w:color w:val="000000"/>
                <w:sz w:val="24"/>
                <w:szCs w:val="24"/>
              </w:rPr>
              <w:t>10.87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103,202.22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382,132.04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9,719.45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495,053.71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B1A94">
        <w:trPr>
          <w:jc w:val="center"/>
        </w:trPr>
        <w:tc>
          <w:tcPr>
            <w:tcW w:w="1129" w:type="dxa"/>
            <w:vAlign w:val="center"/>
          </w:tcPr>
          <w:p w:rsidR="00CB1A94" w:rsidRDefault="004C5FEC">
            <w:pPr>
              <w:jc w:val="center"/>
            </w:pPr>
            <w:r>
              <w:rPr>
                <w:color w:val="000000"/>
                <w:sz w:val="24"/>
                <w:szCs w:val="24"/>
              </w:rPr>
              <w:t>1</w:t>
            </w:r>
          </w:p>
        </w:tc>
        <w:tc>
          <w:tcPr>
            <w:tcW w:w="1356" w:type="dxa"/>
            <w:vAlign w:val="center"/>
          </w:tcPr>
          <w:p w:rsidR="00CB1A94" w:rsidRDefault="004C5FEC">
            <w:pPr>
              <w:jc w:val="center"/>
            </w:pPr>
            <w:r>
              <w:rPr>
                <w:color w:val="000000"/>
                <w:sz w:val="24"/>
                <w:szCs w:val="24"/>
              </w:rPr>
              <w:t>000821</w:t>
            </w:r>
          </w:p>
        </w:tc>
        <w:tc>
          <w:tcPr>
            <w:tcW w:w="1355" w:type="dxa"/>
            <w:vAlign w:val="center"/>
          </w:tcPr>
          <w:p w:rsidR="00CB1A94" w:rsidRDefault="004C5FEC">
            <w:pPr>
              <w:jc w:val="center"/>
            </w:pPr>
            <w:r>
              <w:rPr>
                <w:color w:val="000000"/>
                <w:sz w:val="24"/>
                <w:szCs w:val="24"/>
              </w:rPr>
              <w:t>京山轻机</w:t>
            </w:r>
          </w:p>
        </w:tc>
        <w:tc>
          <w:tcPr>
            <w:tcW w:w="1880" w:type="dxa"/>
            <w:vAlign w:val="center"/>
          </w:tcPr>
          <w:p w:rsidR="00CB1A94" w:rsidRDefault="004C5FEC">
            <w:pPr>
              <w:jc w:val="right"/>
            </w:pPr>
            <w:r>
              <w:rPr>
                <w:color w:val="000000"/>
                <w:sz w:val="24"/>
                <w:szCs w:val="24"/>
              </w:rPr>
              <w:t>5,247,814.00</w:t>
            </w:r>
          </w:p>
        </w:tc>
        <w:tc>
          <w:tcPr>
            <w:tcW w:w="1724" w:type="dxa"/>
            <w:vAlign w:val="center"/>
          </w:tcPr>
          <w:p w:rsidR="00CB1A94" w:rsidRDefault="004C5FEC">
            <w:pPr>
              <w:jc w:val="right"/>
            </w:pPr>
            <w:r>
              <w:rPr>
                <w:color w:val="000000"/>
                <w:sz w:val="24"/>
                <w:szCs w:val="24"/>
              </w:rPr>
              <w:t>5.68</w:t>
            </w:r>
          </w:p>
        </w:tc>
        <w:tc>
          <w:tcPr>
            <w:tcW w:w="1424" w:type="dxa"/>
            <w:vAlign w:val="center"/>
          </w:tcPr>
          <w:p w:rsidR="00CB1A94" w:rsidRDefault="004C5FE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45,968,897.50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3,101,572.03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4,589,200.33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44,481,269.20</w:t>
            </w:r>
          </w:p>
        </w:tc>
      </w:tr>
    </w:tbl>
    <w:p w:rsidR="00CB1A94" w:rsidRDefault="004C5F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B1A94" w:rsidRDefault="004C5FE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B1A94" w:rsidRDefault="004C5FE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B1A94" w:rsidRDefault="004C5FE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BF3814">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BF3814">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2684"/>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5FEC"/>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3814"/>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1A94"/>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E216-B1B6-4575-9A1B-7C8785F3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孙艳</cp:lastModifiedBy>
  <cp:revision>2</cp:revision>
  <dcterms:created xsi:type="dcterms:W3CDTF">2017-01-17T10:30:00Z</dcterms:created>
  <dcterms:modified xsi:type="dcterms:W3CDTF">2017-01-17T10:30:00Z</dcterms:modified>
</cp:coreProperties>
</file>